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6BE55" w14:textId="77777777" w:rsidR="00DF679E" w:rsidRDefault="003D5FA5">
      <w:pPr>
        <w:spacing w:before="240" w:after="240"/>
        <w:jc w:val="center"/>
        <w:rPr>
          <w:b/>
          <w:color w:val="1E293B"/>
        </w:rPr>
      </w:pPr>
      <w:r>
        <w:rPr>
          <w:b/>
          <w:color w:val="1E293B"/>
        </w:rPr>
        <w:t xml:space="preserve"> </w:t>
      </w:r>
    </w:p>
    <w:p w14:paraId="18709D05" w14:textId="77777777" w:rsidR="00DF679E" w:rsidRDefault="003D5FA5">
      <w:pPr>
        <w:spacing w:before="240" w:after="240"/>
        <w:jc w:val="center"/>
        <w:rPr>
          <w:b/>
        </w:rPr>
      </w:pPr>
      <w:r>
        <w:rPr>
          <w:b/>
        </w:rPr>
        <w:t>Student Name: Cristina Marin</w:t>
      </w:r>
    </w:p>
    <w:p w14:paraId="33449000" w14:textId="77777777" w:rsidR="00DF679E" w:rsidRDefault="003D5FA5">
      <w:pPr>
        <w:spacing w:before="240" w:after="240"/>
        <w:jc w:val="center"/>
        <w:rPr>
          <w:b/>
          <w:color w:val="333333"/>
          <w:highlight w:val="white"/>
        </w:rPr>
      </w:pPr>
      <w:r>
        <w:rPr>
          <w:b/>
        </w:rPr>
        <w:t xml:space="preserve">Student Number: </w:t>
      </w:r>
      <w:r>
        <w:rPr>
          <w:b/>
          <w:color w:val="333333"/>
          <w:highlight w:val="white"/>
        </w:rPr>
        <w:t>2213202</w:t>
      </w:r>
    </w:p>
    <w:p w14:paraId="685518E7" w14:textId="77777777" w:rsidR="00DF679E" w:rsidRDefault="003D5FA5">
      <w:pPr>
        <w:spacing w:before="240" w:after="240"/>
        <w:jc w:val="center"/>
        <w:rPr>
          <w:b/>
        </w:rPr>
      </w:pPr>
      <w:r>
        <w:rPr>
          <w:b/>
        </w:rPr>
        <w:t>Community Engagement</w:t>
      </w:r>
    </w:p>
    <w:p w14:paraId="23A94C02" w14:textId="77777777" w:rsidR="00DF679E" w:rsidRDefault="00DF679E">
      <w:pPr>
        <w:spacing w:before="240" w:after="240"/>
        <w:jc w:val="center"/>
      </w:pPr>
    </w:p>
    <w:p w14:paraId="30D5A665" w14:textId="77777777" w:rsidR="00DF679E" w:rsidRDefault="00DF679E">
      <w:pPr>
        <w:pStyle w:val="Heading2"/>
      </w:pPr>
      <w:bookmarkStart w:id="0" w:name="_t45hz4cnq56k" w:colFirst="0" w:colLast="0"/>
      <w:bookmarkEnd w:id="0"/>
    </w:p>
    <w:p w14:paraId="0F5D36FA" w14:textId="77777777" w:rsidR="00DF679E" w:rsidRDefault="00DF679E"/>
    <w:sdt>
      <w:sdtPr>
        <w:id w:val="-302473777"/>
        <w:docPartObj>
          <w:docPartGallery w:val="Table of Contents"/>
          <w:docPartUnique/>
        </w:docPartObj>
      </w:sdtPr>
      <w:sdtContent>
        <w:p w14:paraId="0612D6D6" w14:textId="77777777" w:rsidR="00DF679E" w:rsidRDefault="003D5FA5">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yu77nprih6i">
            <w:r>
              <w:rPr>
                <w:b/>
                <w:color w:val="000000"/>
              </w:rPr>
              <w:t>Appendix - CPD Record</w:t>
            </w:r>
            <w:r>
              <w:rPr>
                <w:b/>
                <w:color w:val="000000"/>
              </w:rPr>
              <w:tab/>
              <w:t>1</w:t>
            </w:r>
          </w:hyperlink>
        </w:p>
        <w:p w14:paraId="1BC88432" w14:textId="77777777" w:rsidR="00DF679E" w:rsidRDefault="00000000">
          <w:pPr>
            <w:widowControl w:val="0"/>
            <w:tabs>
              <w:tab w:val="right" w:pos="12000"/>
            </w:tabs>
            <w:spacing w:before="60" w:line="240" w:lineRule="auto"/>
            <w:rPr>
              <w:b/>
              <w:color w:val="000000"/>
            </w:rPr>
          </w:pPr>
          <w:hyperlink w:anchor="_f9haxcx1k68k">
            <w:r w:rsidR="003D5FA5">
              <w:rPr>
                <w:b/>
                <w:color w:val="000000"/>
              </w:rPr>
              <w:t>Introduction</w:t>
            </w:r>
            <w:r w:rsidR="003D5FA5">
              <w:rPr>
                <w:b/>
                <w:color w:val="000000"/>
              </w:rPr>
              <w:tab/>
              <w:t>5</w:t>
            </w:r>
          </w:hyperlink>
        </w:p>
        <w:p w14:paraId="76842B55" w14:textId="77777777" w:rsidR="00DF679E" w:rsidRDefault="00000000">
          <w:pPr>
            <w:widowControl w:val="0"/>
            <w:tabs>
              <w:tab w:val="right" w:pos="12000"/>
            </w:tabs>
            <w:spacing w:before="60" w:line="240" w:lineRule="auto"/>
            <w:rPr>
              <w:b/>
              <w:color w:val="000000"/>
            </w:rPr>
          </w:pPr>
          <w:hyperlink w:anchor="_9pbgelwj7lzi">
            <w:r w:rsidR="003D5FA5">
              <w:rPr>
                <w:b/>
                <w:color w:val="000000"/>
              </w:rPr>
              <w:t>Projects Comparison Table</w:t>
            </w:r>
            <w:r w:rsidR="003D5FA5">
              <w:rPr>
                <w:b/>
                <w:color w:val="000000"/>
              </w:rPr>
              <w:tab/>
              <w:t>5</w:t>
            </w:r>
          </w:hyperlink>
        </w:p>
        <w:p w14:paraId="477F4C6C" w14:textId="77777777" w:rsidR="00DF679E" w:rsidRDefault="00000000">
          <w:pPr>
            <w:widowControl w:val="0"/>
            <w:tabs>
              <w:tab w:val="right" w:pos="12000"/>
            </w:tabs>
            <w:spacing w:before="60" w:line="240" w:lineRule="auto"/>
            <w:rPr>
              <w:b/>
              <w:color w:val="000000"/>
            </w:rPr>
          </w:pPr>
          <w:hyperlink w:anchor="_6t8oq6t0dded">
            <w:r w:rsidR="003D5FA5">
              <w:rPr>
                <w:b/>
                <w:color w:val="000000"/>
              </w:rPr>
              <w:t>What would you do better?</w:t>
            </w:r>
            <w:r w:rsidR="003D5FA5">
              <w:rPr>
                <w:b/>
                <w:color w:val="000000"/>
              </w:rPr>
              <w:tab/>
              <w:t>8</w:t>
            </w:r>
          </w:hyperlink>
        </w:p>
        <w:p w14:paraId="79A39E7A" w14:textId="77777777" w:rsidR="00DF679E" w:rsidRDefault="00000000">
          <w:pPr>
            <w:widowControl w:val="0"/>
            <w:tabs>
              <w:tab w:val="right" w:pos="12000"/>
            </w:tabs>
            <w:spacing w:before="60" w:line="240" w:lineRule="auto"/>
            <w:ind w:left="360"/>
            <w:rPr>
              <w:color w:val="000000"/>
            </w:rPr>
          </w:pPr>
          <w:hyperlink w:anchor="_k5fcruasruxu">
            <w:r w:rsidR="003D5FA5">
              <w:rPr>
                <w:color w:val="000000"/>
              </w:rPr>
              <w:t>Use of social media</w:t>
            </w:r>
            <w:r w:rsidR="003D5FA5">
              <w:rPr>
                <w:color w:val="000000"/>
              </w:rPr>
              <w:tab/>
              <w:t>8</w:t>
            </w:r>
          </w:hyperlink>
        </w:p>
        <w:p w14:paraId="1503A6F5" w14:textId="77777777" w:rsidR="00DF679E" w:rsidRDefault="00000000">
          <w:pPr>
            <w:widowControl w:val="0"/>
            <w:tabs>
              <w:tab w:val="right" w:pos="12000"/>
            </w:tabs>
            <w:spacing w:before="60" w:line="240" w:lineRule="auto"/>
            <w:ind w:left="360"/>
            <w:rPr>
              <w:color w:val="000000"/>
            </w:rPr>
          </w:pPr>
          <w:hyperlink w:anchor="_iglnwx898zk7">
            <w:r w:rsidR="003D5FA5">
              <w:rPr>
                <w:color w:val="000000"/>
              </w:rPr>
              <w:t>Creating free educational material</w:t>
            </w:r>
            <w:r w:rsidR="003D5FA5">
              <w:rPr>
                <w:color w:val="000000"/>
              </w:rPr>
              <w:tab/>
              <w:t>9</w:t>
            </w:r>
          </w:hyperlink>
        </w:p>
        <w:p w14:paraId="4828C990" w14:textId="77777777" w:rsidR="00DF679E" w:rsidRDefault="00000000">
          <w:pPr>
            <w:widowControl w:val="0"/>
            <w:tabs>
              <w:tab w:val="right" w:pos="12000"/>
            </w:tabs>
            <w:spacing w:before="60" w:line="240" w:lineRule="auto"/>
            <w:ind w:left="360"/>
            <w:rPr>
              <w:color w:val="000000"/>
            </w:rPr>
          </w:pPr>
          <w:hyperlink w:anchor="_kftjxjrv11ua">
            <w:r w:rsidR="003D5FA5">
              <w:rPr>
                <w:color w:val="000000"/>
              </w:rPr>
              <w:t>Applying for governmental support</w:t>
            </w:r>
            <w:r w:rsidR="003D5FA5">
              <w:rPr>
                <w:color w:val="000000"/>
              </w:rPr>
              <w:tab/>
              <w:t>9</w:t>
            </w:r>
          </w:hyperlink>
        </w:p>
        <w:p w14:paraId="5FC97ADE" w14:textId="77777777" w:rsidR="00DF679E" w:rsidRDefault="00000000">
          <w:pPr>
            <w:widowControl w:val="0"/>
            <w:tabs>
              <w:tab w:val="right" w:pos="12000"/>
            </w:tabs>
            <w:spacing w:before="60" w:line="240" w:lineRule="auto"/>
            <w:ind w:left="360"/>
            <w:rPr>
              <w:color w:val="000000"/>
            </w:rPr>
          </w:pPr>
          <w:hyperlink w:anchor="_cnbwugeo2srt">
            <w:r w:rsidR="003D5FA5">
              <w:rPr>
                <w:color w:val="000000"/>
              </w:rPr>
              <w:t>Attracting investors</w:t>
            </w:r>
            <w:r w:rsidR="003D5FA5">
              <w:rPr>
                <w:color w:val="000000"/>
              </w:rPr>
              <w:tab/>
              <w:t>9</w:t>
            </w:r>
          </w:hyperlink>
        </w:p>
        <w:p w14:paraId="4F7B8385" w14:textId="77777777" w:rsidR="00DF679E" w:rsidRDefault="00000000">
          <w:pPr>
            <w:widowControl w:val="0"/>
            <w:tabs>
              <w:tab w:val="right" w:pos="12000"/>
            </w:tabs>
            <w:spacing w:before="60" w:line="240" w:lineRule="auto"/>
            <w:ind w:left="360"/>
            <w:rPr>
              <w:color w:val="000000"/>
            </w:rPr>
          </w:pPr>
          <w:hyperlink w:anchor="_e3e4indipgnq">
            <w:r w:rsidR="003D5FA5">
              <w:rPr>
                <w:color w:val="000000"/>
              </w:rPr>
              <w:t>Force laws on companies</w:t>
            </w:r>
            <w:r w:rsidR="003D5FA5">
              <w:rPr>
                <w:color w:val="000000"/>
              </w:rPr>
              <w:tab/>
              <w:t>10</w:t>
            </w:r>
          </w:hyperlink>
        </w:p>
        <w:p w14:paraId="50715C3C" w14:textId="77777777" w:rsidR="00DF679E" w:rsidRDefault="00000000">
          <w:pPr>
            <w:widowControl w:val="0"/>
            <w:tabs>
              <w:tab w:val="right" w:pos="12000"/>
            </w:tabs>
            <w:spacing w:before="60" w:line="240" w:lineRule="auto"/>
            <w:rPr>
              <w:b/>
              <w:color w:val="000000"/>
            </w:rPr>
          </w:pPr>
          <w:hyperlink w:anchor="_owbdrvejldcb">
            <w:r w:rsidR="003D5FA5">
              <w:rPr>
                <w:b/>
                <w:color w:val="000000"/>
              </w:rPr>
              <w:t>Conclusion</w:t>
            </w:r>
            <w:r w:rsidR="003D5FA5">
              <w:rPr>
                <w:b/>
                <w:color w:val="000000"/>
              </w:rPr>
              <w:tab/>
              <w:t>11</w:t>
            </w:r>
          </w:hyperlink>
          <w:r w:rsidR="003D5FA5">
            <w:fldChar w:fldCharType="end"/>
          </w:r>
        </w:p>
      </w:sdtContent>
    </w:sdt>
    <w:p w14:paraId="27EC3840" w14:textId="77777777" w:rsidR="00DF679E" w:rsidRDefault="00DF679E"/>
    <w:p w14:paraId="2C36A98C" w14:textId="77777777" w:rsidR="00DF679E" w:rsidRDefault="00DF679E"/>
    <w:p w14:paraId="48131F79" w14:textId="77777777" w:rsidR="00DF679E" w:rsidRDefault="003D5FA5">
      <w:pPr>
        <w:pStyle w:val="Heading2"/>
        <w:rPr>
          <w:sz w:val="34"/>
          <w:szCs w:val="34"/>
        </w:rPr>
      </w:pPr>
      <w:bookmarkStart w:id="1" w:name="_yu77nprih6i" w:colFirst="0" w:colLast="0"/>
      <w:bookmarkEnd w:id="1"/>
      <w:r>
        <w:t xml:space="preserve">Appendix - </w:t>
      </w:r>
      <w:r>
        <w:rPr>
          <w:sz w:val="34"/>
          <w:szCs w:val="34"/>
        </w:rPr>
        <w:t>CPD Record</w:t>
      </w:r>
    </w:p>
    <w:p w14:paraId="20AB46F7" w14:textId="77777777" w:rsidR="00DF679E" w:rsidRDefault="003D5FA5">
      <w:pPr>
        <w:spacing w:before="240" w:after="240"/>
      </w:pPr>
      <w:r>
        <w:t xml:space="preserve"> </w:t>
      </w:r>
    </w:p>
    <w:tbl>
      <w:tblPr>
        <w:tblStyle w:val="a"/>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465"/>
        <w:gridCol w:w="2625"/>
        <w:gridCol w:w="2940"/>
      </w:tblGrid>
      <w:tr w:rsidR="00DF679E" w14:paraId="2C3564AB" w14:textId="77777777">
        <w:trPr>
          <w:trHeight w:val="1040"/>
        </w:trPr>
        <w:tc>
          <w:tcPr>
            <w:tcW w:w="346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65CE3BAF" w14:textId="77777777" w:rsidR="00DF679E" w:rsidRDefault="003D5FA5">
            <w:pPr>
              <w:widowControl w:val="0"/>
              <w:pBdr>
                <w:top w:val="nil"/>
                <w:left w:val="nil"/>
                <w:bottom w:val="nil"/>
                <w:right w:val="nil"/>
                <w:between w:val="nil"/>
              </w:pBdr>
              <w:rPr>
                <w:b/>
              </w:rPr>
            </w:pPr>
            <w:r>
              <w:rPr>
                <w:b/>
              </w:rPr>
              <w:t xml:space="preserve">Name: Cristina Marin </w:t>
            </w:r>
          </w:p>
        </w:tc>
        <w:tc>
          <w:tcPr>
            <w:tcW w:w="262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3D48D21" w14:textId="77777777" w:rsidR="00DF679E" w:rsidRDefault="003D5FA5">
            <w:pPr>
              <w:spacing w:before="240" w:after="240"/>
              <w:ind w:left="-40"/>
              <w:rPr>
                <w:rFonts w:ascii="Times New Roman" w:eastAsia="Times New Roman" w:hAnsi="Times New Roman" w:cs="Times New Roman"/>
                <w:i/>
              </w:rPr>
            </w:pPr>
            <w:r>
              <w:rPr>
                <w:rFonts w:ascii="Times New Roman" w:eastAsia="Times New Roman" w:hAnsi="Times New Roman" w:cs="Times New Roman"/>
                <w:i/>
              </w:rPr>
              <w:t xml:space="preserve"> </w:t>
            </w:r>
          </w:p>
        </w:tc>
        <w:tc>
          <w:tcPr>
            <w:tcW w:w="294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7C36FBAF" w14:textId="77777777" w:rsidR="00DF679E" w:rsidRDefault="003D5FA5">
            <w:pPr>
              <w:spacing w:before="240" w:after="240"/>
              <w:ind w:left="-40"/>
              <w:rPr>
                <w:b/>
              </w:rPr>
            </w:pPr>
            <w:r>
              <w:rPr>
                <w:b/>
              </w:rPr>
              <w:t>Covering the period from:</w:t>
            </w:r>
          </w:p>
          <w:p w14:paraId="64625A77" w14:textId="77777777" w:rsidR="00DF679E" w:rsidRDefault="003D5FA5">
            <w:pPr>
              <w:spacing w:before="240" w:after="240"/>
              <w:ind w:left="-40"/>
              <w:rPr>
                <w:rFonts w:ascii="Times New Roman" w:eastAsia="Times New Roman" w:hAnsi="Times New Roman" w:cs="Times New Roman"/>
                <w:i/>
              </w:rPr>
            </w:pPr>
            <w:r>
              <w:rPr>
                <w:b/>
              </w:rPr>
              <w:t xml:space="preserve">To: </w:t>
            </w:r>
            <w:r>
              <w:rPr>
                <w:rFonts w:ascii="Times New Roman" w:eastAsia="Times New Roman" w:hAnsi="Times New Roman" w:cs="Times New Roman"/>
                <w:i/>
              </w:rPr>
              <w:t>January to April</w:t>
            </w:r>
          </w:p>
        </w:tc>
      </w:tr>
    </w:tbl>
    <w:p w14:paraId="1763BB02" w14:textId="77777777" w:rsidR="00DF679E" w:rsidRDefault="003D5FA5">
      <w:pPr>
        <w:spacing w:before="240" w:after="240"/>
        <w:rPr>
          <w:rFonts w:ascii="Verdana" w:eastAsia="Verdana" w:hAnsi="Verdana" w:cs="Verdana"/>
          <w:sz w:val="20"/>
          <w:szCs w:val="20"/>
        </w:rPr>
      </w:pPr>
      <w:r>
        <w:rPr>
          <w:rFonts w:ascii="Verdana" w:eastAsia="Verdana" w:hAnsi="Verdana" w:cs="Verdana"/>
          <w:sz w:val="20"/>
          <w:szCs w:val="20"/>
        </w:rPr>
        <w:t xml:space="preserve"> </w:t>
      </w:r>
    </w:p>
    <w:tbl>
      <w:tblPr>
        <w:tblStyle w:val="a0"/>
        <w:tblW w:w="10490" w:type="dxa"/>
        <w:tblInd w:w="-576" w:type="dxa"/>
        <w:tblBorders>
          <w:top w:val="nil"/>
          <w:left w:val="nil"/>
          <w:bottom w:val="nil"/>
          <w:right w:val="nil"/>
          <w:insideH w:val="nil"/>
          <w:insideV w:val="nil"/>
        </w:tblBorders>
        <w:tblLayout w:type="fixed"/>
        <w:tblLook w:val="0600" w:firstRow="0" w:lastRow="0" w:firstColumn="0" w:lastColumn="0" w:noHBand="1" w:noVBand="1"/>
      </w:tblPr>
      <w:tblGrid>
        <w:gridCol w:w="993"/>
        <w:gridCol w:w="1984"/>
        <w:gridCol w:w="284"/>
        <w:gridCol w:w="1842"/>
        <w:gridCol w:w="3119"/>
        <w:gridCol w:w="2268"/>
      </w:tblGrid>
      <w:tr w:rsidR="00DF679E" w14:paraId="4431170A" w14:textId="77777777" w:rsidTr="00EF0019">
        <w:trPr>
          <w:trHeight w:val="860"/>
        </w:trPr>
        <w:tc>
          <w:tcPr>
            <w:tcW w:w="993"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6809E8C2" w14:textId="77777777" w:rsidR="00DF679E" w:rsidRPr="00191613" w:rsidRDefault="003D5FA5">
            <w:pPr>
              <w:spacing w:before="240" w:after="240"/>
              <w:rPr>
                <w:b/>
                <w:sz w:val="18"/>
                <w:szCs w:val="18"/>
              </w:rPr>
            </w:pPr>
            <w:r w:rsidRPr="00191613">
              <w:rPr>
                <w:b/>
                <w:sz w:val="18"/>
                <w:szCs w:val="18"/>
              </w:rPr>
              <w:tab/>
              <w:t>Key dates</w:t>
            </w:r>
          </w:p>
        </w:tc>
        <w:tc>
          <w:tcPr>
            <w:tcW w:w="2268" w:type="dxa"/>
            <w:gridSpan w:val="2"/>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5F333AAF" w14:textId="77777777" w:rsidR="00DF679E" w:rsidRDefault="003D5FA5">
            <w:pPr>
              <w:spacing w:before="240" w:after="240"/>
              <w:jc w:val="center"/>
              <w:rPr>
                <w:b/>
                <w:color w:val="002060"/>
                <w:sz w:val="18"/>
                <w:szCs w:val="18"/>
              </w:rPr>
            </w:pPr>
            <w:r w:rsidRPr="00191613">
              <w:rPr>
                <w:b/>
                <w:sz w:val="18"/>
                <w:szCs w:val="18"/>
              </w:rPr>
              <w:t>What did you do?</w:t>
            </w:r>
          </w:p>
        </w:tc>
        <w:tc>
          <w:tcPr>
            <w:tcW w:w="1842"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B5F2E1B" w14:textId="77777777" w:rsidR="00DF679E" w:rsidRDefault="003D5FA5">
            <w:pPr>
              <w:spacing w:before="240" w:after="240"/>
              <w:jc w:val="center"/>
              <w:rPr>
                <w:b/>
                <w:color w:val="002060"/>
                <w:sz w:val="18"/>
                <w:szCs w:val="18"/>
              </w:rPr>
            </w:pPr>
            <w:r w:rsidRPr="00191613">
              <w:rPr>
                <w:b/>
                <w:sz w:val="18"/>
                <w:szCs w:val="18"/>
              </w:rPr>
              <w:t>Why?</w:t>
            </w:r>
          </w:p>
        </w:tc>
        <w:tc>
          <w:tcPr>
            <w:tcW w:w="3119"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1D78962E" w14:textId="77777777" w:rsidR="00DF679E" w:rsidRDefault="003D5FA5">
            <w:pPr>
              <w:spacing w:before="240" w:after="240"/>
              <w:jc w:val="center"/>
              <w:rPr>
                <w:b/>
                <w:color w:val="002060"/>
                <w:sz w:val="18"/>
                <w:szCs w:val="18"/>
              </w:rPr>
            </w:pPr>
            <w:r w:rsidRPr="00191613">
              <w:rPr>
                <w:b/>
                <w:sz w:val="18"/>
                <w:szCs w:val="18"/>
              </w:rPr>
              <w:t>What did you learn from this?</w:t>
            </w:r>
          </w:p>
        </w:tc>
        <w:tc>
          <w:tcPr>
            <w:tcW w:w="226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6262A6B" w14:textId="77777777" w:rsidR="00DF679E" w:rsidRPr="00191613" w:rsidRDefault="003D5FA5">
            <w:pPr>
              <w:spacing w:before="240" w:after="240"/>
              <w:jc w:val="center"/>
              <w:rPr>
                <w:b/>
                <w:sz w:val="18"/>
                <w:szCs w:val="18"/>
              </w:rPr>
            </w:pPr>
            <w:r w:rsidRPr="00191613">
              <w:rPr>
                <w:b/>
                <w:sz w:val="18"/>
                <w:szCs w:val="18"/>
              </w:rPr>
              <w:t>How have/will you use this?</w:t>
            </w:r>
          </w:p>
          <w:p w14:paraId="71361E30" w14:textId="77777777" w:rsidR="00DF679E" w:rsidRDefault="003D5FA5">
            <w:pPr>
              <w:spacing w:before="240" w:after="240"/>
              <w:jc w:val="center"/>
              <w:rPr>
                <w:b/>
                <w:color w:val="002060"/>
                <w:sz w:val="18"/>
                <w:szCs w:val="18"/>
              </w:rPr>
            </w:pPr>
            <w:r w:rsidRPr="00191613">
              <w:rPr>
                <w:b/>
                <w:sz w:val="18"/>
                <w:szCs w:val="18"/>
              </w:rPr>
              <w:t>Any further action?</w:t>
            </w:r>
          </w:p>
        </w:tc>
      </w:tr>
      <w:tr w:rsidR="00DF679E" w14:paraId="0D534CE5" w14:textId="77777777" w:rsidTr="00EF0019">
        <w:trPr>
          <w:trHeight w:val="3710"/>
        </w:trPr>
        <w:tc>
          <w:tcPr>
            <w:tcW w:w="993" w:type="dxa"/>
            <w:tcBorders>
              <w:top w:val="nil"/>
              <w:left w:val="single" w:sz="7" w:space="0" w:color="000000"/>
              <w:bottom w:val="single" w:sz="7" w:space="0" w:color="000000"/>
              <w:right w:val="single" w:sz="7" w:space="0" w:color="000000"/>
            </w:tcBorders>
            <w:shd w:val="clear" w:color="auto" w:fill="F7F7F8"/>
            <w:tcMar>
              <w:top w:w="100" w:type="dxa"/>
              <w:left w:w="100" w:type="dxa"/>
              <w:bottom w:w="100" w:type="dxa"/>
              <w:right w:w="100" w:type="dxa"/>
            </w:tcMar>
          </w:tcPr>
          <w:p w14:paraId="2A4DC15C" w14:textId="77777777" w:rsidR="00DF679E" w:rsidRDefault="003D5FA5" w:rsidP="00023C0F">
            <w:pPr>
              <w:spacing w:line="240" w:lineRule="auto"/>
            </w:pPr>
            <w:r>
              <w:lastRenderedPageBreak/>
              <w:t xml:space="preserve">28 </w:t>
            </w:r>
            <w:r w:rsidR="00023C0F">
              <w:t>Jan</w:t>
            </w:r>
          </w:p>
        </w:tc>
        <w:tc>
          <w:tcPr>
            <w:tcW w:w="1984" w:type="dxa"/>
            <w:tcBorders>
              <w:top w:val="nil"/>
              <w:left w:val="nil"/>
              <w:bottom w:val="single" w:sz="7" w:space="0" w:color="000000"/>
              <w:right w:val="single" w:sz="7" w:space="0" w:color="000000"/>
            </w:tcBorders>
            <w:shd w:val="clear" w:color="auto" w:fill="F7F7F8"/>
            <w:tcMar>
              <w:top w:w="100" w:type="dxa"/>
              <w:left w:w="100" w:type="dxa"/>
              <w:bottom w:w="100" w:type="dxa"/>
              <w:right w:w="100" w:type="dxa"/>
            </w:tcMar>
          </w:tcPr>
          <w:p w14:paraId="03FFC164" w14:textId="77777777" w:rsidR="00EF0019" w:rsidRDefault="00EF0019" w:rsidP="00EF0019">
            <w:pPr>
              <w:spacing w:line="240" w:lineRule="auto"/>
              <w:jc w:val="center"/>
            </w:pPr>
            <w:r>
              <w:t>Models and Principles for Community Engagement</w:t>
            </w:r>
          </w:p>
          <w:p w14:paraId="05AABA13" w14:textId="77777777" w:rsidR="00EF0019" w:rsidRDefault="00EF0019" w:rsidP="00EF0019">
            <w:pPr>
              <w:spacing w:line="240" w:lineRule="auto"/>
              <w:jc w:val="center"/>
            </w:pPr>
          </w:p>
          <w:p w14:paraId="01B12CD8" w14:textId="77777777" w:rsidR="00EF0019" w:rsidRDefault="00EF0019" w:rsidP="00EF0019">
            <w:pPr>
              <w:spacing w:line="240" w:lineRule="auto"/>
              <w:jc w:val="both"/>
            </w:pPr>
          </w:p>
          <w:p w14:paraId="051207F4" w14:textId="77777777" w:rsidR="00DF679E" w:rsidRDefault="00DF679E" w:rsidP="00EF0019">
            <w:pPr>
              <w:spacing w:line="240" w:lineRule="auto"/>
              <w:jc w:val="both"/>
            </w:pPr>
          </w:p>
        </w:tc>
        <w:tc>
          <w:tcPr>
            <w:tcW w:w="2126" w:type="dxa"/>
            <w:gridSpan w:val="2"/>
            <w:tcBorders>
              <w:top w:val="nil"/>
              <w:left w:val="nil"/>
              <w:bottom w:val="single" w:sz="7" w:space="0" w:color="000000"/>
              <w:right w:val="single" w:sz="7" w:space="0" w:color="000000"/>
            </w:tcBorders>
            <w:shd w:val="clear" w:color="auto" w:fill="F7F7F8"/>
            <w:tcMar>
              <w:top w:w="100" w:type="dxa"/>
              <w:left w:w="100" w:type="dxa"/>
              <w:bottom w:w="100" w:type="dxa"/>
              <w:right w:w="100" w:type="dxa"/>
            </w:tcMar>
          </w:tcPr>
          <w:p w14:paraId="1FC7D8F0" w14:textId="77777777" w:rsidR="00DF679E" w:rsidRDefault="003D5FA5" w:rsidP="00023C0F">
            <w:pPr>
              <w:spacing w:line="240" w:lineRule="auto"/>
            </w:pPr>
            <w:r>
              <w:t>Community engagement models and principles help to ensure that the community's voice is heard that their concerns and ideas are taken into account and that the decisions made are in the best interest of the community as a whole.</w:t>
            </w:r>
          </w:p>
        </w:tc>
        <w:tc>
          <w:tcPr>
            <w:tcW w:w="3119" w:type="dxa"/>
            <w:tcBorders>
              <w:top w:val="nil"/>
              <w:left w:val="nil"/>
              <w:bottom w:val="single" w:sz="7" w:space="0" w:color="000000"/>
              <w:right w:val="single" w:sz="7" w:space="0" w:color="000000"/>
            </w:tcBorders>
            <w:shd w:val="clear" w:color="auto" w:fill="F7F7F8"/>
            <w:tcMar>
              <w:top w:w="100" w:type="dxa"/>
              <w:left w:w="100" w:type="dxa"/>
              <w:bottom w:w="100" w:type="dxa"/>
              <w:right w:w="100" w:type="dxa"/>
            </w:tcMar>
          </w:tcPr>
          <w:p w14:paraId="50DA299F" w14:textId="77777777" w:rsidR="00DF679E" w:rsidRDefault="003D5FA5">
            <w:pPr>
              <w:spacing w:line="240" w:lineRule="auto"/>
            </w:pPr>
            <w:r>
              <w:t>Models and principles for community engagement are essential for promoting effective, inclusive, and sustainable decision-making processes that support the needs and aspirations of the communities they serve.</w:t>
            </w:r>
          </w:p>
        </w:tc>
        <w:tc>
          <w:tcPr>
            <w:tcW w:w="2268" w:type="dxa"/>
            <w:tcBorders>
              <w:top w:val="nil"/>
              <w:left w:val="nil"/>
              <w:bottom w:val="single" w:sz="7" w:space="0" w:color="000000"/>
              <w:right w:val="single" w:sz="7" w:space="0" w:color="000000"/>
            </w:tcBorders>
            <w:shd w:val="clear" w:color="auto" w:fill="F7F7F8"/>
            <w:tcMar>
              <w:top w:w="100" w:type="dxa"/>
              <w:left w:w="100" w:type="dxa"/>
              <w:bottom w:w="100" w:type="dxa"/>
              <w:right w:w="100" w:type="dxa"/>
            </w:tcMar>
          </w:tcPr>
          <w:p w14:paraId="5C7B9D6D" w14:textId="77777777" w:rsidR="00DF679E" w:rsidRDefault="003D5FA5">
            <w:pPr>
              <w:spacing w:line="240" w:lineRule="auto"/>
            </w:pPr>
            <w:r>
              <w:t>These models will help me to structure the assignment given</w:t>
            </w:r>
          </w:p>
        </w:tc>
      </w:tr>
      <w:tr w:rsidR="00DF679E" w14:paraId="6A1F7559" w14:textId="77777777" w:rsidTr="00EF0019">
        <w:trPr>
          <w:trHeight w:val="2420"/>
        </w:trPr>
        <w:tc>
          <w:tcPr>
            <w:tcW w:w="993"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FB9AF0E" w14:textId="77777777" w:rsidR="00DF679E" w:rsidRPr="00EF0019" w:rsidRDefault="003D5FA5" w:rsidP="00023C0F">
            <w:pPr>
              <w:spacing w:before="240" w:after="240"/>
            </w:pPr>
            <w:r w:rsidRPr="00EF0019">
              <w:t xml:space="preserve">4 </w:t>
            </w:r>
            <w:r w:rsidR="00023C0F" w:rsidRPr="00EF0019">
              <w:t>Feb</w:t>
            </w:r>
          </w:p>
        </w:tc>
        <w:tc>
          <w:tcPr>
            <w:tcW w:w="1984" w:type="dxa"/>
            <w:tcBorders>
              <w:top w:val="nil"/>
              <w:left w:val="nil"/>
              <w:bottom w:val="single" w:sz="7" w:space="0" w:color="000000"/>
              <w:right w:val="single" w:sz="7" w:space="0" w:color="000000"/>
            </w:tcBorders>
            <w:tcMar>
              <w:top w:w="100" w:type="dxa"/>
              <w:left w:w="100" w:type="dxa"/>
              <w:bottom w:w="100" w:type="dxa"/>
              <w:right w:w="100" w:type="dxa"/>
            </w:tcMar>
          </w:tcPr>
          <w:p w14:paraId="217D78F7" w14:textId="77777777" w:rsidR="00DF679E" w:rsidRPr="00EF0019" w:rsidRDefault="003D5FA5">
            <w:pPr>
              <w:spacing w:before="240" w:after="240"/>
            </w:pPr>
            <w:r w:rsidRPr="00EF0019">
              <w:t>Planning and Designing Community Engagement</w:t>
            </w:r>
          </w:p>
        </w:tc>
        <w:tc>
          <w:tcPr>
            <w:tcW w:w="2126" w:type="dxa"/>
            <w:gridSpan w:val="2"/>
            <w:tcBorders>
              <w:top w:val="nil"/>
              <w:left w:val="nil"/>
              <w:bottom w:val="single" w:sz="7" w:space="0" w:color="000000"/>
              <w:right w:val="single" w:sz="7" w:space="0" w:color="000000"/>
            </w:tcBorders>
            <w:tcMar>
              <w:top w:w="100" w:type="dxa"/>
              <w:left w:w="100" w:type="dxa"/>
              <w:bottom w:w="100" w:type="dxa"/>
              <w:right w:w="100" w:type="dxa"/>
            </w:tcMar>
          </w:tcPr>
          <w:p w14:paraId="65965D24" w14:textId="77777777" w:rsidR="00DF679E" w:rsidRPr="00EF0019" w:rsidRDefault="003D5FA5" w:rsidP="00023C0F">
            <w:pPr>
              <w:spacing w:before="240" w:after="240"/>
            </w:pPr>
            <w:r w:rsidRPr="00EF0019">
              <w:t>Planning and designing community engagement is crucial for ensuring that the community's voice is heard</w:t>
            </w:r>
            <w:r w:rsidR="00023C0F" w:rsidRPr="00EF0019">
              <w:t>, decisions</w:t>
            </w:r>
            <w:r w:rsidRPr="00EF0019">
              <w:t xml:space="preserve"> are made with their input, and that the outcome is in the best interests of everyone involved.</w:t>
            </w:r>
          </w:p>
        </w:tc>
        <w:tc>
          <w:tcPr>
            <w:tcW w:w="3119" w:type="dxa"/>
            <w:tcBorders>
              <w:top w:val="nil"/>
              <w:left w:val="nil"/>
              <w:bottom w:val="single" w:sz="7" w:space="0" w:color="000000"/>
              <w:right w:val="single" w:sz="7" w:space="0" w:color="000000"/>
            </w:tcBorders>
            <w:tcMar>
              <w:top w:w="100" w:type="dxa"/>
              <w:left w:w="100" w:type="dxa"/>
              <w:bottom w:w="100" w:type="dxa"/>
              <w:right w:w="100" w:type="dxa"/>
            </w:tcMar>
          </w:tcPr>
          <w:p w14:paraId="54801DDF" w14:textId="77777777" w:rsidR="00DF679E" w:rsidRPr="00EF0019" w:rsidRDefault="003D5FA5">
            <w:pPr>
              <w:spacing w:before="240" w:after="240"/>
            </w:pPr>
            <w:r w:rsidRPr="00EF0019">
              <w:t>Effective community engagement can help to build trust and relationships between decision-makers and the community. This can lead to greater collaboration, increased community ownership of projects, and a more positive outcome for everyone involved.</w:t>
            </w:r>
          </w:p>
        </w:tc>
        <w:tc>
          <w:tcPr>
            <w:tcW w:w="2268" w:type="dxa"/>
            <w:tcBorders>
              <w:top w:val="nil"/>
              <w:left w:val="nil"/>
              <w:bottom w:val="single" w:sz="7" w:space="0" w:color="000000"/>
              <w:right w:val="single" w:sz="7" w:space="0" w:color="000000"/>
            </w:tcBorders>
            <w:tcMar>
              <w:top w:w="100" w:type="dxa"/>
              <w:left w:w="100" w:type="dxa"/>
              <w:bottom w:w="100" w:type="dxa"/>
              <w:right w:w="100" w:type="dxa"/>
            </w:tcMar>
          </w:tcPr>
          <w:p w14:paraId="5206CE26" w14:textId="77777777" w:rsidR="00DF679E" w:rsidRPr="00EF0019" w:rsidRDefault="003D5FA5">
            <w:pPr>
              <w:spacing w:before="240" w:after="240"/>
            </w:pPr>
            <w:r w:rsidRPr="00EF0019">
              <w:t xml:space="preserve">This will help me with </w:t>
            </w:r>
            <w:r w:rsidR="00023C0F" w:rsidRPr="00EF0019">
              <w:t xml:space="preserve">the </w:t>
            </w:r>
            <w:r w:rsidRPr="00EF0019">
              <w:t>Gantt chart</w:t>
            </w:r>
          </w:p>
        </w:tc>
      </w:tr>
      <w:tr w:rsidR="00DF679E" w14:paraId="314409FB" w14:textId="77777777" w:rsidTr="00EF0019">
        <w:trPr>
          <w:trHeight w:val="1820"/>
        </w:trPr>
        <w:tc>
          <w:tcPr>
            <w:tcW w:w="993"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3E5C69A" w14:textId="77777777" w:rsidR="00DF679E" w:rsidRPr="00EF0019" w:rsidRDefault="003D5FA5" w:rsidP="00023C0F">
            <w:pPr>
              <w:spacing w:before="240" w:after="240"/>
            </w:pPr>
            <w:r w:rsidRPr="00EF0019">
              <w:t xml:space="preserve">11 </w:t>
            </w:r>
            <w:r w:rsidR="00023C0F" w:rsidRPr="00EF0019">
              <w:t>Feb</w:t>
            </w:r>
          </w:p>
        </w:tc>
        <w:tc>
          <w:tcPr>
            <w:tcW w:w="1984" w:type="dxa"/>
            <w:tcBorders>
              <w:top w:val="nil"/>
              <w:left w:val="nil"/>
              <w:bottom w:val="single" w:sz="7" w:space="0" w:color="000000"/>
              <w:right w:val="single" w:sz="7" w:space="0" w:color="000000"/>
            </w:tcBorders>
            <w:tcMar>
              <w:top w:w="100" w:type="dxa"/>
              <w:left w:w="100" w:type="dxa"/>
              <w:bottom w:w="100" w:type="dxa"/>
              <w:right w:w="100" w:type="dxa"/>
            </w:tcMar>
          </w:tcPr>
          <w:p w14:paraId="3100D1AC" w14:textId="77777777" w:rsidR="00DF679E" w:rsidRPr="00EF0019" w:rsidRDefault="003D5FA5">
            <w:pPr>
              <w:spacing w:before="240" w:after="240"/>
            </w:pPr>
            <w:r w:rsidRPr="00EF0019">
              <w:t>Quality standards for Community Engagement</w:t>
            </w:r>
          </w:p>
        </w:tc>
        <w:tc>
          <w:tcPr>
            <w:tcW w:w="2126" w:type="dxa"/>
            <w:gridSpan w:val="2"/>
            <w:tcBorders>
              <w:top w:val="nil"/>
              <w:left w:val="nil"/>
              <w:bottom w:val="single" w:sz="7" w:space="0" w:color="000000"/>
              <w:right w:val="single" w:sz="7" w:space="0" w:color="000000"/>
            </w:tcBorders>
            <w:tcMar>
              <w:top w:w="100" w:type="dxa"/>
              <w:left w:w="100" w:type="dxa"/>
              <w:bottom w:w="100" w:type="dxa"/>
              <w:right w:w="100" w:type="dxa"/>
            </w:tcMar>
          </w:tcPr>
          <w:p w14:paraId="07787127" w14:textId="77777777" w:rsidR="00DF679E" w:rsidRPr="00EF0019" w:rsidRDefault="003D5FA5">
            <w:pPr>
              <w:spacing w:before="240" w:after="240"/>
            </w:pPr>
            <w:r w:rsidRPr="00EF0019">
              <w:t>Quality standards provide a clear framework for organizations to measure and evaluate the success of their community engagement efforts.</w:t>
            </w:r>
          </w:p>
        </w:tc>
        <w:tc>
          <w:tcPr>
            <w:tcW w:w="3119" w:type="dxa"/>
            <w:tcBorders>
              <w:top w:val="nil"/>
              <w:left w:val="nil"/>
              <w:bottom w:val="single" w:sz="7" w:space="0" w:color="000000"/>
              <w:right w:val="single" w:sz="7" w:space="0" w:color="000000"/>
            </w:tcBorders>
            <w:tcMar>
              <w:top w:w="100" w:type="dxa"/>
              <w:left w:w="100" w:type="dxa"/>
              <w:bottom w:w="100" w:type="dxa"/>
              <w:right w:w="100" w:type="dxa"/>
            </w:tcMar>
          </w:tcPr>
          <w:p w14:paraId="3299AB74" w14:textId="77777777" w:rsidR="00DF679E" w:rsidRPr="00EF0019" w:rsidRDefault="003D5FA5">
            <w:pPr>
              <w:spacing w:before="240" w:after="240"/>
            </w:pPr>
            <w:r w:rsidRPr="00EF0019">
              <w:t>Standards for community engagement can ensure that all members of a community are included and have an equal opportunity to participate. This ensures that the engagement process is fair, transparent, and equitable</w:t>
            </w:r>
          </w:p>
        </w:tc>
        <w:tc>
          <w:tcPr>
            <w:tcW w:w="2268" w:type="dxa"/>
            <w:tcBorders>
              <w:top w:val="nil"/>
              <w:left w:val="nil"/>
              <w:bottom w:val="single" w:sz="7" w:space="0" w:color="000000"/>
              <w:right w:val="single" w:sz="7" w:space="0" w:color="000000"/>
            </w:tcBorders>
            <w:tcMar>
              <w:top w:w="100" w:type="dxa"/>
              <w:left w:w="100" w:type="dxa"/>
              <w:bottom w:w="100" w:type="dxa"/>
              <w:right w:w="100" w:type="dxa"/>
            </w:tcMar>
          </w:tcPr>
          <w:p w14:paraId="4C534327" w14:textId="77777777" w:rsidR="00DF679E" w:rsidRPr="00EF0019" w:rsidRDefault="003D5FA5">
            <w:pPr>
              <w:spacing w:before="240" w:after="240"/>
            </w:pPr>
            <w:r w:rsidRPr="00EF0019">
              <w:t>importance of quality community engagement, organizations and communities can help influence decision-making and improve outcomes for everyone.</w:t>
            </w:r>
          </w:p>
        </w:tc>
      </w:tr>
      <w:tr w:rsidR="00DF679E" w14:paraId="48E14B73" w14:textId="77777777" w:rsidTr="00EF0019">
        <w:trPr>
          <w:trHeight w:val="1010"/>
        </w:trPr>
        <w:tc>
          <w:tcPr>
            <w:tcW w:w="993"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A3FC1B8" w14:textId="77777777" w:rsidR="00DF679E" w:rsidRPr="00EF0019" w:rsidRDefault="003D5FA5" w:rsidP="00023C0F">
            <w:pPr>
              <w:spacing w:before="240" w:after="240"/>
            </w:pPr>
            <w:r w:rsidRPr="00EF0019">
              <w:t xml:space="preserve">18 </w:t>
            </w:r>
            <w:r w:rsidR="00023C0F" w:rsidRPr="00EF0019">
              <w:t>Feb</w:t>
            </w:r>
          </w:p>
        </w:tc>
        <w:tc>
          <w:tcPr>
            <w:tcW w:w="1984" w:type="dxa"/>
            <w:tcBorders>
              <w:top w:val="nil"/>
              <w:left w:val="nil"/>
              <w:bottom w:val="single" w:sz="7" w:space="0" w:color="000000"/>
              <w:right w:val="single" w:sz="7" w:space="0" w:color="000000"/>
            </w:tcBorders>
            <w:tcMar>
              <w:top w:w="100" w:type="dxa"/>
              <w:left w:w="100" w:type="dxa"/>
              <w:bottom w:w="100" w:type="dxa"/>
              <w:right w:w="100" w:type="dxa"/>
            </w:tcMar>
          </w:tcPr>
          <w:p w14:paraId="1AF77A06" w14:textId="77777777" w:rsidR="00DF679E" w:rsidRPr="00EF0019" w:rsidRDefault="003D5FA5">
            <w:pPr>
              <w:spacing w:before="240" w:after="240"/>
            </w:pPr>
            <w:r w:rsidRPr="00EF0019">
              <w:t>Tools and Platforms for Community Engagement</w:t>
            </w:r>
          </w:p>
        </w:tc>
        <w:tc>
          <w:tcPr>
            <w:tcW w:w="2126" w:type="dxa"/>
            <w:gridSpan w:val="2"/>
            <w:tcBorders>
              <w:top w:val="nil"/>
              <w:left w:val="nil"/>
              <w:bottom w:val="single" w:sz="7" w:space="0" w:color="000000"/>
              <w:right w:val="single" w:sz="7" w:space="0" w:color="000000"/>
            </w:tcBorders>
            <w:tcMar>
              <w:top w:w="100" w:type="dxa"/>
              <w:left w:w="100" w:type="dxa"/>
              <w:bottom w:w="100" w:type="dxa"/>
              <w:right w:w="100" w:type="dxa"/>
            </w:tcMar>
          </w:tcPr>
          <w:p w14:paraId="23110B47" w14:textId="77777777" w:rsidR="00DF679E" w:rsidRPr="00EF0019" w:rsidRDefault="003D5FA5" w:rsidP="00023C0F">
            <w:pPr>
              <w:spacing w:before="240" w:after="240"/>
            </w:pPr>
            <w:r w:rsidRPr="00EF0019">
              <w:t xml:space="preserve">To practice tools necessary in </w:t>
            </w:r>
            <w:r w:rsidR="00023C0F" w:rsidRPr="00EF0019">
              <w:t>analyzing</w:t>
            </w:r>
            <w:r w:rsidRPr="00EF0019">
              <w:t xml:space="preserve"> </w:t>
            </w:r>
            <w:r w:rsidRPr="00EF0019">
              <w:lastRenderedPageBreak/>
              <w:t>community engagement</w:t>
            </w:r>
          </w:p>
        </w:tc>
        <w:tc>
          <w:tcPr>
            <w:tcW w:w="3119" w:type="dxa"/>
            <w:tcBorders>
              <w:top w:val="nil"/>
              <w:left w:val="nil"/>
              <w:bottom w:val="single" w:sz="7" w:space="0" w:color="000000"/>
              <w:right w:val="single" w:sz="7" w:space="0" w:color="000000"/>
            </w:tcBorders>
            <w:tcMar>
              <w:top w:w="100" w:type="dxa"/>
              <w:left w:w="100" w:type="dxa"/>
              <w:bottom w:w="100" w:type="dxa"/>
              <w:right w:w="100" w:type="dxa"/>
            </w:tcMar>
          </w:tcPr>
          <w:p w14:paraId="5FEA6720" w14:textId="77777777" w:rsidR="00DF679E" w:rsidRPr="00EF0019" w:rsidRDefault="003D5FA5" w:rsidP="00023C0F">
            <w:pPr>
              <w:spacing w:before="240" w:after="240"/>
            </w:pPr>
            <w:r w:rsidRPr="00EF0019">
              <w:lastRenderedPageBreak/>
              <w:t xml:space="preserve">tools and platforms for community engagement are essential for building stronger, more inclusive </w:t>
            </w:r>
            <w:r w:rsidRPr="00EF0019">
              <w:lastRenderedPageBreak/>
              <w:t xml:space="preserve">communities that are empowered to work together </w:t>
            </w:r>
            <w:r w:rsidR="00023C0F" w:rsidRPr="00EF0019">
              <w:t>toward</w:t>
            </w:r>
            <w:r w:rsidRPr="00EF0019">
              <w:t xml:space="preserve"> common goals</w:t>
            </w:r>
          </w:p>
        </w:tc>
        <w:tc>
          <w:tcPr>
            <w:tcW w:w="2268" w:type="dxa"/>
            <w:tcBorders>
              <w:top w:val="nil"/>
              <w:left w:val="nil"/>
              <w:bottom w:val="single" w:sz="7" w:space="0" w:color="000000"/>
              <w:right w:val="single" w:sz="7" w:space="0" w:color="000000"/>
            </w:tcBorders>
            <w:tcMar>
              <w:top w:w="100" w:type="dxa"/>
              <w:left w:w="100" w:type="dxa"/>
              <w:bottom w:w="100" w:type="dxa"/>
              <w:right w:w="100" w:type="dxa"/>
            </w:tcMar>
          </w:tcPr>
          <w:p w14:paraId="3E8329A4" w14:textId="77777777" w:rsidR="00DF679E" w:rsidRPr="00EF0019" w:rsidRDefault="003D5FA5">
            <w:pPr>
              <w:spacing w:before="240" w:after="240"/>
            </w:pPr>
            <w:r w:rsidRPr="00EF0019">
              <w:lastRenderedPageBreak/>
              <w:t>I can use tools and platforms to improve the assignment given</w:t>
            </w:r>
          </w:p>
        </w:tc>
      </w:tr>
      <w:tr w:rsidR="00DF679E" w14:paraId="2A1EA05F" w14:textId="77777777" w:rsidTr="00EF0019">
        <w:trPr>
          <w:trHeight w:val="1415"/>
        </w:trPr>
        <w:tc>
          <w:tcPr>
            <w:tcW w:w="993"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6185093" w14:textId="77777777" w:rsidR="00DF679E" w:rsidRPr="00EF0019" w:rsidRDefault="003D5FA5" w:rsidP="00023C0F">
            <w:pPr>
              <w:spacing w:before="240" w:after="240"/>
            </w:pPr>
            <w:r w:rsidRPr="00EF0019">
              <w:t xml:space="preserve">25 </w:t>
            </w:r>
            <w:r w:rsidR="00023C0F" w:rsidRPr="00EF0019">
              <w:t>Feb</w:t>
            </w:r>
          </w:p>
        </w:tc>
        <w:tc>
          <w:tcPr>
            <w:tcW w:w="1984" w:type="dxa"/>
            <w:tcBorders>
              <w:top w:val="nil"/>
              <w:left w:val="nil"/>
              <w:bottom w:val="single" w:sz="7" w:space="0" w:color="000000"/>
              <w:right w:val="single" w:sz="7" w:space="0" w:color="000000"/>
            </w:tcBorders>
            <w:tcMar>
              <w:top w:w="100" w:type="dxa"/>
              <w:left w:w="100" w:type="dxa"/>
              <w:bottom w:w="100" w:type="dxa"/>
              <w:right w:w="100" w:type="dxa"/>
            </w:tcMar>
          </w:tcPr>
          <w:p w14:paraId="6DD7CA0D" w14:textId="77777777" w:rsidR="00DF679E" w:rsidRPr="00EF0019" w:rsidRDefault="003D5FA5">
            <w:pPr>
              <w:spacing w:before="240" w:after="240"/>
            </w:pPr>
            <w:r w:rsidRPr="00EF0019">
              <w:t>Sustainable Community Engagement</w:t>
            </w:r>
          </w:p>
        </w:tc>
        <w:tc>
          <w:tcPr>
            <w:tcW w:w="2126" w:type="dxa"/>
            <w:gridSpan w:val="2"/>
            <w:tcBorders>
              <w:top w:val="nil"/>
              <w:left w:val="nil"/>
              <w:bottom w:val="single" w:sz="7" w:space="0" w:color="000000"/>
              <w:right w:val="single" w:sz="7" w:space="0" w:color="000000"/>
            </w:tcBorders>
            <w:tcMar>
              <w:top w:w="100" w:type="dxa"/>
              <w:left w:w="100" w:type="dxa"/>
              <w:bottom w:w="100" w:type="dxa"/>
              <w:right w:w="100" w:type="dxa"/>
            </w:tcMar>
          </w:tcPr>
          <w:p w14:paraId="0A6F4CD6" w14:textId="77777777" w:rsidR="00DF679E" w:rsidRPr="00EF0019" w:rsidRDefault="003D5FA5">
            <w:pPr>
              <w:spacing w:before="240" w:after="240"/>
            </w:pPr>
            <w:r w:rsidRPr="00EF0019">
              <w:t>sustainable community engagement is essential for creating resilient and thriving communities</w:t>
            </w:r>
          </w:p>
        </w:tc>
        <w:tc>
          <w:tcPr>
            <w:tcW w:w="3119" w:type="dxa"/>
            <w:tcBorders>
              <w:top w:val="nil"/>
              <w:left w:val="nil"/>
              <w:bottom w:val="single" w:sz="7" w:space="0" w:color="000000"/>
              <w:right w:val="single" w:sz="7" w:space="0" w:color="000000"/>
            </w:tcBorders>
            <w:tcMar>
              <w:top w:w="100" w:type="dxa"/>
              <w:left w:w="100" w:type="dxa"/>
              <w:bottom w:w="100" w:type="dxa"/>
              <w:right w:w="100" w:type="dxa"/>
            </w:tcMar>
          </w:tcPr>
          <w:p w14:paraId="6AE367CF" w14:textId="77777777" w:rsidR="00DF679E" w:rsidRPr="00EF0019" w:rsidRDefault="003D5FA5" w:rsidP="00023C0F">
            <w:pPr>
              <w:spacing w:before="240" w:after="240"/>
            </w:pPr>
            <w:r w:rsidRPr="00EF0019">
              <w:t xml:space="preserve">Community members bring valuable local knowledge and expertise </w:t>
            </w:r>
            <w:r w:rsidR="00023C0F" w:rsidRPr="00EF0019">
              <w:t>to help organizations</w:t>
            </w:r>
            <w:r w:rsidRPr="00EF0019">
              <w:t xml:space="preserve"> make more informed decisions.</w:t>
            </w:r>
          </w:p>
        </w:tc>
        <w:tc>
          <w:tcPr>
            <w:tcW w:w="2268" w:type="dxa"/>
            <w:tcBorders>
              <w:top w:val="nil"/>
              <w:left w:val="nil"/>
              <w:bottom w:val="single" w:sz="7" w:space="0" w:color="000000"/>
              <w:right w:val="single" w:sz="7" w:space="0" w:color="000000"/>
            </w:tcBorders>
            <w:tcMar>
              <w:top w:w="100" w:type="dxa"/>
              <w:left w:w="100" w:type="dxa"/>
              <w:bottom w:w="100" w:type="dxa"/>
              <w:right w:w="100" w:type="dxa"/>
            </w:tcMar>
          </w:tcPr>
          <w:p w14:paraId="311267A3" w14:textId="77777777" w:rsidR="00DF679E" w:rsidRPr="00EF0019" w:rsidRDefault="003D5FA5" w:rsidP="00023C0F">
            <w:pPr>
              <w:spacing w:before="240" w:after="240"/>
            </w:pPr>
            <w:r w:rsidRPr="00EF0019">
              <w:t xml:space="preserve">We used the lesson to watch 3 cases and </w:t>
            </w:r>
            <w:r w:rsidR="00023C0F" w:rsidRPr="00EF0019">
              <w:t>analyze</w:t>
            </w:r>
            <w:r w:rsidRPr="00EF0019">
              <w:t xml:space="preserve"> them</w:t>
            </w:r>
          </w:p>
        </w:tc>
      </w:tr>
      <w:tr w:rsidR="00DF679E" w14:paraId="6EEF0E5D" w14:textId="77777777" w:rsidTr="00EF0019">
        <w:trPr>
          <w:trHeight w:val="1220"/>
        </w:trPr>
        <w:tc>
          <w:tcPr>
            <w:tcW w:w="993"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3FB3347" w14:textId="77777777" w:rsidR="00DF679E" w:rsidRPr="00EF0019" w:rsidRDefault="003D5FA5" w:rsidP="00023C0F">
            <w:pPr>
              <w:spacing w:before="240" w:after="240"/>
            </w:pPr>
            <w:r w:rsidRPr="00EF0019">
              <w:t xml:space="preserve">4 </w:t>
            </w:r>
            <w:r w:rsidR="00023C0F" w:rsidRPr="00EF0019">
              <w:t>Mar</w:t>
            </w:r>
          </w:p>
        </w:tc>
        <w:tc>
          <w:tcPr>
            <w:tcW w:w="1984" w:type="dxa"/>
            <w:tcBorders>
              <w:top w:val="nil"/>
              <w:left w:val="nil"/>
              <w:bottom w:val="single" w:sz="7" w:space="0" w:color="000000"/>
              <w:right w:val="single" w:sz="7" w:space="0" w:color="000000"/>
            </w:tcBorders>
            <w:tcMar>
              <w:top w:w="100" w:type="dxa"/>
              <w:left w:w="100" w:type="dxa"/>
              <w:bottom w:w="100" w:type="dxa"/>
              <w:right w:w="100" w:type="dxa"/>
            </w:tcMar>
          </w:tcPr>
          <w:p w14:paraId="06EB11AC" w14:textId="77777777" w:rsidR="00DF679E" w:rsidRPr="00EF0019" w:rsidRDefault="003D5FA5">
            <w:pPr>
              <w:spacing w:before="240" w:after="240"/>
            </w:pPr>
            <w:r w:rsidRPr="00EF0019">
              <w:t>Understanding the impacts of effective Community Engagement</w:t>
            </w:r>
          </w:p>
        </w:tc>
        <w:tc>
          <w:tcPr>
            <w:tcW w:w="2126" w:type="dxa"/>
            <w:gridSpan w:val="2"/>
            <w:tcBorders>
              <w:top w:val="nil"/>
              <w:left w:val="nil"/>
              <w:bottom w:val="single" w:sz="7" w:space="0" w:color="000000"/>
              <w:right w:val="single" w:sz="7" w:space="0" w:color="000000"/>
            </w:tcBorders>
            <w:tcMar>
              <w:top w:w="100" w:type="dxa"/>
              <w:left w:w="100" w:type="dxa"/>
              <w:bottom w:w="100" w:type="dxa"/>
              <w:right w:w="100" w:type="dxa"/>
            </w:tcMar>
          </w:tcPr>
          <w:p w14:paraId="0311B61A" w14:textId="77777777" w:rsidR="00DF679E" w:rsidRPr="00EF0019" w:rsidRDefault="003D5FA5" w:rsidP="00191613">
            <w:pPr>
              <w:spacing w:before="240" w:after="240"/>
              <w:jc w:val="both"/>
            </w:pPr>
            <w:r w:rsidRPr="00EF0019">
              <w:t>To understand the impacts of effective community engagement,</w:t>
            </w:r>
          </w:p>
        </w:tc>
        <w:tc>
          <w:tcPr>
            <w:tcW w:w="3119" w:type="dxa"/>
            <w:tcBorders>
              <w:top w:val="nil"/>
              <w:left w:val="nil"/>
              <w:bottom w:val="single" w:sz="7" w:space="0" w:color="000000"/>
              <w:right w:val="single" w:sz="7" w:space="0" w:color="000000"/>
            </w:tcBorders>
            <w:tcMar>
              <w:top w:w="100" w:type="dxa"/>
              <w:left w:w="100" w:type="dxa"/>
              <w:bottom w:w="100" w:type="dxa"/>
              <w:right w:w="100" w:type="dxa"/>
            </w:tcMar>
          </w:tcPr>
          <w:p w14:paraId="5983A2EA" w14:textId="77777777" w:rsidR="00DF679E" w:rsidRPr="00EF0019" w:rsidRDefault="003D5FA5">
            <w:pPr>
              <w:spacing w:before="240" w:after="240"/>
            </w:pPr>
            <w:r w:rsidRPr="00EF0019">
              <w:t>Empowering communities with the tools and knowledge they need to create positive change can lead to greater engagement and ownership, which can in turn lead to more sustainable and long-lasting impacts</w:t>
            </w:r>
          </w:p>
        </w:tc>
        <w:tc>
          <w:tcPr>
            <w:tcW w:w="2268" w:type="dxa"/>
            <w:tcBorders>
              <w:top w:val="nil"/>
              <w:left w:val="nil"/>
              <w:bottom w:val="single" w:sz="7" w:space="0" w:color="000000"/>
              <w:right w:val="single" w:sz="7" w:space="0" w:color="000000"/>
            </w:tcBorders>
            <w:tcMar>
              <w:top w:w="100" w:type="dxa"/>
              <w:left w:w="100" w:type="dxa"/>
              <w:bottom w:w="100" w:type="dxa"/>
              <w:right w:w="100" w:type="dxa"/>
            </w:tcMar>
          </w:tcPr>
          <w:p w14:paraId="2A0DCFF1" w14:textId="77777777" w:rsidR="00DF679E" w:rsidRPr="00EF0019" w:rsidRDefault="003D5FA5">
            <w:pPr>
              <w:spacing w:before="240" w:after="240"/>
            </w:pPr>
            <w:r w:rsidRPr="00EF0019">
              <w:t>I can use this for the reflective essay</w:t>
            </w:r>
          </w:p>
        </w:tc>
      </w:tr>
      <w:tr w:rsidR="00DF679E" w14:paraId="15CF8607" w14:textId="77777777" w:rsidTr="00EF0019">
        <w:trPr>
          <w:trHeight w:val="1010"/>
        </w:trPr>
        <w:tc>
          <w:tcPr>
            <w:tcW w:w="993"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407005E" w14:textId="77777777" w:rsidR="00DF679E" w:rsidRPr="00EF0019" w:rsidRDefault="003D5FA5" w:rsidP="00023C0F">
            <w:pPr>
              <w:spacing w:before="240" w:after="240"/>
            </w:pPr>
            <w:r w:rsidRPr="00EF0019">
              <w:t xml:space="preserve">11 </w:t>
            </w:r>
            <w:r w:rsidR="00023C0F" w:rsidRPr="00EF0019">
              <w:t>Mar</w:t>
            </w:r>
          </w:p>
        </w:tc>
        <w:tc>
          <w:tcPr>
            <w:tcW w:w="1984" w:type="dxa"/>
            <w:tcBorders>
              <w:top w:val="nil"/>
              <w:left w:val="nil"/>
              <w:bottom w:val="single" w:sz="7" w:space="0" w:color="000000"/>
              <w:right w:val="single" w:sz="7" w:space="0" w:color="000000"/>
            </w:tcBorders>
            <w:tcMar>
              <w:top w:w="100" w:type="dxa"/>
              <w:left w:w="100" w:type="dxa"/>
              <w:bottom w:w="100" w:type="dxa"/>
              <w:right w:w="100" w:type="dxa"/>
            </w:tcMar>
          </w:tcPr>
          <w:p w14:paraId="7BA5F647" w14:textId="77777777" w:rsidR="00DF679E" w:rsidRPr="00EF0019" w:rsidRDefault="003D5FA5">
            <w:pPr>
              <w:spacing w:before="240" w:after="240"/>
            </w:pPr>
            <w:r w:rsidRPr="00EF0019">
              <w:t>Reflection and learning styles</w:t>
            </w:r>
          </w:p>
        </w:tc>
        <w:tc>
          <w:tcPr>
            <w:tcW w:w="2126" w:type="dxa"/>
            <w:gridSpan w:val="2"/>
            <w:tcBorders>
              <w:top w:val="nil"/>
              <w:left w:val="nil"/>
              <w:bottom w:val="single" w:sz="7" w:space="0" w:color="000000"/>
              <w:right w:val="single" w:sz="7" w:space="0" w:color="000000"/>
            </w:tcBorders>
            <w:tcMar>
              <w:top w:w="100" w:type="dxa"/>
              <w:left w:w="100" w:type="dxa"/>
              <w:bottom w:w="100" w:type="dxa"/>
              <w:right w:w="100" w:type="dxa"/>
            </w:tcMar>
          </w:tcPr>
          <w:p w14:paraId="28E603B8" w14:textId="77777777" w:rsidR="00DF679E" w:rsidRPr="00EF0019" w:rsidRDefault="003D5FA5">
            <w:pPr>
              <w:spacing w:before="240" w:after="240"/>
            </w:pPr>
            <w:r w:rsidRPr="00EF0019">
              <w:t>To improve skills and knowledge</w:t>
            </w:r>
          </w:p>
        </w:tc>
        <w:tc>
          <w:tcPr>
            <w:tcW w:w="3119" w:type="dxa"/>
            <w:tcBorders>
              <w:top w:val="nil"/>
              <w:left w:val="nil"/>
              <w:bottom w:val="single" w:sz="7" w:space="0" w:color="000000"/>
              <w:right w:val="single" w:sz="7" w:space="0" w:color="000000"/>
            </w:tcBorders>
            <w:tcMar>
              <w:top w:w="100" w:type="dxa"/>
              <w:left w:w="100" w:type="dxa"/>
              <w:bottom w:w="100" w:type="dxa"/>
              <w:right w:w="100" w:type="dxa"/>
            </w:tcMar>
          </w:tcPr>
          <w:p w14:paraId="1B29827D" w14:textId="77777777" w:rsidR="00DF679E" w:rsidRPr="00EF0019" w:rsidRDefault="003D5FA5">
            <w:pPr>
              <w:spacing w:before="240" w:after="240"/>
            </w:pPr>
            <w:r w:rsidRPr="00EF0019">
              <w:t>Understanding the importance of relationships and trust in community engagement can help build strong partnerships with community members and organizations.</w:t>
            </w:r>
          </w:p>
        </w:tc>
        <w:tc>
          <w:tcPr>
            <w:tcW w:w="2268" w:type="dxa"/>
            <w:tcBorders>
              <w:top w:val="nil"/>
              <w:left w:val="nil"/>
              <w:bottom w:val="single" w:sz="7" w:space="0" w:color="000000"/>
              <w:right w:val="single" w:sz="7" w:space="0" w:color="000000"/>
            </w:tcBorders>
            <w:tcMar>
              <w:top w:w="100" w:type="dxa"/>
              <w:left w:w="100" w:type="dxa"/>
              <w:bottom w:w="100" w:type="dxa"/>
              <w:right w:w="100" w:type="dxa"/>
            </w:tcMar>
          </w:tcPr>
          <w:p w14:paraId="227FA451" w14:textId="77777777" w:rsidR="00DF679E" w:rsidRPr="00EF0019" w:rsidRDefault="003D5FA5">
            <w:pPr>
              <w:spacing w:before="240" w:after="240"/>
            </w:pPr>
            <w:r w:rsidRPr="00EF0019">
              <w:t>By reflecting on experiences and learning styles,  it can be useful to identify areas for improvement and take steps to enhance skills and knowledge.</w:t>
            </w:r>
          </w:p>
        </w:tc>
      </w:tr>
      <w:tr w:rsidR="00DF679E" w14:paraId="7D4AE0B7" w14:textId="77777777" w:rsidTr="00EF0019">
        <w:trPr>
          <w:trHeight w:val="1220"/>
        </w:trPr>
        <w:tc>
          <w:tcPr>
            <w:tcW w:w="993"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55582C6" w14:textId="77777777" w:rsidR="00DF679E" w:rsidRPr="00EF0019" w:rsidRDefault="003D5FA5" w:rsidP="00023C0F">
            <w:pPr>
              <w:spacing w:before="240" w:after="240"/>
            </w:pPr>
            <w:r w:rsidRPr="00EF0019">
              <w:t xml:space="preserve">18 </w:t>
            </w:r>
            <w:r w:rsidR="00023C0F" w:rsidRPr="00EF0019">
              <w:t>Mar</w:t>
            </w:r>
          </w:p>
        </w:tc>
        <w:tc>
          <w:tcPr>
            <w:tcW w:w="1984" w:type="dxa"/>
            <w:tcBorders>
              <w:top w:val="nil"/>
              <w:left w:val="nil"/>
              <w:bottom w:val="single" w:sz="7" w:space="0" w:color="000000"/>
              <w:right w:val="single" w:sz="7" w:space="0" w:color="000000"/>
            </w:tcBorders>
            <w:tcMar>
              <w:top w:w="100" w:type="dxa"/>
              <w:left w:w="100" w:type="dxa"/>
              <w:bottom w:w="100" w:type="dxa"/>
              <w:right w:w="100" w:type="dxa"/>
            </w:tcMar>
          </w:tcPr>
          <w:p w14:paraId="4C86C3AA" w14:textId="77777777" w:rsidR="00DF679E" w:rsidRPr="00EF0019" w:rsidRDefault="003D5FA5">
            <w:pPr>
              <w:spacing w:before="240" w:after="240"/>
            </w:pPr>
            <w:r w:rsidRPr="00EF0019">
              <w:t>Evaluating and accepting change</w:t>
            </w:r>
          </w:p>
        </w:tc>
        <w:tc>
          <w:tcPr>
            <w:tcW w:w="2126" w:type="dxa"/>
            <w:gridSpan w:val="2"/>
            <w:tcBorders>
              <w:top w:val="nil"/>
              <w:left w:val="nil"/>
              <w:bottom w:val="single" w:sz="7" w:space="0" w:color="000000"/>
              <w:right w:val="single" w:sz="7" w:space="0" w:color="000000"/>
            </w:tcBorders>
            <w:tcMar>
              <w:top w:w="100" w:type="dxa"/>
              <w:left w:w="100" w:type="dxa"/>
              <w:bottom w:w="100" w:type="dxa"/>
              <w:right w:w="100" w:type="dxa"/>
            </w:tcMar>
          </w:tcPr>
          <w:p w14:paraId="690D3383" w14:textId="77777777" w:rsidR="00DF679E" w:rsidRPr="00EF0019" w:rsidRDefault="003D5FA5">
            <w:pPr>
              <w:spacing w:before="240" w:after="240"/>
            </w:pPr>
            <w:r w:rsidRPr="00EF0019">
              <w:t>To share learnings with other communities</w:t>
            </w:r>
          </w:p>
        </w:tc>
        <w:tc>
          <w:tcPr>
            <w:tcW w:w="3119" w:type="dxa"/>
            <w:tcBorders>
              <w:top w:val="nil"/>
              <w:left w:val="nil"/>
              <w:bottom w:val="single" w:sz="7" w:space="0" w:color="000000"/>
              <w:right w:val="single" w:sz="7" w:space="0" w:color="000000"/>
            </w:tcBorders>
            <w:tcMar>
              <w:top w:w="100" w:type="dxa"/>
              <w:left w:w="100" w:type="dxa"/>
              <w:bottom w:w="100" w:type="dxa"/>
              <w:right w:w="100" w:type="dxa"/>
            </w:tcMar>
          </w:tcPr>
          <w:p w14:paraId="3A7E11DD" w14:textId="77777777" w:rsidR="00DF679E" w:rsidRPr="00EF0019" w:rsidRDefault="003D5FA5">
            <w:pPr>
              <w:spacing w:before="240" w:after="240"/>
            </w:pPr>
            <w:r w:rsidRPr="00EF0019">
              <w:t>Communities are dynamic and constantly evolving. By regularly evaluating and accepting changes in community engagement, you can ensure that the program remains relevant and responsive to the changing needs of the community.</w:t>
            </w:r>
          </w:p>
        </w:tc>
        <w:tc>
          <w:tcPr>
            <w:tcW w:w="2268" w:type="dxa"/>
            <w:tcBorders>
              <w:top w:val="nil"/>
              <w:left w:val="nil"/>
              <w:bottom w:val="single" w:sz="7" w:space="0" w:color="000000"/>
              <w:right w:val="single" w:sz="7" w:space="0" w:color="000000"/>
            </w:tcBorders>
            <w:tcMar>
              <w:top w:w="100" w:type="dxa"/>
              <w:left w:w="100" w:type="dxa"/>
              <w:bottom w:w="100" w:type="dxa"/>
              <w:right w:w="100" w:type="dxa"/>
            </w:tcMar>
          </w:tcPr>
          <w:p w14:paraId="11802CFF" w14:textId="77777777" w:rsidR="00DF679E" w:rsidRPr="00EF0019" w:rsidRDefault="003D5FA5">
            <w:pPr>
              <w:spacing w:before="240" w:after="240"/>
            </w:pPr>
            <w:r w:rsidRPr="00EF0019">
              <w:t>it can help to build trust between the community and those involved in the engagement process</w:t>
            </w:r>
          </w:p>
        </w:tc>
      </w:tr>
    </w:tbl>
    <w:p w14:paraId="3C9BC185" w14:textId="77777777" w:rsidR="00DF679E" w:rsidRDefault="003D5FA5">
      <w:pPr>
        <w:spacing w:before="240" w:after="240"/>
      </w:pPr>
      <w:r>
        <w:lastRenderedPageBreak/>
        <w:t xml:space="preserve"> </w:t>
      </w:r>
    </w:p>
    <w:p w14:paraId="3E5BDAAA" w14:textId="77777777" w:rsidR="00DF679E" w:rsidRDefault="003D5FA5">
      <w:pPr>
        <w:pStyle w:val="Heading2"/>
        <w:spacing w:before="240" w:after="240"/>
      </w:pPr>
      <w:bookmarkStart w:id="2" w:name="_j82pkskoh9nk" w:colFirst="0" w:colLast="0"/>
      <w:bookmarkEnd w:id="2"/>
      <w:r>
        <w:t>Introduction</w:t>
      </w:r>
    </w:p>
    <w:p w14:paraId="64E0934F" w14:textId="77777777" w:rsidR="00DF679E" w:rsidRDefault="004150D6" w:rsidP="00191613">
      <w:pPr>
        <w:spacing w:line="360" w:lineRule="auto"/>
        <w:ind w:firstLine="680"/>
        <w:jc w:val="both"/>
        <w:rPr>
          <w:sz w:val="24"/>
          <w:szCs w:val="24"/>
        </w:rPr>
      </w:pPr>
      <w:r w:rsidRPr="004150D6">
        <w:rPr>
          <w:sz w:val="24"/>
          <w:szCs w:val="24"/>
        </w:rPr>
        <w:t>The ocean is one of the world's most significant resources. It is home to countless species of marine life, plays a vital role in regulating the planet's climate, and provides food and resources to millions of people worldwide. However, the ocean is also facing a growing threat of pollution and debris that can have devastating impacts on the environment and human health.</w:t>
      </w:r>
    </w:p>
    <w:p w14:paraId="16801897" w14:textId="77777777" w:rsidR="00DF679E" w:rsidRPr="005F28E0" w:rsidRDefault="004150D6" w:rsidP="00191613">
      <w:pPr>
        <w:spacing w:line="360" w:lineRule="auto"/>
        <w:ind w:firstLine="680"/>
        <w:jc w:val="both"/>
        <w:rPr>
          <w:sz w:val="24"/>
          <w:szCs w:val="24"/>
        </w:rPr>
      </w:pPr>
      <w:r w:rsidRPr="005F28E0">
        <w:rPr>
          <w:sz w:val="24"/>
          <w:szCs w:val="24"/>
        </w:rPr>
        <w:t>An organization that has established itself as a leader in the fight against ocean pollution is Ocean Cleanup. Founded in 2013 by Dutch inventor Boyan Slat, The Ocean Cleanup is a non-profit organization that aims to develop advanced technologies to rid the world's oceans of plastic and other debris. The organization has attracted global attention for its innovative approach to one of the most urgent environmental challenges of our time.</w:t>
      </w:r>
    </w:p>
    <w:p w14:paraId="4B3C18FE" w14:textId="77777777" w:rsidR="00DF679E" w:rsidRPr="005F28E0" w:rsidRDefault="004150D6" w:rsidP="00191613">
      <w:pPr>
        <w:spacing w:line="360" w:lineRule="auto"/>
        <w:ind w:firstLine="680"/>
        <w:jc w:val="both"/>
        <w:rPr>
          <w:sz w:val="24"/>
          <w:szCs w:val="24"/>
        </w:rPr>
      </w:pPr>
      <w:r w:rsidRPr="005F28E0">
        <w:rPr>
          <w:sz w:val="24"/>
          <w:szCs w:val="24"/>
        </w:rPr>
        <w:t>I've been following The Ocean Cleanup project's progress in combating ocean pollution since its inception in 2013, I would</w:t>
      </w:r>
      <w:r w:rsidR="00023C0F" w:rsidRPr="005F28E0">
        <w:rPr>
          <w:sz w:val="24"/>
          <w:szCs w:val="24"/>
        </w:rPr>
        <w:t xml:space="preserve"> </w:t>
      </w:r>
      <w:r w:rsidRPr="005F28E0">
        <w:rPr>
          <w:sz w:val="24"/>
          <w:szCs w:val="24"/>
        </w:rPr>
        <w:t xml:space="preserve">like to join the project as soon as I finish my studies as I'm inspired to contribute to this cause. While the project already exists, I have ideas for improving the existing project structure and approaches used by The Ocean Cleanup that I will discuss </w:t>
      </w:r>
      <w:r w:rsidR="00023C0F" w:rsidRPr="005F28E0">
        <w:rPr>
          <w:sz w:val="24"/>
          <w:szCs w:val="24"/>
        </w:rPr>
        <w:t>in</w:t>
      </w:r>
      <w:r w:rsidRPr="005F28E0">
        <w:rPr>
          <w:sz w:val="24"/>
          <w:szCs w:val="24"/>
        </w:rPr>
        <w:t xml:space="preserve"> </w:t>
      </w:r>
      <w:r w:rsidR="00023C0F" w:rsidRPr="005F28E0">
        <w:rPr>
          <w:sz w:val="24"/>
          <w:szCs w:val="24"/>
        </w:rPr>
        <w:t xml:space="preserve">the </w:t>
      </w:r>
      <w:r w:rsidRPr="005F28E0">
        <w:rPr>
          <w:sz w:val="24"/>
          <w:szCs w:val="24"/>
        </w:rPr>
        <w:t>what I would do better section.</w:t>
      </w:r>
    </w:p>
    <w:p w14:paraId="5B97B4B1" w14:textId="77777777" w:rsidR="00DF679E" w:rsidRDefault="004150D6" w:rsidP="00191613">
      <w:pPr>
        <w:spacing w:line="360" w:lineRule="auto"/>
        <w:ind w:firstLine="680"/>
        <w:jc w:val="both"/>
        <w:rPr>
          <w:sz w:val="24"/>
          <w:szCs w:val="24"/>
        </w:rPr>
      </w:pPr>
      <w:r w:rsidRPr="005F28E0">
        <w:rPr>
          <w:sz w:val="24"/>
          <w:szCs w:val="24"/>
        </w:rPr>
        <w:t>In addition to examining the work of The Ocean Cleanup, I will also compare its efforts with other organizations such as Birmingham Common Wheels Games. In analyzing their approaches, achievements</w:t>
      </w:r>
      <w:r w:rsidR="00023C0F" w:rsidRPr="005F28E0">
        <w:rPr>
          <w:sz w:val="24"/>
          <w:szCs w:val="24"/>
        </w:rPr>
        <w:t>,</w:t>
      </w:r>
      <w:r w:rsidRPr="005F28E0">
        <w:rPr>
          <w:sz w:val="24"/>
          <w:szCs w:val="24"/>
        </w:rPr>
        <w:t xml:space="preserve"> and challenges, we will identify areas</w:t>
      </w:r>
      <w:r w:rsidRPr="004150D6">
        <w:rPr>
          <w:sz w:val="24"/>
          <w:szCs w:val="24"/>
        </w:rPr>
        <w:t xml:space="preserve"> where The Ocean Cleanup can learn and improve, as well as areas where it has excelled.</w:t>
      </w:r>
    </w:p>
    <w:p w14:paraId="65FBE422" w14:textId="77777777" w:rsidR="004150D6" w:rsidRPr="00191613" w:rsidRDefault="004150D6" w:rsidP="00191613">
      <w:pPr>
        <w:pStyle w:val="NoSpacing"/>
        <w:spacing w:line="360" w:lineRule="auto"/>
        <w:ind w:firstLine="680"/>
        <w:jc w:val="both"/>
        <w:rPr>
          <w:sz w:val="24"/>
          <w:szCs w:val="24"/>
        </w:rPr>
      </w:pPr>
      <w:bookmarkStart w:id="3" w:name="_9pbgelwj7lzi" w:colFirst="0" w:colLast="0"/>
      <w:bookmarkEnd w:id="3"/>
      <w:r w:rsidRPr="00191613">
        <w:rPr>
          <w:sz w:val="24"/>
          <w:szCs w:val="24"/>
        </w:rPr>
        <w:t>My goal is to offer a comprehensive report on the current state of ocean cleanup efforts and highlight the crucial role played by The Ocean Cleanup and other organizations in protecting the world's oceans for future generations.</w:t>
      </w:r>
    </w:p>
    <w:p w14:paraId="0B6BD388" w14:textId="77777777" w:rsidR="00DF679E" w:rsidRDefault="003D5FA5">
      <w:pPr>
        <w:pStyle w:val="Heading2"/>
      </w:pPr>
      <w:r>
        <w:t>Projects Comparison Table</w:t>
      </w:r>
    </w:p>
    <w:p w14:paraId="429EC074" w14:textId="77777777" w:rsidR="00DF679E" w:rsidRDefault="00DF679E">
      <w:pPr>
        <w:rPr>
          <w:sz w:val="24"/>
          <w:szCs w:val="24"/>
        </w:rPr>
      </w:pPr>
    </w:p>
    <w:p w14:paraId="5F49F6E2" w14:textId="77777777" w:rsidR="00DF679E" w:rsidRDefault="00DF679E">
      <w:pPr>
        <w:rPr>
          <w:sz w:val="24"/>
          <w:szCs w:val="24"/>
        </w:rPr>
      </w:pP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75"/>
        <w:gridCol w:w="3638"/>
        <w:gridCol w:w="3612"/>
      </w:tblGrid>
      <w:tr w:rsidR="00DF679E" w14:paraId="7243CE85" w14:textId="77777777">
        <w:trPr>
          <w:trHeight w:val="710"/>
        </w:trPr>
        <w:tc>
          <w:tcPr>
            <w:tcW w:w="1775"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339126A7" w14:textId="77777777" w:rsidR="00DF679E" w:rsidRDefault="003D5FA5">
            <w:pPr>
              <w:spacing w:line="240" w:lineRule="auto"/>
              <w:rPr>
                <w:sz w:val="24"/>
                <w:szCs w:val="24"/>
              </w:rPr>
            </w:pPr>
            <w:r>
              <w:rPr>
                <w:sz w:val="24"/>
                <w:szCs w:val="24"/>
              </w:rPr>
              <w:t>Aspect</w:t>
            </w:r>
          </w:p>
        </w:tc>
        <w:tc>
          <w:tcPr>
            <w:tcW w:w="3637" w:type="dxa"/>
            <w:tcBorders>
              <w:top w:val="single" w:sz="6" w:space="0" w:color="D9D9E3"/>
              <w:left w:val="single" w:sz="6" w:space="0" w:color="D9D9E3"/>
              <w:bottom w:val="single" w:sz="6" w:space="0" w:color="D9D9E3"/>
              <w:right w:val="nil"/>
            </w:tcBorders>
            <w:tcMar>
              <w:top w:w="100" w:type="dxa"/>
              <w:left w:w="100" w:type="dxa"/>
              <w:bottom w:w="100" w:type="dxa"/>
              <w:right w:w="100" w:type="dxa"/>
            </w:tcMar>
            <w:vAlign w:val="bottom"/>
          </w:tcPr>
          <w:p w14:paraId="62849362" w14:textId="77777777" w:rsidR="00DF679E" w:rsidRDefault="003D5FA5">
            <w:pPr>
              <w:spacing w:line="240" w:lineRule="auto"/>
              <w:rPr>
                <w:sz w:val="24"/>
                <w:szCs w:val="24"/>
              </w:rPr>
            </w:pPr>
            <w:r>
              <w:rPr>
                <w:sz w:val="24"/>
                <w:szCs w:val="24"/>
              </w:rPr>
              <w:t>Birmingham Commonwealth Games</w:t>
            </w:r>
          </w:p>
        </w:tc>
        <w:tc>
          <w:tcPr>
            <w:tcW w:w="3611" w:type="dxa"/>
            <w:tcBorders>
              <w:top w:val="single" w:sz="6" w:space="0" w:color="D9D9E3"/>
              <w:left w:val="single" w:sz="6" w:space="0" w:color="D9D9E3"/>
              <w:bottom w:val="single" w:sz="6" w:space="0" w:color="D9D9E3"/>
              <w:right w:val="single" w:sz="6" w:space="0" w:color="D9D9E3"/>
            </w:tcBorders>
            <w:tcMar>
              <w:top w:w="100" w:type="dxa"/>
              <w:left w:w="100" w:type="dxa"/>
              <w:bottom w:w="100" w:type="dxa"/>
              <w:right w:w="100" w:type="dxa"/>
            </w:tcMar>
            <w:vAlign w:val="bottom"/>
          </w:tcPr>
          <w:p w14:paraId="1316F1B8" w14:textId="77777777" w:rsidR="00DF679E" w:rsidRDefault="003D5FA5">
            <w:pPr>
              <w:spacing w:line="240" w:lineRule="auto"/>
              <w:rPr>
                <w:sz w:val="24"/>
                <w:szCs w:val="24"/>
              </w:rPr>
            </w:pPr>
            <w:r>
              <w:rPr>
                <w:sz w:val="24"/>
                <w:szCs w:val="24"/>
              </w:rPr>
              <w:t>Ocean Cleanup Project</w:t>
            </w:r>
          </w:p>
        </w:tc>
      </w:tr>
      <w:tr w:rsidR="00DF679E" w14:paraId="2B50CECF" w14:textId="77777777">
        <w:trPr>
          <w:trHeight w:val="2135"/>
        </w:trPr>
        <w:tc>
          <w:tcPr>
            <w:tcW w:w="177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E56CABD" w14:textId="77777777" w:rsidR="00DF679E" w:rsidRDefault="003D5FA5">
            <w:pPr>
              <w:spacing w:line="240" w:lineRule="auto"/>
              <w:rPr>
                <w:sz w:val="24"/>
                <w:szCs w:val="24"/>
              </w:rPr>
            </w:pPr>
            <w:r>
              <w:rPr>
                <w:sz w:val="24"/>
                <w:szCs w:val="24"/>
              </w:rPr>
              <w:lastRenderedPageBreak/>
              <w:t>Educational content</w:t>
            </w:r>
          </w:p>
        </w:tc>
        <w:tc>
          <w:tcPr>
            <w:tcW w:w="363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2AC8967" w14:textId="77777777" w:rsidR="00DF679E" w:rsidRDefault="003D5FA5">
            <w:pPr>
              <w:spacing w:line="240" w:lineRule="auto"/>
              <w:rPr>
                <w:sz w:val="24"/>
                <w:szCs w:val="24"/>
              </w:rPr>
            </w:pPr>
            <w:r>
              <w:rPr>
                <w:sz w:val="24"/>
                <w:szCs w:val="24"/>
              </w:rPr>
              <w:t>The games included cultural events and educational activities for participants and visitors.</w:t>
            </w:r>
          </w:p>
        </w:tc>
        <w:tc>
          <w:tcPr>
            <w:tcW w:w="3611"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40201EF7" w14:textId="77777777" w:rsidR="00DF679E" w:rsidRDefault="003D5FA5">
            <w:pPr>
              <w:spacing w:line="240" w:lineRule="auto"/>
              <w:rPr>
                <w:sz w:val="24"/>
                <w:szCs w:val="24"/>
              </w:rPr>
            </w:pPr>
            <w:r>
              <w:rPr>
                <w:sz w:val="24"/>
                <w:szCs w:val="24"/>
              </w:rPr>
              <w:t>The Ocean Cleanup project has an extensive educational program that includes school visits, online courses, and educational materials for teachers.</w:t>
            </w:r>
          </w:p>
        </w:tc>
      </w:tr>
      <w:tr w:rsidR="00DF679E" w14:paraId="4971E83E" w14:textId="77777777">
        <w:trPr>
          <w:trHeight w:val="2135"/>
        </w:trPr>
        <w:tc>
          <w:tcPr>
            <w:tcW w:w="177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61AB650" w14:textId="77777777" w:rsidR="00DF679E" w:rsidRDefault="003D5FA5">
            <w:pPr>
              <w:spacing w:line="240" w:lineRule="auto"/>
              <w:rPr>
                <w:sz w:val="24"/>
                <w:szCs w:val="24"/>
              </w:rPr>
            </w:pPr>
            <w:r>
              <w:rPr>
                <w:sz w:val="24"/>
                <w:szCs w:val="24"/>
              </w:rPr>
              <w:t>Media coverage</w:t>
            </w:r>
          </w:p>
        </w:tc>
        <w:tc>
          <w:tcPr>
            <w:tcW w:w="363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59D0F01B" w14:textId="77777777" w:rsidR="00DF679E" w:rsidRDefault="003D5FA5">
            <w:pPr>
              <w:spacing w:line="240" w:lineRule="auto"/>
              <w:rPr>
                <w:sz w:val="24"/>
                <w:szCs w:val="24"/>
              </w:rPr>
            </w:pPr>
            <w:r>
              <w:rPr>
                <w:sz w:val="24"/>
                <w:szCs w:val="24"/>
              </w:rPr>
              <w:t>The games received significant media coverage, both nationally and internationally.</w:t>
            </w:r>
          </w:p>
        </w:tc>
        <w:tc>
          <w:tcPr>
            <w:tcW w:w="3611"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3F981BDE" w14:textId="77777777" w:rsidR="00DF679E" w:rsidRDefault="003D5FA5">
            <w:pPr>
              <w:spacing w:line="240" w:lineRule="auto"/>
              <w:rPr>
                <w:sz w:val="24"/>
                <w:szCs w:val="24"/>
              </w:rPr>
            </w:pPr>
            <w:r>
              <w:rPr>
                <w:sz w:val="24"/>
                <w:szCs w:val="24"/>
              </w:rPr>
              <w:t>The Ocean Cleanup project has also received widespread media coverage, including documentaries and news articles about its efforts to remove plastic waste from the oceans.</w:t>
            </w:r>
          </w:p>
        </w:tc>
      </w:tr>
      <w:tr w:rsidR="00DF679E" w14:paraId="430998EB" w14:textId="77777777">
        <w:trPr>
          <w:trHeight w:val="2495"/>
        </w:trPr>
        <w:tc>
          <w:tcPr>
            <w:tcW w:w="177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1E76F23" w14:textId="77777777" w:rsidR="00DF679E" w:rsidRDefault="003D5FA5">
            <w:pPr>
              <w:spacing w:line="240" w:lineRule="auto"/>
              <w:rPr>
                <w:sz w:val="24"/>
                <w:szCs w:val="24"/>
              </w:rPr>
            </w:pPr>
            <w:r>
              <w:rPr>
                <w:sz w:val="24"/>
                <w:szCs w:val="24"/>
              </w:rPr>
              <w:t>Environmental impact</w:t>
            </w:r>
          </w:p>
        </w:tc>
        <w:tc>
          <w:tcPr>
            <w:tcW w:w="363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69F58AD" w14:textId="77777777" w:rsidR="00DF679E" w:rsidRDefault="003D5FA5">
            <w:pPr>
              <w:spacing w:line="240" w:lineRule="auto"/>
              <w:rPr>
                <w:sz w:val="24"/>
                <w:szCs w:val="24"/>
              </w:rPr>
            </w:pPr>
            <w:r>
              <w:rPr>
                <w:sz w:val="24"/>
                <w:szCs w:val="24"/>
              </w:rPr>
              <w:t>While the games aimed to be sustainable and environmentally conscious, they still had a significant carbon footprint due to the transportation of athletes, officials, and spectators.</w:t>
            </w:r>
          </w:p>
        </w:tc>
        <w:tc>
          <w:tcPr>
            <w:tcW w:w="3611"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A1998D8" w14:textId="77777777" w:rsidR="00DF679E" w:rsidRDefault="003D5FA5" w:rsidP="00023C0F">
            <w:pPr>
              <w:spacing w:line="240" w:lineRule="auto"/>
              <w:rPr>
                <w:sz w:val="24"/>
                <w:szCs w:val="24"/>
              </w:rPr>
            </w:pPr>
            <w:r>
              <w:rPr>
                <w:sz w:val="24"/>
                <w:szCs w:val="24"/>
              </w:rPr>
              <w:t>The Ocean Cleanup project has a direct positive environmental impact by removing plastic waste from the oceans and raising awareness about the issue of ocean pollution.</w:t>
            </w:r>
          </w:p>
        </w:tc>
      </w:tr>
      <w:tr w:rsidR="00DF679E" w14:paraId="4C6D1264" w14:textId="77777777">
        <w:trPr>
          <w:trHeight w:val="2135"/>
        </w:trPr>
        <w:tc>
          <w:tcPr>
            <w:tcW w:w="177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623C5259" w14:textId="77777777" w:rsidR="00DF679E" w:rsidRDefault="003D5FA5">
            <w:pPr>
              <w:spacing w:line="240" w:lineRule="auto"/>
              <w:rPr>
                <w:sz w:val="24"/>
                <w:szCs w:val="24"/>
              </w:rPr>
            </w:pPr>
            <w:r>
              <w:rPr>
                <w:sz w:val="24"/>
                <w:szCs w:val="24"/>
              </w:rPr>
              <w:t>Community engagement</w:t>
            </w:r>
          </w:p>
        </w:tc>
        <w:tc>
          <w:tcPr>
            <w:tcW w:w="363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3F301E83" w14:textId="77777777" w:rsidR="00DF679E" w:rsidRDefault="003D5FA5">
            <w:pPr>
              <w:spacing w:line="240" w:lineRule="auto"/>
              <w:rPr>
                <w:sz w:val="24"/>
                <w:szCs w:val="24"/>
              </w:rPr>
            </w:pPr>
            <w:r>
              <w:rPr>
                <w:sz w:val="24"/>
                <w:szCs w:val="24"/>
              </w:rPr>
              <w:t>The games provided an opportunity for the community to come together and participate in various activities, but the focus was mainly on the athletes and their competition.</w:t>
            </w:r>
          </w:p>
        </w:tc>
        <w:tc>
          <w:tcPr>
            <w:tcW w:w="3611"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340F5CEF" w14:textId="77777777" w:rsidR="00DF679E" w:rsidRDefault="003D5FA5">
            <w:pPr>
              <w:spacing w:line="240" w:lineRule="auto"/>
              <w:rPr>
                <w:sz w:val="24"/>
                <w:szCs w:val="24"/>
              </w:rPr>
            </w:pPr>
            <w:r>
              <w:rPr>
                <w:sz w:val="24"/>
                <w:szCs w:val="24"/>
              </w:rPr>
              <w:t>The Ocean Cleanup project actively engages with communities around the world, encouraging them to take action and join the fight against ocean pollution.</w:t>
            </w:r>
          </w:p>
        </w:tc>
      </w:tr>
      <w:tr w:rsidR="00DF679E" w14:paraId="09F24175" w14:textId="77777777">
        <w:trPr>
          <w:trHeight w:val="2135"/>
        </w:trPr>
        <w:tc>
          <w:tcPr>
            <w:tcW w:w="177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F6770CE" w14:textId="77777777" w:rsidR="00DF679E" w:rsidRDefault="003D5FA5">
            <w:pPr>
              <w:spacing w:line="240" w:lineRule="auto"/>
              <w:rPr>
                <w:sz w:val="24"/>
                <w:szCs w:val="24"/>
              </w:rPr>
            </w:pPr>
            <w:r>
              <w:rPr>
                <w:sz w:val="24"/>
                <w:szCs w:val="24"/>
              </w:rPr>
              <w:t>Innovation</w:t>
            </w:r>
          </w:p>
        </w:tc>
        <w:tc>
          <w:tcPr>
            <w:tcW w:w="363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0E5F4696" w14:textId="77777777" w:rsidR="00DF679E" w:rsidRDefault="003D5FA5">
            <w:pPr>
              <w:spacing w:line="240" w:lineRule="auto"/>
              <w:rPr>
                <w:sz w:val="24"/>
                <w:szCs w:val="24"/>
              </w:rPr>
            </w:pPr>
            <w:r>
              <w:rPr>
                <w:sz w:val="24"/>
                <w:szCs w:val="24"/>
              </w:rPr>
              <w:t>While the games did incorporate some innovative technology, such as 5G networks, they were primarily focused on traditional sporting events.</w:t>
            </w:r>
          </w:p>
        </w:tc>
        <w:tc>
          <w:tcPr>
            <w:tcW w:w="3611"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823A15C" w14:textId="77777777" w:rsidR="00DF679E" w:rsidRDefault="003D5FA5" w:rsidP="00023C0F">
            <w:pPr>
              <w:spacing w:line="240" w:lineRule="auto"/>
              <w:rPr>
                <w:sz w:val="24"/>
                <w:szCs w:val="24"/>
              </w:rPr>
            </w:pPr>
            <w:r>
              <w:rPr>
                <w:sz w:val="24"/>
                <w:szCs w:val="24"/>
              </w:rPr>
              <w:t>The Ocean Cleanup project has developed innovative technologies, such as System 001 and Interceptor, to remove plastic waste from the oceans more efficiently.</w:t>
            </w:r>
          </w:p>
        </w:tc>
      </w:tr>
      <w:tr w:rsidR="00DF679E" w14:paraId="1AC8EB45" w14:textId="77777777">
        <w:trPr>
          <w:trHeight w:val="2495"/>
        </w:trPr>
        <w:tc>
          <w:tcPr>
            <w:tcW w:w="177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DC5E2DF" w14:textId="77777777" w:rsidR="00DF679E" w:rsidRDefault="003D5FA5">
            <w:pPr>
              <w:spacing w:line="240" w:lineRule="auto"/>
              <w:rPr>
                <w:sz w:val="24"/>
                <w:szCs w:val="24"/>
              </w:rPr>
            </w:pPr>
            <w:r>
              <w:rPr>
                <w:sz w:val="24"/>
                <w:szCs w:val="24"/>
              </w:rPr>
              <w:lastRenderedPageBreak/>
              <w:t>Long-term impact</w:t>
            </w:r>
          </w:p>
        </w:tc>
        <w:tc>
          <w:tcPr>
            <w:tcW w:w="363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B9D55C9" w14:textId="77777777" w:rsidR="00DF679E" w:rsidRDefault="003D5FA5">
            <w:pPr>
              <w:spacing w:line="240" w:lineRule="auto"/>
              <w:rPr>
                <w:sz w:val="24"/>
                <w:szCs w:val="24"/>
              </w:rPr>
            </w:pPr>
            <w:r>
              <w:rPr>
                <w:sz w:val="24"/>
                <w:szCs w:val="24"/>
              </w:rPr>
              <w:t>While the games had a positive impact on the local economy and infrastructure, their long-term impact on the community and environment is unclear.</w:t>
            </w:r>
          </w:p>
        </w:tc>
        <w:tc>
          <w:tcPr>
            <w:tcW w:w="3611"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7DF0D283" w14:textId="77777777" w:rsidR="00DF679E" w:rsidRDefault="003D5FA5">
            <w:pPr>
              <w:spacing w:line="240" w:lineRule="auto"/>
              <w:rPr>
                <w:sz w:val="24"/>
                <w:szCs w:val="24"/>
              </w:rPr>
            </w:pPr>
            <w:r>
              <w:rPr>
                <w:sz w:val="24"/>
                <w:szCs w:val="24"/>
              </w:rPr>
              <w:t>The Ocean Cleanup project has the potential to have a lasting impact on the environment by reducing the amount of plastic waste in the oceans, and by raising awareness about the issue.</w:t>
            </w:r>
          </w:p>
        </w:tc>
      </w:tr>
      <w:tr w:rsidR="00DF679E" w14:paraId="0DB598D9" w14:textId="77777777">
        <w:trPr>
          <w:trHeight w:val="2495"/>
        </w:trPr>
        <w:tc>
          <w:tcPr>
            <w:tcW w:w="1775"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28F67D53" w14:textId="77777777" w:rsidR="00DF679E" w:rsidRDefault="003D5FA5">
            <w:pPr>
              <w:spacing w:line="240" w:lineRule="auto"/>
              <w:rPr>
                <w:sz w:val="24"/>
                <w:szCs w:val="24"/>
              </w:rPr>
            </w:pPr>
            <w:r>
              <w:rPr>
                <w:sz w:val="24"/>
                <w:szCs w:val="24"/>
              </w:rPr>
              <w:t>School engagement</w:t>
            </w:r>
          </w:p>
        </w:tc>
        <w:tc>
          <w:tcPr>
            <w:tcW w:w="3637" w:type="dxa"/>
            <w:tcBorders>
              <w:top w:val="nil"/>
              <w:left w:val="single" w:sz="6" w:space="0" w:color="D9D9E3"/>
              <w:bottom w:val="single" w:sz="6" w:space="0" w:color="D9D9E3"/>
              <w:right w:val="nil"/>
            </w:tcBorders>
            <w:tcMar>
              <w:top w:w="100" w:type="dxa"/>
              <w:left w:w="100" w:type="dxa"/>
              <w:bottom w:w="100" w:type="dxa"/>
              <w:right w:w="100" w:type="dxa"/>
            </w:tcMar>
            <w:vAlign w:val="center"/>
          </w:tcPr>
          <w:p w14:paraId="1332A907" w14:textId="77777777" w:rsidR="00DF679E" w:rsidRDefault="003D5FA5" w:rsidP="00023C0F">
            <w:pPr>
              <w:spacing w:line="240" w:lineRule="auto"/>
              <w:rPr>
                <w:sz w:val="24"/>
                <w:szCs w:val="24"/>
              </w:rPr>
            </w:pPr>
            <w:r>
              <w:rPr>
                <w:sz w:val="24"/>
                <w:szCs w:val="24"/>
              </w:rPr>
              <w:t>Birmingham Commonwealth Games provided educational material to schools but did not have a dedicated program to engage with schools.</w:t>
            </w:r>
          </w:p>
        </w:tc>
        <w:tc>
          <w:tcPr>
            <w:tcW w:w="3611" w:type="dxa"/>
            <w:tcBorders>
              <w:top w:val="nil"/>
              <w:left w:val="single" w:sz="6" w:space="0" w:color="D9D9E3"/>
              <w:bottom w:val="single" w:sz="6" w:space="0" w:color="D9D9E3"/>
              <w:right w:val="single" w:sz="6" w:space="0" w:color="D9D9E3"/>
            </w:tcBorders>
            <w:tcMar>
              <w:top w:w="100" w:type="dxa"/>
              <w:left w:w="100" w:type="dxa"/>
              <w:bottom w:w="100" w:type="dxa"/>
              <w:right w:w="100" w:type="dxa"/>
            </w:tcMar>
            <w:vAlign w:val="center"/>
          </w:tcPr>
          <w:p w14:paraId="198B3D26" w14:textId="77777777" w:rsidR="00DF679E" w:rsidRDefault="003D5FA5">
            <w:pPr>
              <w:spacing w:line="240" w:lineRule="auto"/>
              <w:rPr>
                <w:sz w:val="24"/>
                <w:szCs w:val="24"/>
              </w:rPr>
            </w:pPr>
            <w:r>
              <w:rPr>
                <w:sz w:val="24"/>
                <w:szCs w:val="24"/>
              </w:rPr>
              <w:t>Ocean Cleanup Project has a dedicated educational program for schools, including presentations, lesson plans, and resources for teachers to incorporate into their curricula.</w:t>
            </w:r>
          </w:p>
        </w:tc>
      </w:tr>
    </w:tbl>
    <w:p w14:paraId="0AB57F99" w14:textId="77777777" w:rsidR="00DF679E" w:rsidRDefault="00DF679E">
      <w:pPr>
        <w:rPr>
          <w:sz w:val="24"/>
          <w:szCs w:val="24"/>
        </w:rPr>
      </w:pPr>
    </w:p>
    <w:p w14:paraId="6FECBDFC" w14:textId="77777777" w:rsidR="00BD34C7" w:rsidRPr="00BD34C7" w:rsidRDefault="00BD34C7" w:rsidP="00191613">
      <w:pPr>
        <w:spacing w:line="360" w:lineRule="auto"/>
        <w:ind w:firstLine="680"/>
        <w:jc w:val="both"/>
        <w:rPr>
          <w:sz w:val="24"/>
          <w:szCs w:val="24"/>
        </w:rPr>
      </w:pPr>
      <w:r w:rsidRPr="00BD34C7">
        <w:rPr>
          <w:sz w:val="24"/>
          <w:szCs w:val="24"/>
        </w:rPr>
        <w:t>According to a report by the National Endowment for the Arts (NEA), community engagement in the arts can help strengthen communities by fostering greater civic engagement, social cohesion, and individual well-being (NEA, 2017). This is particularly true when community members are actively engaged in planning and implementing artistic projects that reflect their interests and concerns.</w:t>
      </w:r>
    </w:p>
    <w:p w14:paraId="68416F98" w14:textId="77777777" w:rsidR="00DF679E" w:rsidRDefault="00BD34C7" w:rsidP="00191613">
      <w:pPr>
        <w:spacing w:line="360" w:lineRule="auto"/>
        <w:ind w:firstLine="680"/>
        <w:jc w:val="both"/>
        <w:rPr>
          <w:sz w:val="24"/>
          <w:szCs w:val="24"/>
        </w:rPr>
      </w:pPr>
      <w:r w:rsidRPr="00BD34C7">
        <w:rPr>
          <w:sz w:val="24"/>
          <w:szCs w:val="24"/>
        </w:rPr>
        <w:t xml:space="preserve">The Birmingham Commonwealth Games (BCG) </w:t>
      </w:r>
      <w:r w:rsidR="00023C0F">
        <w:rPr>
          <w:sz w:val="24"/>
          <w:szCs w:val="24"/>
        </w:rPr>
        <w:t>is</w:t>
      </w:r>
      <w:r w:rsidRPr="00BD34C7">
        <w:rPr>
          <w:sz w:val="24"/>
          <w:szCs w:val="24"/>
        </w:rPr>
        <w:t xml:space="preserve"> an excellent example of a community engagement project that successfully brought together residents, artists, and community organizations to celebrate local culture and heritage. The BCG The Cultural Festival was a key component of the Games, featuring more than 100 events showcasing the cultural diversity of Birmingham and the entire West Midlands area.</w:t>
      </w:r>
      <w:r w:rsidRPr="00BD34C7">
        <w:rPr>
          <w:sz w:val="24"/>
          <w:szCs w:val="24"/>
        </w:rPr>
        <w:cr/>
        <w:t>The Festival was established in partnership with local arts organizations, community groups</w:t>
      </w:r>
      <w:r w:rsidR="00023C0F">
        <w:rPr>
          <w:sz w:val="24"/>
          <w:szCs w:val="24"/>
        </w:rPr>
        <w:t>,</w:t>
      </w:r>
      <w:r w:rsidRPr="00BD34C7">
        <w:rPr>
          <w:sz w:val="24"/>
          <w:szCs w:val="24"/>
        </w:rPr>
        <w:t xml:space="preserve"> and individual artists, who had the opportunity to showcase their work and collaborate with others. The Festival offered a forum where diverse voices can be heard and celebrated, from traditional South Asian dance to contemporary hip-hop and oral creation.</w:t>
      </w:r>
    </w:p>
    <w:p w14:paraId="31630E95" w14:textId="77777777" w:rsidR="00DF679E" w:rsidRDefault="00BD34C7" w:rsidP="00191613">
      <w:pPr>
        <w:spacing w:line="360" w:lineRule="auto"/>
        <w:ind w:firstLine="680"/>
        <w:jc w:val="both"/>
        <w:rPr>
          <w:sz w:val="24"/>
          <w:szCs w:val="24"/>
        </w:rPr>
      </w:pPr>
      <w:r w:rsidRPr="00BD34C7">
        <w:rPr>
          <w:sz w:val="24"/>
          <w:szCs w:val="24"/>
        </w:rPr>
        <w:t>A best practice for the BCG Cultural Festival was its focus on inclusion and accessibility. The Festival was designed to be accessible to everyone in the community, regardless of age, ability</w:t>
      </w:r>
      <w:r w:rsidR="00023C0F">
        <w:rPr>
          <w:sz w:val="24"/>
          <w:szCs w:val="24"/>
        </w:rPr>
        <w:t>,</w:t>
      </w:r>
      <w:r w:rsidRPr="00BD34C7">
        <w:rPr>
          <w:sz w:val="24"/>
          <w:szCs w:val="24"/>
        </w:rPr>
        <w:t xml:space="preserve"> or background. This included free and low-cost activities, sign language interpretation</w:t>
      </w:r>
      <w:r w:rsidR="00023C0F">
        <w:rPr>
          <w:sz w:val="24"/>
          <w:szCs w:val="24"/>
        </w:rPr>
        <w:t>,</w:t>
      </w:r>
      <w:r w:rsidRPr="00BD34C7">
        <w:rPr>
          <w:sz w:val="24"/>
          <w:szCs w:val="24"/>
        </w:rPr>
        <w:t xml:space="preserve"> and audio descriptions for people with visual disabilities. Additionally, the Festival actively sought out community input and </w:t>
      </w:r>
      <w:r w:rsidRPr="00BD34C7">
        <w:rPr>
          <w:sz w:val="24"/>
          <w:szCs w:val="24"/>
        </w:rPr>
        <w:lastRenderedPageBreak/>
        <w:t>feedback through a series of community engagement events, including workshops and focus groups. This helped to ensure that the Festival reflected the interests and needs of the local community.</w:t>
      </w:r>
    </w:p>
    <w:p w14:paraId="40334757" w14:textId="77777777" w:rsidR="00DF679E" w:rsidRDefault="00BD34C7" w:rsidP="00191613">
      <w:pPr>
        <w:spacing w:line="360" w:lineRule="auto"/>
        <w:ind w:firstLine="680"/>
        <w:jc w:val="both"/>
        <w:rPr>
          <w:sz w:val="24"/>
          <w:szCs w:val="24"/>
        </w:rPr>
      </w:pPr>
      <w:r w:rsidRPr="00BD34C7">
        <w:rPr>
          <w:sz w:val="24"/>
          <w:szCs w:val="24"/>
        </w:rPr>
        <w:t>Another example of a community engagement project is The Ocean Clean-up. It aims to tackle the problem of plastic pollution in our oceans by developing state-of-the-art technologies to eliminate plastic waste. The organization has been actively involved with communities around the world to raise awareness and mobilize local support.</w:t>
      </w:r>
    </w:p>
    <w:p w14:paraId="0A44ACF3" w14:textId="77777777" w:rsidR="00BD34C7" w:rsidRPr="00BD34C7" w:rsidRDefault="00BD34C7" w:rsidP="00191613">
      <w:pPr>
        <w:spacing w:line="360" w:lineRule="auto"/>
        <w:ind w:firstLine="680"/>
        <w:jc w:val="both"/>
        <w:rPr>
          <w:sz w:val="24"/>
          <w:szCs w:val="24"/>
        </w:rPr>
      </w:pPr>
      <w:r w:rsidRPr="00BD34C7">
        <w:rPr>
          <w:sz w:val="24"/>
          <w:szCs w:val="24"/>
        </w:rPr>
        <w:t xml:space="preserve">One of the best practices of The Ocean Cleanup is to focus on education and outreach. The organization has developed a range of educational resources and materials, including a curriculum for schools and an </w:t>
      </w:r>
      <w:r w:rsidR="00023C0F">
        <w:rPr>
          <w:sz w:val="24"/>
          <w:szCs w:val="24"/>
        </w:rPr>
        <w:t>online</w:t>
      </w:r>
      <w:r w:rsidRPr="00BD34C7">
        <w:rPr>
          <w:sz w:val="24"/>
          <w:szCs w:val="24"/>
        </w:rPr>
        <w:t xml:space="preserve"> educational platform. This has helped to raise public awareness of the problem of plastic pollution and to involve a wider audience in the mission of the organization. In addition, The Ocean Cleanup actively collaborates with communities around the world through beach cleanup and other outreach activities. This helped create a sense of community around the issue of plastic pollution and foster greater citizenship. </w:t>
      </w:r>
    </w:p>
    <w:p w14:paraId="07AB9FAD" w14:textId="77777777" w:rsidR="00DF679E" w:rsidRPr="00191613" w:rsidRDefault="00BD34C7" w:rsidP="00191613">
      <w:pPr>
        <w:pStyle w:val="NoSpacing"/>
        <w:spacing w:line="360" w:lineRule="auto"/>
        <w:ind w:firstLine="680"/>
        <w:jc w:val="both"/>
        <w:rPr>
          <w:sz w:val="24"/>
          <w:szCs w:val="24"/>
        </w:rPr>
      </w:pPr>
      <w:bookmarkStart w:id="4" w:name="_hta1e0i0r8sw" w:colFirst="0" w:colLast="0"/>
      <w:bookmarkEnd w:id="4"/>
      <w:r w:rsidRPr="00191613">
        <w:rPr>
          <w:sz w:val="24"/>
          <w:szCs w:val="24"/>
        </w:rPr>
        <w:t>In terms of the differences between the BCG Cultural Festival and The Ocean Cleanup, the nature of the projects is very different. The BCG Cultural Festival focused on celebrating local culture and heritage, while The Ocean Cleanup focuses on resolving a global environmental problem. However, the two projects share a commitment to community involvement and engage community members in their planning and implementation.</w:t>
      </w:r>
    </w:p>
    <w:p w14:paraId="5E196891" w14:textId="77777777" w:rsidR="00BD34C7" w:rsidRDefault="00BD34C7">
      <w:pPr>
        <w:pStyle w:val="Heading3"/>
        <w:rPr>
          <w:color w:val="auto"/>
          <w:sz w:val="24"/>
          <w:szCs w:val="24"/>
        </w:rPr>
      </w:pPr>
      <w:bookmarkStart w:id="5" w:name="_6t8oq6t0dded" w:colFirst="0" w:colLast="0"/>
      <w:bookmarkStart w:id="6" w:name="_k5fcruasruxu" w:colFirst="0" w:colLast="0"/>
      <w:bookmarkEnd w:id="5"/>
      <w:bookmarkEnd w:id="6"/>
      <w:r w:rsidRPr="00BD34C7">
        <w:rPr>
          <w:color w:val="auto"/>
          <w:sz w:val="24"/>
          <w:szCs w:val="24"/>
        </w:rPr>
        <w:t>What would I do</w:t>
      </w:r>
      <w:r w:rsidR="00023C0F">
        <w:rPr>
          <w:color w:val="auto"/>
          <w:sz w:val="24"/>
          <w:szCs w:val="24"/>
        </w:rPr>
        <w:t xml:space="preserve"> </w:t>
      </w:r>
      <w:r w:rsidRPr="00BD34C7">
        <w:rPr>
          <w:color w:val="auto"/>
          <w:sz w:val="24"/>
          <w:szCs w:val="24"/>
        </w:rPr>
        <w:t>better?</w:t>
      </w:r>
    </w:p>
    <w:p w14:paraId="0FCD6FC6" w14:textId="77777777" w:rsidR="00DF679E" w:rsidRDefault="003D5FA5">
      <w:pPr>
        <w:pStyle w:val="Heading3"/>
        <w:rPr>
          <w:sz w:val="24"/>
          <w:szCs w:val="24"/>
        </w:rPr>
      </w:pPr>
      <w:r>
        <w:rPr>
          <w:sz w:val="24"/>
          <w:szCs w:val="24"/>
        </w:rPr>
        <w:t>Use of social media</w:t>
      </w:r>
    </w:p>
    <w:p w14:paraId="5745C463" w14:textId="77777777" w:rsidR="005F28E0" w:rsidRDefault="005F28E0" w:rsidP="005F28E0">
      <w:pPr>
        <w:spacing w:line="360" w:lineRule="auto"/>
        <w:ind w:firstLine="680"/>
        <w:jc w:val="both"/>
        <w:rPr>
          <w:sz w:val="24"/>
          <w:szCs w:val="24"/>
        </w:rPr>
      </w:pPr>
    </w:p>
    <w:p w14:paraId="2A8BF26B" w14:textId="77777777" w:rsidR="005F28E0" w:rsidRDefault="00BD34C7" w:rsidP="005F28E0">
      <w:pPr>
        <w:spacing w:line="360" w:lineRule="auto"/>
        <w:ind w:firstLine="680"/>
        <w:jc w:val="both"/>
        <w:rPr>
          <w:sz w:val="24"/>
          <w:szCs w:val="24"/>
        </w:rPr>
      </w:pPr>
      <w:r w:rsidRPr="00BD34C7">
        <w:rPr>
          <w:sz w:val="24"/>
          <w:szCs w:val="24"/>
        </w:rPr>
        <w:t xml:space="preserve">To enhance the social media strategy, I would focus on creating more appealing and sharable content tailored to each platform. For example, they could create visually attractive short videos for TikTok and Instagram, while using Twitter to share news and updates on the project. </w:t>
      </w:r>
    </w:p>
    <w:p w14:paraId="55DFAE4A" w14:textId="77777777" w:rsidR="005F28E0" w:rsidRDefault="00BD34C7" w:rsidP="005F28E0">
      <w:pPr>
        <w:spacing w:line="360" w:lineRule="auto"/>
        <w:ind w:firstLine="680"/>
        <w:jc w:val="both"/>
        <w:rPr>
          <w:sz w:val="24"/>
          <w:szCs w:val="24"/>
        </w:rPr>
      </w:pPr>
      <w:r w:rsidRPr="00BD34C7">
        <w:rPr>
          <w:sz w:val="24"/>
          <w:szCs w:val="24"/>
        </w:rPr>
        <w:t xml:space="preserve">As well, I could leverage partnerships with influencers to raise awareness and encourage user-generated content. For example, the Ocean Cleanup Project </w:t>
      </w:r>
      <w:r w:rsidRPr="00BD34C7">
        <w:rPr>
          <w:sz w:val="24"/>
          <w:szCs w:val="24"/>
        </w:rPr>
        <w:lastRenderedPageBreak/>
        <w:t>partnered with the popular YouTuber Casey Neistat to create a video about the project, which has since been viewed over 9 million times (Ocean Cleanup, 2017).</w:t>
      </w:r>
    </w:p>
    <w:p w14:paraId="012E284D" w14:textId="77777777" w:rsidR="00DF679E" w:rsidRDefault="00BD34C7" w:rsidP="005F28E0">
      <w:pPr>
        <w:spacing w:line="360" w:lineRule="auto"/>
        <w:ind w:firstLine="680"/>
        <w:jc w:val="both"/>
        <w:rPr>
          <w:sz w:val="24"/>
          <w:szCs w:val="24"/>
        </w:rPr>
      </w:pPr>
      <w:r w:rsidRPr="00BD34C7">
        <w:rPr>
          <w:sz w:val="24"/>
          <w:szCs w:val="24"/>
        </w:rPr>
        <w:t>With a more targeted and creative approach to social media, I could potentially reach a broader audience and generate more excitement around the project.</w:t>
      </w:r>
    </w:p>
    <w:p w14:paraId="62CCB629" w14:textId="77777777" w:rsidR="00DF679E" w:rsidRDefault="003D5FA5">
      <w:pPr>
        <w:pStyle w:val="Heading3"/>
      </w:pPr>
      <w:bookmarkStart w:id="7" w:name="_iglnwx898zk7" w:colFirst="0" w:colLast="0"/>
      <w:bookmarkEnd w:id="7"/>
      <w:r>
        <w:t>Creating free educational material</w:t>
      </w:r>
    </w:p>
    <w:p w14:paraId="627538D5" w14:textId="77777777" w:rsidR="005F28E0" w:rsidRDefault="005F28E0" w:rsidP="0015293A">
      <w:pPr>
        <w:spacing w:line="360" w:lineRule="auto"/>
        <w:ind w:firstLine="680"/>
        <w:jc w:val="both"/>
        <w:rPr>
          <w:sz w:val="24"/>
          <w:szCs w:val="24"/>
        </w:rPr>
      </w:pPr>
    </w:p>
    <w:p w14:paraId="461224EF" w14:textId="77777777" w:rsidR="004E2811" w:rsidRPr="0015293A" w:rsidRDefault="004E2811" w:rsidP="0015293A">
      <w:pPr>
        <w:spacing w:line="360" w:lineRule="auto"/>
        <w:ind w:firstLine="680"/>
        <w:jc w:val="both"/>
        <w:rPr>
          <w:sz w:val="24"/>
          <w:szCs w:val="24"/>
        </w:rPr>
      </w:pPr>
      <w:r w:rsidRPr="0015293A">
        <w:rPr>
          <w:sz w:val="24"/>
          <w:szCs w:val="24"/>
        </w:rPr>
        <w:t>To enhance the education strategy, I could focus on creating more accessible and engaging educational materials aimed at specific age groups and learning styles. For example, I could develop online interactive modules for students that include videos, quizzes, and virtual simulations.</w:t>
      </w:r>
    </w:p>
    <w:p w14:paraId="411FD1B2" w14:textId="77777777" w:rsidR="004E2811" w:rsidRPr="0015293A" w:rsidRDefault="004E2811" w:rsidP="0015293A">
      <w:pPr>
        <w:pStyle w:val="NoSpacing"/>
        <w:spacing w:line="360" w:lineRule="auto"/>
        <w:ind w:firstLine="680"/>
        <w:jc w:val="both"/>
        <w:rPr>
          <w:sz w:val="24"/>
          <w:szCs w:val="24"/>
        </w:rPr>
      </w:pPr>
      <w:bookmarkStart w:id="8" w:name="_kftjxjrv11ua" w:colFirst="0" w:colLast="0"/>
      <w:bookmarkEnd w:id="8"/>
      <w:r w:rsidRPr="0015293A">
        <w:rPr>
          <w:sz w:val="24"/>
          <w:szCs w:val="24"/>
        </w:rPr>
        <w:t xml:space="preserve">I could also create pedagogical material adapted to different regions and cultures, </w:t>
      </w:r>
      <w:r w:rsidR="00191613" w:rsidRPr="0015293A">
        <w:rPr>
          <w:sz w:val="24"/>
          <w:szCs w:val="24"/>
        </w:rPr>
        <w:t>to</w:t>
      </w:r>
      <w:r w:rsidRPr="0015293A">
        <w:rPr>
          <w:sz w:val="24"/>
          <w:szCs w:val="24"/>
        </w:rPr>
        <w:t xml:space="preserve"> make the co</w:t>
      </w:r>
      <w:r w:rsidR="008653FA">
        <w:rPr>
          <w:sz w:val="24"/>
          <w:szCs w:val="24"/>
        </w:rPr>
        <w:t>ntent more relevant and improved</w:t>
      </w:r>
      <w:r w:rsidRPr="0015293A">
        <w:rPr>
          <w:sz w:val="24"/>
          <w:szCs w:val="24"/>
        </w:rPr>
        <w:t xml:space="preserve">. The Birmingham Commonwealth Games made a concerted effort to engage with local schools and universities, providing educational resources and workshops to help educate young people about the event and its impact (Birmingham 2022, n.d.). </w:t>
      </w:r>
    </w:p>
    <w:p w14:paraId="7CBC7094" w14:textId="77777777" w:rsidR="004E2811" w:rsidRPr="0015293A" w:rsidRDefault="004E2811" w:rsidP="0015293A">
      <w:pPr>
        <w:pStyle w:val="NoSpacing"/>
        <w:spacing w:line="360" w:lineRule="auto"/>
        <w:ind w:firstLine="680"/>
        <w:jc w:val="both"/>
        <w:rPr>
          <w:sz w:val="24"/>
          <w:szCs w:val="24"/>
        </w:rPr>
      </w:pPr>
      <w:r w:rsidRPr="0015293A">
        <w:rPr>
          <w:sz w:val="24"/>
          <w:szCs w:val="24"/>
        </w:rPr>
        <w:t>By adopting a more focused and interactive approach to education, the project team could contribute to raising awareness and inspiring action with a broader audience.</w:t>
      </w:r>
    </w:p>
    <w:p w14:paraId="6437D294" w14:textId="77777777" w:rsidR="00DF679E" w:rsidRDefault="003D5FA5">
      <w:pPr>
        <w:pStyle w:val="Heading3"/>
      </w:pPr>
      <w:r>
        <w:t>Applying for governmental support</w:t>
      </w:r>
    </w:p>
    <w:p w14:paraId="4C96587F" w14:textId="77777777" w:rsidR="0015293A" w:rsidRDefault="004E2811" w:rsidP="0015293A">
      <w:pPr>
        <w:spacing w:line="360" w:lineRule="auto"/>
        <w:ind w:firstLine="680"/>
        <w:jc w:val="both"/>
        <w:rPr>
          <w:sz w:val="24"/>
          <w:szCs w:val="24"/>
        </w:rPr>
      </w:pPr>
      <w:r w:rsidRPr="004E2811">
        <w:rPr>
          <w:sz w:val="24"/>
          <w:szCs w:val="24"/>
        </w:rPr>
        <w:t>To improve the government support strategy, I could with the intervention of the project team</w:t>
      </w:r>
      <w:r>
        <w:rPr>
          <w:sz w:val="24"/>
          <w:szCs w:val="24"/>
        </w:rPr>
        <w:t>,</w:t>
      </w:r>
      <w:r w:rsidRPr="004E2811">
        <w:rPr>
          <w:sz w:val="24"/>
          <w:szCs w:val="24"/>
        </w:rPr>
        <w:t xml:space="preserve"> focus on building relationships with key stakeholders and decision-makers in the government, </w:t>
      </w:r>
      <w:r w:rsidR="00191613">
        <w:rPr>
          <w:sz w:val="24"/>
          <w:szCs w:val="24"/>
        </w:rPr>
        <w:t>to</w:t>
      </w:r>
      <w:r w:rsidRPr="004E2811">
        <w:rPr>
          <w:sz w:val="24"/>
          <w:szCs w:val="24"/>
        </w:rPr>
        <w:t xml:space="preserve"> better understand their priorities and concerns.</w:t>
      </w:r>
      <w:r w:rsidR="003D5FA5">
        <w:rPr>
          <w:sz w:val="24"/>
          <w:szCs w:val="24"/>
        </w:rPr>
        <w:t xml:space="preserve"> </w:t>
      </w:r>
    </w:p>
    <w:p w14:paraId="3ECDED15" w14:textId="77777777" w:rsidR="005F28E0" w:rsidRDefault="004E2811" w:rsidP="0015293A">
      <w:pPr>
        <w:spacing w:line="360" w:lineRule="auto"/>
        <w:ind w:firstLine="680"/>
        <w:jc w:val="both"/>
        <w:rPr>
          <w:sz w:val="24"/>
          <w:szCs w:val="24"/>
        </w:rPr>
      </w:pPr>
      <w:r w:rsidRPr="004E2811">
        <w:rPr>
          <w:sz w:val="24"/>
          <w:szCs w:val="24"/>
        </w:rPr>
        <w:t xml:space="preserve">I could also come up with a clear and convincing value proposition that demonstrates the potential economic and social benefits of the project. For example, the Birmingham Commonwealth Games worked closely with local and national government officials to secure funding and support for the event, emphasizing the economic benefits that it would bring to the region (Birmingham 2022, n.d.). </w:t>
      </w:r>
    </w:p>
    <w:p w14:paraId="7D0D1C83" w14:textId="77777777" w:rsidR="005F28E0" w:rsidRPr="005F28E0" w:rsidRDefault="005F28E0" w:rsidP="005F28E0">
      <w:pPr>
        <w:pStyle w:val="NoSpacing"/>
        <w:spacing w:line="360" w:lineRule="auto"/>
        <w:ind w:firstLine="680"/>
        <w:jc w:val="both"/>
        <w:rPr>
          <w:sz w:val="24"/>
          <w:szCs w:val="24"/>
        </w:rPr>
      </w:pPr>
      <w:bookmarkStart w:id="9" w:name="_cnbwugeo2srt" w:colFirst="0" w:colLast="0"/>
      <w:bookmarkEnd w:id="9"/>
      <w:r w:rsidRPr="005F28E0">
        <w:rPr>
          <w:sz w:val="24"/>
          <w:szCs w:val="24"/>
        </w:rPr>
        <w:t xml:space="preserve">A more proactive and collaborative approach to government commitment is needed to ensure the project receives the funding and support it needs to be successful. </w:t>
      </w:r>
    </w:p>
    <w:p w14:paraId="7B0BBE47" w14:textId="77777777" w:rsidR="00DF679E" w:rsidRDefault="003D5FA5">
      <w:pPr>
        <w:pStyle w:val="Heading3"/>
      </w:pPr>
      <w:r>
        <w:lastRenderedPageBreak/>
        <w:t>Attracting investors</w:t>
      </w:r>
    </w:p>
    <w:p w14:paraId="0C8FB131" w14:textId="77777777" w:rsidR="005F28E0" w:rsidRDefault="005F28E0" w:rsidP="0015293A">
      <w:pPr>
        <w:spacing w:line="360" w:lineRule="auto"/>
        <w:ind w:firstLine="680"/>
        <w:jc w:val="both"/>
        <w:rPr>
          <w:sz w:val="24"/>
          <w:szCs w:val="24"/>
        </w:rPr>
      </w:pPr>
    </w:p>
    <w:p w14:paraId="7F8D60F7" w14:textId="77777777" w:rsidR="003D5FA5" w:rsidRDefault="005F28E0" w:rsidP="003D5FA5">
      <w:pPr>
        <w:spacing w:line="360" w:lineRule="auto"/>
        <w:ind w:firstLine="680"/>
        <w:jc w:val="both"/>
        <w:rPr>
          <w:sz w:val="24"/>
          <w:szCs w:val="24"/>
        </w:rPr>
      </w:pPr>
      <w:r w:rsidRPr="005F28E0">
        <w:rPr>
          <w:sz w:val="24"/>
          <w:szCs w:val="24"/>
        </w:rPr>
        <w:t xml:space="preserve">To improve the investment strategy, I propose focusing on developing a clear and compelling business case that demonstrates the potential performance of the project. </w:t>
      </w:r>
    </w:p>
    <w:p w14:paraId="6DCDDE76" w14:textId="77777777" w:rsidR="003D5FA5" w:rsidRDefault="003D5FA5" w:rsidP="003D5FA5">
      <w:pPr>
        <w:spacing w:line="360" w:lineRule="auto"/>
        <w:ind w:firstLine="680"/>
        <w:jc w:val="both"/>
        <w:rPr>
          <w:sz w:val="24"/>
          <w:szCs w:val="24"/>
        </w:rPr>
      </w:pPr>
      <w:r w:rsidRPr="003D5FA5">
        <w:rPr>
          <w:sz w:val="24"/>
          <w:szCs w:val="24"/>
        </w:rPr>
        <w:t xml:space="preserve">In my opinion, </w:t>
      </w:r>
      <w:r>
        <w:rPr>
          <w:sz w:val="24"/>
          <w:szCs w:val="24"/>
        </w:rPr>
        <w:t>identifying</w:t>
      </w:r>
      <w:r w:rsidRPr="003D5FA5">
        <w:rPr>
          <w:sz w:val="24"/>
          <w:szCs w:val="24"/>
        </w:rPr>
        <w:t xml:space="preserve"> and </w:t>
      </w:r>
      <w:r>
        <w:rPr>
          <w:sz w:val="24"/>
          <w:szCs w:val="24"/>
        </w:rPr>
        <w:t>targeting</w:t>
      </w:r>
      <w:r w:rsidRPr="003D5FA5">
        <w:rPr>
          <w:sz w:val="24"/>
          <w:szCs w:val="24"/>
        </w:rPr>
        <w:t xml:space="preserve"> investors who are aligned with the project's mission and values, and who have a history of investing in similar projects, is a priority. </w:t>
      </w:r>
      <w:bookmarkStart w:id="10" w:name="_e3e4indipgnq" w:colFirst="0" w:colLast="0"/>
      <w:bookmarkEnd w:id="10"/>
      <w:r w:rsidRPr="003D5FA5">
        <w:rPr>
          <w:sz w:val="24"/>
          <w:szCs w:val="24"/>
        </w:rPr>
        <w:t xml:space="preserve">In addition, other financing models, such as crowdfunding or impact investment, could be explored that could be more attractive to socially responsible investors. </w:t>
      </w:r>
    </w:p>
    <w:p w14:paraId="0DDC4317" w14:textId="77777777" w:rsidR="003D5FA5" w:rsidRDefault="004E2811" w:rsidP="003D5FA5">
      <w:pPr>
        <w:spacing w:line="360" w:lineRule="auto"/>
        <w:ind w:firstLine="680"/>
        <w:jc w:val="both"/>
        <w:rPr>
          <w:sz w:val="24"/>
          <w:szCs w:val="24"/>
        </w:rPr>
      </w:pPr>
      <w:r w:rsidRPr="0015293A">
        <w:rPr>
          <w:sz w:val="24"/>
          <w:szCs w:val="24"/>
        </w:rPr>
        <w:t xml:space="preserve">The Ocean Cleanup Project has successfully attracted a range of investors, including Silicon Valley entrepreneur Peter Thiel and the Dutch government, who have collectively invested over $30 million in the project (Ocean Cleanup, n.d.). </w:t>
      </w:r>
    </w:p>
    <w:p w14:paraId="56068453" w14:textId="77777777" w:rsidR="004E2811" w:rsidRPr="0015293A" w:rsidRDefault="003D5FA5" w:rsidP="003D5FA5">
      <w:pPr>
        <w:spacing w:line="360" w:lineRule="auto"/>
        <w:ind w:firstLine="680"/>
        <w:jc w:val="both"/>
        <w:rPr>
          <w:sz w:val="24"/>
          <w:szCs w:val="24"/>
        </w:rPr>
      </w:pPr>
      <w:r>
        <w:rPr>
          <w:sz w:val="24"/>
          <w:szCs w:val="24"/>
        </w:rPr>
        <w:t>Taking</w:t>
      </w:r>
      <w:r w:rsidRPr="003D5FA5">
        <w:rPr>
          <w:sz w:val="24"/>
          <w:szCs w:val="24"/>
        </w:rPr>
        <w:t xml:space="preserve"> a more focused and innovative approach to investor engagement could help secure the necessary financing to expand the project and achieve its objectives.</w:t>
      </w:r>
    </w:p>
    <w:p w14:paraId="530F3C1E" w14:textId="77777777" w:rsidR="00DF679E" w:rsidRDefault="003D5FA5">
      <w:pPr>
        <w:pStyle w:val="Heading3"/>
      </w:pPr>
      <w:r>
        <w:t>Force laws on companies</w:t>
      </w:r>
    </w:p>
    <w:p w14:paraId="0A822E2F" w14:textId="77777777" w:rsidR="00DF679E" w:rsidRDefault="008653FA" w:rsidP="008653FA">
      <w:pPr>
        <w:spacing w:line="360" w:lineRule="auto"/>
        <w:ind w:firstLine="680"/>
        <w:jc w:val="both"/>
        <w:rPr>
          <w:sz w:val="24"/>
          <w:szCs w:val="24"/>
        </w:rPr>
      </w:pPr>
      <w:r w:rsidRPr="008653FA">
        <w:rPr>
          <w:sz w:val="24"/>
          <w:szCs w:val="24"/>
        </w:rPr>
        <w:t>I believe that corporate law enforcement can be an effective way of dealing with environmental problems.</w:t>
      </w:r>
      <w:r>
        <w:rPr>
          <w:sz w:val="24"/>
          <w:szCs w:val="24"/>
        </w:rPr>
        <w:t xml:space="preserve"> </w:t>
      </w:r>
      <w:r w:rsidR="004E2811" w:rsidRPr="004E2811">
        <w:rPr>
          <w:sz w:val="24"/>
          <w:szCs w:val="24"/>
        </w:rPr>
        <w:t>Governments can enact legislation and regulations that require businesses to reduce their carbon footprint, use sustainable materials, or implement waste management practices.</w:t>
      </w:r>
    </w:p>
    <w:p w14:paraId="3F32680A" w14:textId="77777777" w:rsidR="00DF679E" w:rsidRDefault="004E2811" w:rsidP="0015293A">
      <w:pPr>
        <w:spacing w:line="360" w:lineRule="auto"/>
        <w:ind w:firstLine="680"/>
        <w:jc w:val="both"/>
        <w:rPr>
          <w:sz w:val="24"/>
          <w:szCs w:val="24"/>
        </w:rPr>
      </w:pPr>
      <w:r w:rsidRPr="004E2811">
        <w:rPr>
          <w:sz w:val="24"/>
          <w:szCs w:val="24"/>
        </w:rPr>
        <w:t>For example, the European Union's Waste Framework Directive aims to promote waste prevention, reuse, and recycling, while the Clean Air Act in the United States regulates air pollution from industrial facilities.</w:t>
      </w:r>
    </w:p>
    <w:p w14:paraId="0BCE0C7F" w14:textId="77777777" w:rsidR="003D5FA5" w:rsidRDefault="00023C0F" w:rsidP="003D5FA5">
      <w:pPr>
        <w:spacing w:line="360" w:lineRule="auto"/>
        <w:ind w:firstLine="680"/>
        <w:jc w:val="both"/>
        <w:rPr>
          <w:sz w:val="24"/>
          <w:szCs w:val="24"/>
        </w:rPr>
      </w:pPr>
      <w:r w:rsidRPr="00023C0F">
        <w:rPr>
          <w:sz w:val="24"/>
          <w:szCs w:val="24"/>
        </w:rPr>
        <w:t>Enforcement of environmental laws can be challenging, however, as companies can resist changes that could increase their cost</w:t>
      </w:r>
      <w:r w:rsidR="003D5FA5">
        <w:rPr>
          <w:sz w:val="24"/>
          <w:szCs w:val="24"/>
        </w:rPr>
        <w:t>s or disrupt their operations.</w:t>
      </w:r>
    </w:p>
    <w:p w14:paraId="7AC214D6" w14:textId="77777777" w:rsidR="003D5FA5" w:rsidRDefault="00023C0F" w:rsidP="003D5FA5">
      <w:pPr>
        <w:spacing w:line="360" w:lineRule="auto"/>
        <w:ind w:firstLine="680"/>
        <w:jc w:val="both"/>
        <w:rPr>
          <w:sz w:val="24"/>
          <w:szCs w:val="24"/>
        </w:rPr>
      </w:pPr>
      <w:r w:rsidRPr="00023C0F">
        <w:rPr>
          <w:sz w:val="24"/>
          <w:szCs w:val="24"/>
        </w:rPr>
        <w:t>High penalties and incentives may promote compliance. For example, companies that break environmental regulations may face fines, lawsuits</w:t>
      </w:r>
      <w:r w:rsidR="00191613">
        <w:rPr>
          <w:sz w:val="24"/>
          <w:szCs w:val="24"/>
        </w:rPr>
        <w:t>,</w:t>
      </w:r>
      <w:r w:rsidRPr="00023C0F">
        <w:rPr>
          <w:sz w:val="24"/>
          <w:szCs w:val="24"/>
        </w:rPr>
        <w:t xml:space="preserve"> or revocation of their permits or licenses.</w:t>
      </w:r>
      <w:r w:rsidR="003D5FA5">
        <w:rPr>
          <w:sz w:val="24"/>
          <w:szCs w:val="24"/>
        </w:rPr>
        <w:t xml:space="preserve"> </w:t>
      </w:r>
    </w:p>
    <w:p w14:paraId="02A6587F" w14:textId="77777777" w:rsidR="003D5FA5" w:rsidRDefault="00023C0F" w:rsidP="003D5FA5">
      <w:pPr>
        <w:spacing w:line="360" w:lineRule="auto"/>
        <w:ind w:firstLine="680"/>
        <w:jc w:val="both"/>
        <w:rPr>
          <w:sz w:val="24"/>
          <w:szCs w:val="24"/>
        </w:rPr>
      </w:pPr>
      <w:r w:rsidRPr="00023C0F">
        <w:rPr>
          <w:sz w:val="24"/>
          <w:szCs w:val="24"/>
        </w:rPr>
        <w:t>Conversely, companies with exemplary environmental performance may be eligible to receive bonuses, tax credits</w:t>
      </w:r>
      <w:r w:rsidR="00191613">
        <w:rPr>
          <w:sz w:val="24"/>
          <w:szCs w:val="24"/>
        </w:rPr>
        <w:t>,</w:t>
      </w:r>
      <w:r w:rsidR="003D5FA5">
        <w:rPr>
          <w:sz w:val="24"/>
          <w:szCs w:val="24"/>
        </w:rPr>
        <w:t xml:space="preserve"> or other benefits.</w:t>
      </w:r>
    </w:p>
    <w:p w14:paraId="429DB244" w14:textId="77777777" w:rsidR="00023C0F" w:rsidRDefault="00023C0F" w:rsidP="003D5FA5">
      <w:pPr>
        <w:spacing w:line="360" w:lineRule="auto"/>
        <w:ind w:firstLine="680"/>
        <w:jc w:val="both"/>
        <w:rPr>
          <w:sz w:val="24"/>
          <w:szCs w:val="24"/>
        </w:rPr>
      </w:pPr>
      <w:r w:rsidRPr="00023C0F">
        <w:rPr>
          <w:sz w:val="24"/>
          <w:szCs w:val="24"/>
        </w:rPr>
        <w:t xml:space="preserve">One challenge with this approach is that laws and regulations can take time to develop and implement, and they can face opposition from industry groups or political factions. </w:t>
      </w:r>
    </w:p>
    <w:p w14:paraId="36CCA20A" w14:textId="77777777" w:rsidR="0015293A" w:rsidRDefault="00023C0F" w:rsidP="0015293A">
      <w:pPr>
        <w:spacing w:line="360" w:lineRule="auto"/>
        <w:ind w:firstLine="680"/>
        <w:jc w:val="both"/>
        <w:rPr>
          <w:sz w:val="24"/>
          <w:szCs w:val="24"/>
        </w:rPr>
      </w:pPr>
      <w:r w:rsidRPr="00023C0F">
        <w:rPr>
          <w:sz w:val="24"/>
          <w:szCs w:val="24"/>
        </w:rPr>
        <w:lastRenderedPageBreak/>
        <w:t xml:space="preserve">Furthermore, the effectiveness of such laws can be limited by weak enforcement mechanisms or </w:t>
      </w:r>
      <w:r w:rsidR="00191613">
        <w:rPr>
          <w:sz w:val="24"/>
          <w:szCs w:val="24"/>
        </w:rPr>
        <w:t xml:space="preserve">a </w:t>
      </w:r>
      <w:r w:rsidR="0015293A">
        <w:rPr>
          <w:sz w:val="24"/>
          <w:szCs w:val="24"/>
        </w:rPr>
        <w:t xml:space="preserve">lack of resources. </w:t>
      </w:r>
    </w:p>
    <w:p w14:paraId="6371211D" w14:textId="77777777" w:rsidR="0015293A" w:rsidRDefault="00023C0F" w:rsidP="0015293A">
      <w:pPr>
        <w:spacing w:line="360" w:lineRule="auto"/>
        <w:ind w:firstLine="680"/>
        <w:jc w:val="both"/>
        <w:rPr>
          <w:sz w:val="24"/>
          <w:szCs w:val="24"/>
        </w:rPr>
      </w:pPr>
      <w:r w:rsidRPr="00023C0F">
        <w:rPr>
          <w:sz w:val="24"/>
          <w:szCs w:val="24"/>
        </w:rPr>
        <w:t xml:space="preserve">Therefore, it is important to ensure that laws and regulations are designed and implemented in a manner that reconciles </w:t>
      </w:r>
      <w:r w:rsidR="00191613">
        <w:rPr>
          <w:sz w:val="24"/>
          <w:szCs w:val="24"/>
        </w:rPr>
        <w:t xml:space="preserve">the </w:t>
      </w:r>
      <w:r w:rsidRPr="00023C0F">
        <w:rPr>
          <w:sz w:val="24"/>
          <w:szCs w:val="24"/>
        </w:rPr>
        <w:t>protection of the environment with economic</w:t>
      </w:r>
      <w:r w:rsidR="0015293A">
        <w:rPr>
          <w:sz w:val="24"/>
          <w:szCs w:val="24"/>
        </w:rPr>
        <w:t xml:space="preserve"> growth and social well-being.</w:t>
      </w:r>
    </w:p>
    <w:p w14:paraId="06103A51" w14:textId="77777777" w:rsidR="0015293A" w:rsidRDefault="00023C0F" w:rsidP="0015293A">
      <w:pPr>
        <w:spacing w:line="360" w:lineRule="auto"/>
        <w:ind w:firstLine="680"/>
        <w:jc w:val="both"/>
        <w:rPr>
          <w:sz w:val="24"/>
          <w:szCs w:val="24"/>
        </w:rPr>
      </w:pPr>
      <w:r w:rsidRPr="00023C0F">
        <w:rPr>
          <w:sz w:val="24"/>
          <w:szCs w:val="24"/>
        </w:rPr>
        <w:t>California's Global Warming Solutions Act, aimed at reducing government greenhouse gas emissions to 1990 levels by 2020, is an example of effective legislation. The act requires companies to report their greenhouse gas emissions, and it sets up a cap-and-trade program that allows companies to buy and sell rights to their emissions.</w:t>
      </w:r>
      <w:bookmarkStart w:id="11" w:name="_owbdrvejldcb" w:colFirst="0" w:colLast="0"/>
      <w:bookmarkEnd w:id="11"/>
    </w:p>
    <w:p w14:paraId="3799F4AB" w14:textId="77777777" w:rsidR="0015293A" w:rsidRDefault="00023C0F" w:rsidP="0015293A">
      <w:pPr>
        <w:spacing w:line="360" w:lineRule="auto"/>
        <w:ind w:firstLine="680"/>
        <w:jc w:val="both"/>
        <w:rPr>
          <w:sz w:val="24"/>
          <w:szCs w:val="24"/>
        </w:rPr>
      </w:pPr>
      <w:r w:rsidRPr="0015293A">
        <w:rPr>
          <w:sz w:val="24"/>
          <w:szCs w:val="24"/>
        </w:rPr>
        <w:t>This program has allowed California to reduce its greenhouse gas emissions while g</w:t>
      </w:r>
      <w:r w:rsidR="0015293A">
        <w:rPr>
          <w:sz w:val="24"/>
          <w:szCs w:val="24"/>
        </w:rPr>
        <w:t>enerating government revenues.</w:t>
      </w:r>
    </w:p>
    <w:p w14:paraId="284C034A" w14:textId="77777777" w:rsidR="0015293A" w:rsidRDefault="00023C0F" w:rsidP="0015293A">
      <w:pPr>
        <w:spacing w:line="360" w:lineRule="auto"/>
        <w:ind w:firstLine="680"/>
        <w:jc w:val="both"/>
        <w:rPr>
          <w:sz w:val="24"/>
          <w:szCs w:val="24"/>
        </w:rPr>
      </w:pPr>
      <w:r w:rsidRPr="0015293A">
        <w:rPr>
          <w:sz w:val="24"/>
          <w:szCs w:val="24"/>
        </w:rPr>
        <w:t>Another example is the ban on single-use plastics enacted by the Government of India in 2019. The prohibition prohibits the manufacture, sale</w:t>
      </w:r>
      <w:r w:rsidR="00191613" w:rsidRPr="0015293A">
        <w:rPr>
          <w:sz w:val="24"/>
          <w:szCs w:val="24"/>
        </w:rPr>
        <w:t>,</w:t>
      </w:r>
      <w:r w:rsidRPr="0015293A">
        <w:rPr>
          <w:sz w:val="24"/>
          <w:szCs w:val="24"/>
        </w:rPr>
        <w:t xml:space="preserve"> and use of specific types of single-use plastics, includ</w:t>
      </w:r>
      <w:r w:rsidR="0015293A">
        <w:rPr>
          <w:sz w:val="24"/>
          <w:szCs w:val="24"/>
        </w:rPr>
        <w:t xml:space="preserve">ing plastic bags and cutlery. </w:t>
      </w:r>
    </w:p>
    <w:p w14:paraId="0726E615" w14:textId="77777777" w:rsidR="0015293A" w:rsidRPr="0015293A" w:rsidRDefault="00023C0F" w:rsidP="0015293A">
      <w:pPr>
        <w:spacing w:line="360" w:lineRule="auto"/>
        <w:ind w:firstLine="680"/>
        <w:jc w:val="both"/>
        <w:rPr>
          <w:sz w:val="24"/>
          <w:szCs w:val="24"/>
        </w:rPr>
      </w:pPr>
      <w:r w:rsidRPr="0015293A">
        <w:rPr>
          <w:sz w:val="24"/>
          <w:szCs w:val="24"/>
        </w:rPr>
        <w:t xml:space="preserve">The government has implemented sanctions for violations, as well as awareness campaigns to encourage the use of alternative materials. This initiative has contributed to reducing plastic litter and promoting sustainable practices in India. </w:t>
      </w:r>
    </w:p>
    <w:p w14:paraId="7A556FF1" w14:textId="77777777" w:rsidR="00DF679E" w:rsidRDefault="003D5FA5">
      <w:pPr>
        <w:pStyle w:val="Heading2"/>
      </w:pPr>
      <w:r>
        <w:t>Conclusion</w:t>
      </w:r>
    </w:p>
    <w:p w14:paraId="3AB47938" w14:textId="77777777" w:rsidR="003D5FA5" w:rsidRDefault="003D5FA5" w:rsidP="00B00C19">
      <w:pPr>
        <w:spacing w:line="360" w:lineRule="auto"/>
        <w:jc w:val="both"/>
        <w:rPr>
          <w:sz w:val="24"/>
          <w:szCs w:val="24"/>
        </w:rPr>
      </w:pPr>
    </w:p>
    <w:p w14:paraId="389B3F2C" w14:textId="77777777" w:rsidR="003D5FA5" w:rsidRDefault="00B00C19" w:rsidP="0015293A">
      <w:pPr>
        <w:spacing w:line="360" w:lineRule="auto"/>
        <w:ind w:firstLine="680"/>
        <w:jc w:val="both"/>
        <w:rPr>
          <w:sz w:val="24"/>
          <w:szCs w:val="24"/>
        </w:rPr>
      </w:pPr>
      <w:r>
        <w:rPr>
          <w:sz w:val="24"/>
          <w:szCs w:val="24"/>
        </w:rPr>
        <w:t>In my reflection</w:t>
      </w:r>
      <w:r w:rsidR="00023C0F" w:rsidRPr="00023C0F">
        <w:rPr>
          <w:sz w:val="24"/>
          <w:szCs w:val="24"/>
        </w:rPr>
        <w:t xml:space="preserve">, community involvement is a crucial aspect of any project or initiative, particularly those that have an impact on society and the environment. </w:t>
      </w:r>
    </w:p>
    <w:p w14:paraId="36D34F0E" w14:textId="77777777" w:rsidR="003D5FA5" w:rsidRDefault="00023C0F" w:rsidP="0015293A">
      <w:pPr>
        <w:spacing w:line="360" w:lineRule="auto"/>
        <w:ind w:firstLine="680"/>
        <w:jc w:val="both"/>
        <w:rPr>
          <w:sz w:val="24"/>
          <w:szCs w:val="24"/>
        </w:rPr>
      </w:pPr>
      <w:r w:rsidRPr="00023C0F">
        <w:rPr>
          <w:sz w:val="24"/>
          <w:szCs w:val="24"/>
        </w:rPr>
        <w:t xml:space="preserve">The Birmingham Commonwealth Games and the Ocean Cleanup Project are excellent examples of how community engagement can be successfully implemented in different contexts. </w:t>
      </w:r>
    </w:p>
    <w:p w14:paraId="638C9E48" w14:textId="77777777" w:rsidR="00DF679E" w:rsidRDefault="00023C0F" w:rsidP="0015293A">
      <w:pPr>
        <w:spacing w:line="360" w:lineRule="auto"/>
        <w:ind w:firstLine="680"/>
        <w:jc w:val="both"/>
        <w:rPr>
          <w:sz w:val="24"/>
          <w:szCs w:val="24"/>
        </w:rPr>
      </w:pPr>
      <w:r w:rsidRPr="00023C0F">
        <w:rPr>
          <w:sz w:val="24"/>
          <w:szCs w:val="24"/>
        </w:rPr>
        <w:t>The first used a range of engagement strategies, including public consultations, local outreach activities, and community engagement.</w:t>
      </w:r>
    </w:p>
    <w:p w14:paraId="24A113F6" w14:textId="77777777" w:rsidR="00DF679E" w:rsidRDefault="00023C0F" w:rsidP="0015293A">
      <w:pPr>
        <w:spacing w:line="360" w:lineRule="auto"/>
        <w:ind w:firstLine="680"/>
        <w:jc w:val="both"/>
        <w:rPr>
          <w:sz w:val="24"/>
          <w:szCs w:val="24"/>
        </w:rPr>
      </w:pPr>
      <w:r w:rsidRPr="00023C0F">
        <w:rPr>
          <w:sz w:val="24"/>
          <w:szCs w:val="24"/>
        </w:rPr>
        <w:t>On the other hand, they focused on social media campaigns, educational resources</w:t>
      </w:r>
      <w:r>
        <w:rPr>
          <w:sz w:val="24"/>
          <w:szCs w:val="24"/>
        </w:rPr>
        <w:t>,</w:t>
      </w:r>
      <w:r w:rsidRPr="00023C0F">
        <w:rPr>
          <w:sz w:val="24"/>
          <w:szCs w:val="24"/>
        </w:rPr>
        <w:t xml:space="preserve"> and partnerships with local </w:t>
      </w:r>
      <w:r>
        <w:rPr>
          <w:sz w:val="24"/>
          <w:szCs w:val="24"/>
        </w:rPr>
        <w:t>organizations</w:t>
      </w:r>
      <w:r w:rsidRPr="00023C0F">
        <w:rPr>
          <w:sz w:val="24"/>
          <w:szCs w:val="24"/>
        </w:rPr>
        <w:t xml:space="preserve"> to raise awareness and </w:t>
      </w:r>
      <w:r>
        <w:rPr>
          <w:sz w:val="24"/>
          <w:szCs w:val="24"/>
        </w:rPr>
        <w:t>mobilize</w:t>
      </w:r>
      <w:r w:rsidR="0015293A">
        <w:rPr>
          <w:sz w:val="24"/>
          <w:szCs w:val="24"/>
        </w:rPr>
        <w:t xml:space="preserve"> support. </w:t>
      </w:r>
      <w:r w:rsidRPr="00023C0F">
        <w:rPr>
          <w:sz w:val="24"/>
          <w:szCs w:val="24"/>
        </w:rPr>
        <w:t xml:space="preserve">The best practices in community engagement approaches in both projects can be summarised into five key areas: understanding the target audience, engaging with local communities, creating educational materials, leveraging social media, and </w:t>
      </w:r>
      <w:r w:rsidRPr="00023C0F">
        <w:rPr>
          <w:sz w:val="24"/>
          <w:szCs w:val="24"/>
        </w:rPr>
        <w:lastRenderedPageBreak/>
        <w:t>applying for government support and investment. These strategies, when implemented effectively, can help ensure that projects are more successful, sustainable, and have a positive impact on society.</w:t>
      </w:r>
    </w:p>
    <w:p w14:paraId="52879C1B" w14:textId="7A086793" w:rsidR="003D5FA5" w:rsidRDefault="00023C0F" w:rsidP="0015293A">
      <w:pPr>
        <w:pStyle w:val="NoSpacing"/>
        <w:spacing w:line="360" w:lineRule="auto"/>
        <w:ind w:firstLine="680"/>
        <w:jc w:val="both"/>
        <w:rPr>
          <w:sz w:val="24"/>
          <w:szCs w:val="24"/>
        </w:rPr>
      </w:pPr>
      <w:bookmarkStart w:id="12" w:name="_jrndb4tu5iz" w:colFirst="0" w:colLast="0"/>
      <w:bookmarkEnd w:id="12"/>
      <w:r w:rsidRPr="0015293A">
        <w:rPr>
          <w:sz w:val="24"/>
          <w:szCs w:val="24"/>
        </w:rPr>
        <w:t>Furthermore, while both projects have been successful, there remains room for improvement</w:t>
      </w:r>
      <w:r w:rsidR="00076086">
        <w:rPr>
          <w:sz w:val="24"/>
          <w:szCs w:val="24"/>
        </w:rPr>
        <w:t>.</w:t>
      </w:r>
      <w:r w:rsidRPr="0015293A">
        <w:rPr>
          <w:sz w:val="24"/>
          <w:szCs w:val="24"/>
        </w:rPr>
        <w:t xml:space="preserve"> </w:t>
      </w:r>
    </w:p>
    <w:p w14:paraId="377CAC8C" w14:textId="4B276D94" w:rsidR="003D5FA5" w:rsidRDefault="00023C0F" w:rsidP="0015293A">
      <w:pPr>
        <w:pStyle w:val="NoSpacing"/>
        <w:spacing w:line="360" w:lineRule="auto"/>
        <w:ind w:firstLine="680"/>
        <w:jc w:val="both"/>
        <w:rPr>
          <w:sz w:val="24"/>
          <w:szCs w:val="24"/>
        </w:rPr>
      </w:pPr>
      <w:r w:rsidRPr="0015293A">
        <w:rPr>
          <w:sz w:val="24"/>
          <w:szCs w:val="24"/>
        </w:rPr>
        <w:t>In addition</w:t>
      </w:r>
      <w:r w:rsidR="00076086">
        <w:rPr>
          <w:sz w:val="24"/>
          <w:szCs w:val="24"/>
        </w:rPr>
        <w:t>,</w:t>
      </w:r>
      <w:r w:rsidRPr="0015293A">
        <w:rPr>
          <w:sz w:val="24"/>
          <w:szCs w:val="24"/>
        </w:rPr>
        <w:t xml:space="preserve"> The Ocean Cleanup Project could have expanded </w:t>
      </w:r>
      <w:r w:rsidR="00191613" w:rsidRPr="0015293A">
        <w:rPr>
          <w:sz w:val="24"/>
          <w:szCs w:val="24"/>
        </w:rPr>
        <w:t>its</w:t>
      </w:r>
      <w:r w:rsidRPr="0015293A">
        <w:rPr>
          <w:sz w:val="24"/>
          <w:szCs w:val="24"/>
        </w:rPr>
        <w:t xml:space="preserve"> educational resources to include multi-language materials to en</w:t>
      </w:r>
      <w:r w:rsidR="003D5FA5">
        <w:rPr>
          <w:sz w:val="24"/>
          <w:szCs w:val="24"/>
        </w:rPr>
        <w:t>gage more diverse communities.</w:t>
      </w:r>
    </w:p>
    <w:p w14:paraId="44F4508C" w14:textId="77777777" w:rsidR="0015293A" w:rsidRPr="0015293A" w:rsidRDefault="00023C0F" w:rsidP="0015293A">
      <w:pPr>
        <w:pStyle w:val="NoSpacing"/>
        <w:spacing w:line="360" w:lineRule="auto"/>
        <w:ind w:firstLine="680"/>
        <w:jc w:val="both"/>
        <w:rPr>
          <w:sz w:val="24"/>
          <w:szCs w:val="24"/>
        </w:rPr>
      </w:pPr>
      <w:r w:rsidRPr="0015293A">
        <w:rPr>
          <w:sz w:val="24"/>
          <w:szCs w:val="24"/>
        </w:rPr>
        <w:t xml:space="preserve">Overall, community participation should be a priority for any project or initiative, and these best practices can be applied across a variety of settings. By giving priority to community involvement, project teams can ensure that their projects are more successful, </w:t>
      </w:r>
      <w:r w:rsidR="00191613" w:rsidRPr="0015293A">
        <w:rPr>
          <w:sz w:val="24"/>
          <w:szCs w:val="24"/>
        </w:rPr>
        <w:t xml:space="preserve">and </w:t>
      </w:r>
      <w:r w:rsidRPr="0015293A">
        <w:rPr>
          <w:sz w:val="24"/>
          <w:szCs w:val="24"/>
        </w:rPr>
        <w:t xml:space="preserve">sustainable and have a positive impact on society and the environment. </w:t>
      </w:r>
    </w:p>
    <w:p w14:paraId="6BC2F4F5" w14:textId="77777777" w:rsidR="00DF679E" w:rsidRDefault="003D5FA5" w:rsidP="0015293A">
      <w:pPr>
        <w:pStyle w:val="Heading2"/>
        <w:spacing w:after="360" w:line="360" w:lineRule="auto"/>
        <w:ind w:firstLine="680"/>
        <w:jc w:val="both"/>
      </w:pPr>
      <w:r>
        <w:t>Reference list</w:t>
      </w:r>
    </w:p>
    <w:p w14:paraId="313C3CA3"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Anon, (2020). </w:t>
      </w:r>
      <w:r>
        <w:rPr>
          <w:rFonts w:ascii="Times New Roman" w:eastAsia="Times New Roman" w:hAnsi="Times New Roman" w:cs="Times New Roman"/>
          <w:i/>
          <w:sz w:val="24"/>
          <w:szCs w:val="24"/>
        </w:rPr>
        <w:t>Ocean Week in Review | Sea Save</w:t>
      </w:r>
      <w:r>
        <w:rPr>
          <w:rFonts w:ascii="Times New Roman" w:eastAsia="Times New Roman" w:hAnsi="Times New Roman" w:cs="Times New Roman"/>
          <w:sz w:val="24"/>
          <w:szCs w:val="24"/>
        </w:rPr>
        <w:t>. [online] Available at: https://seasave.org/week-in-review/?gclid=Cj0KCQjwt_qgBhDFARIsABcDjOdGzXLS9DkIPFglSIBCKwby55XL3h5_aZujin7o-LfJ5GsWi1YDQ9MaAiceEALw_wcB [Accessed 25 Mar. 2023].</w:t>
      </w:r>
    </w:p>
    <w:p w14:paraId="6EEF06C3"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Council, B.C. (n.d.). </w:t>
      </w:r>
      <w:r>
        <w:rPr>
          <w:rFonts w:ascii="Times New Roman" w:eastAsia="Times New Roman" w:hAnsi="Times New Roman" w:cs="Times New Roman"/>
          <w:i/>
          <w:sz w:val="24"/>
          <w:szCs w:val="24"/>
        </w:rPr>
        <w:t>Commonwealth Games 2022 | Birmingham City Council</w:t>
      </w:r>
      <w:r>
        <w:rPr>
          <w:rFonts w:ascii="Times New Roman" w:eastAsia="Times New Roman" w:hAnsi="Times New Roman" w:cs="Times New Roman"/>
          <w:sz w:val="24"/>
          <w:szCs w:val="24"/>
        </w:rPr>
        <w:t>. [online] www.birmingham.gov.uk. Available at: https://www.birmingham.gov.uk/info/50116/commonwealth_games_2022.</w:t>
      </w:r>
    </w:p>
    <w:p w14:paraId="62E366F7"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Dickie, G. (2021). Ocean Cleanup struggles to fulfill </w:t>
      </w:r>
      <w:r w:rsidR="00191613">
        <w:rPr>
          <w:rFonts w:ascii="Times New Roman" w:eastAsia="Times New Roman" w:hAnsi="Times New Roman" w:cs="Times New Roman"/>
          <w:sz w:val="24"/>
          <w:szCs w:val="24"/>
        </w:rPr>
        <w:t xml:space="preserve">its </w:t>
      </w:r>
      <w:r>
        <w:rPr>
          <w:rFonts w:ascii="Times New Roman" w:eastAsia="Times New Roman" w:hAnsi="Times New Roman" w:cs="Times New Roman"/>
          <w:sz w:val="24"/>
          <w:szCs w:val="24"/>
        </w:rPr>
        <w:t xml:space="preserve">promise to scoop up plastic at sea. </w:t>
      </w:r>
      <w:r>
        <w:rPr>
          <w:rFonts w:ascii="Times New Roman" w:eastAsia="Times New Roman" w:hAnsi="Times New Roman" w:cs="Times New Roman"/>
          <w:i/>
          <w:sz w:val="24"/>
          <w:szCs w:val="24"/>
        </w:rPr>
        <w:t>Reuters</w:t>
      </w:r>
      <w:r>
        <w:rPr>
          <w:rFonts w:ascii="Times New Roman" w:eastAsia="Times New Roman" w:hAnsi="Times New Roman" w:cs="Times New Roman"/>
          <w:sz w:val="24"/>
          <w:szCs w:val="24"/>
        </w:rPr>
        <w:t>. [online] 16 Sep. Available at: https://www.reuters.com/business/environment/ocean-cleanup-struggles-fulfill-promise-scoop-up-plastic-sea-2021-09-16/.</w:t>
      </w:r>
    </w:p>
    <w:p w14:paraId="48F202F2"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 of the INTERIM EVALUATION OF Birmingham 2022 THE BIRMINGHAM 2022 Commonwealth Games Interim Evaluation Report. (2023). Available at: https://assets.publishing.service.gov.uk/government/uploads/system/uploads/attachment_data/file/1128687/Interim_Evaluation_of_the_Birmingham_2022_Commonwealth_Games_-_Interim_Evaluation_Report.pdf.</w:t>
      </w:r>
    </w:p>
    <w:p w14:paraId="0767E95D"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Global Dimension. (n.d.). </w:t>
      </w:r>
      <w:r>
        <w:rPr>
          <w:rFonts w:ascii="Times New Roman" w:eastAsia="Times New Roman" w:hAnsi="Times New Roman" w:cs="Times New Roman"/>
          <w:i/>
          <w:sz w:val="24"/>
          <w:szCs w:val="24"/>
        </w:rPr>
        <w:t>The Oceans and Plastic Pollution - KS2 Activity handbook for teachers</w:t>
      </w:r>
      <w:r>
        <w:rPr>
          <w:rFonts w:ascii="Times New Roman" w:eastAsia="Times New Roman" w:hAnsi="Times New Roman" w:cs="Times New Roman"/>
          <w:sz w:val="24"/>
          <w:szCs w:val="24"/>
        </w:rPr>
        <w:t>. [online] Available at: https://globaldimension.org.uk/resources/the-oceans-and-plastic-pollution-ks2-activity-handbook-for-teachers/?gclid=Cj0KCQjwt_qgBhDFARIsABcDjOcs9ei7YnnlgqE2UmyoEWVc5u4hQO9dW0ITrJY9V--IeT5OpELohSQaAubREALw_wcB [Accessed 25 Mar. 2023].</w:t>
      </w:r>
    </w:p>
    <w:p w14:paraId="38705A65"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(n.d.). </w:t>
      </w:r>
      <w:r>
        <w:rPr>
          <w:rFonts w:ascii="Times New Roman" w:eastAsia="Times New Roman" w:hAnsi="Times New Roman" w:cs="Times New Roman"/>
          <w:i/>
          <w:sz w:val="24"/>
          <w:szCs w:val="24"/>
        </w:rPr>
        <w:t>Birmingham Commonwealth Games Act report: April 2022 to December 2022</w:t>
      </w:r>
      <w:r>
        <w:rPr>
          <w:rFonts w:ascii="Times New Roman" w:eastAsia="Times New Roman" w:hAnsi="Times New Roman" w:cs="Times New Roman"/>
          <w:sz w:val="24"/>
          <w:szCs w:val="24"/>
        </w:rPr>
        <w:t>. [online] Available at: https://www.gov.uk/government/publications/birmingham-commonwealth-games-act-report-april-2022-to-december-2022 [Accessed 25 Mar. 2023].</w:t>
      </w:r>
    </w:p>
    <w:p w14:paraId="4948A4B7"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Live Ocean. (n.d.). </w:t>
      </w:r>
      <w:r>
        <w:rPr>
          <w:rFonts w:ascii="Times New Roman" w:eastAsia="Times New Roman" w:hAnsi="Times New Roman" w:cs="Times New Roman"/>
          <w:i/>
          <w:sz w:val="24"/>
          <w:szCs w:val="24"/>
        </w:rPr>
        <w:t>Live Ocean Foundation | Home</w:t>
      </w:r>
      <w:r>
        <w:rPr>
          <w:rFonts w:ascii="Times New Roman" w:eastAsia="Times New Roman" w:hAnsi="Times New Roman" w:cs="Times New Roman"/>
          <w:sz w:val="24"/>
          <w:szCs w:val="24"/>
        </w:rPr>
        <w:t>. [online] Available at: https://liveocean.com/foundation/?gclid=Cj0KCQjwt_qgBhDFARIsABcDjOet8Um9NCEIyVdWCjG5PwzaOeDRYTZ8wT9UboMhbyfEKSzxjg7-hFYaAl4fEALw_wcB [Accessed 25 Mar. 2023].</w:t>
      </w:r>
    </w:p>
    <w:p w14:paraId="02E3DA06"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Palminteri, S. (2019). </w:t>
      </w:r>
      <w:r>
        <w:rPr>
          <w:rFonts w:ascii="Times New Roman" w:eastAsia="Times New Roman" w:hAnsi="Times New Roman" w:cs="Times New Roman"/>
          <w:i/>
          <w:sz w:val="24"/>
          <w:szCs w:val="24"/>
        </w:rPr>
        <w:t xml:space="preserve">The Ocean Cleanup successfully collects ocean plastic </w:t>
      </w:r>
      <w:r w:rsidR="00191613">
        <w:rPr>
          <w:rFonts w:ascii="Times New Roman" w:eastAsia="Times New Roman" w:hAnsi="Times New Roman" w:cs="Times New Roman"/>
          <w:i/>
          <w:sz w:val="24"/>
          <w:szCs w:val="24"/>
        </w:rPr>
        <w:t xml:space="preserve">and </w:t>
      </w:r>
      <w:r>
        <w:rPr>
          <w:rFonts w:ascii="Times New Roman" w:eastAsia="Times New Roman" w:hAnsi="Times New Roman" w:cs="Times New Roman"/>
          <w:i/>
          <w:sz w:val="24"/>
          <w:szCs w:val="24"/>
        </w:rPr>
        <w:t xml:space="preserve">aims to scale </w:t>
      </w:r>
      <w:r w:rsidR="00191613">
        <w:rPr>
          <w:rFonts w:ascii="Times New Roman" w:eastAsia="Times New Roman" w:hAnsi="Times New Roman" w:cs="Times New Roman"/>
          <w:i/>
          <w:sz w:val="24"/>
          <w:szCs w:val="24"/>
        </w:rPr>
        <w:t xml:space="preserve">the </w:t>
      </w:r>
      <w:r>
        <w:rPr>
          <w:rFonts w:ascii="Times New Roman" w:eastAsia="Times New Roman" w:hAnsi="Times New Roman" w:cs="Times New Roman"/>
          <w:i/>
          <w:sz w:val="24"/>
          <w:szCs w:val="24"/>
        </w:rPr>
        <w:t>design</w:t>
      </w:r>
      <w:r>
        <w:rPr>
          <w:rFonts w:ascii="Times New Roman" w:eastAsia="Times New Roman" w:hAnsi="Times New Roman" w:cs="Times New Roman"/>
          <w:sz w:val="24"/>
          <w:szCs w:val="24"/>
        </w:rPr>
        <w:t>. [online] Mongabay Environmental News. Available at: https://news.mongabay.com/2019/10/the-ocean-cleanup-successfully-collects-ocean-plastic-aims-to-scale-design/.</w:t>
      </w:r>
    </w:p>
    <w:p w14:paraId="7A2FCDFA"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Staying Cool. (2021). </w:t>
      </w:r>
      <w:r>
        <w:rPr>
          <w:rFonts w:ascii="Times New Roman" w:eastAsia="Times New Roman" w:hAnsi="Times New Roman" w:cs="Times New Roman"/>
          <w:i/>
          <w:sz w:val="24"/>
          <w:szCs w:val="24"/>
        </w:rPr>
        <w:t>A guide to the Birmingham 2022 Commonwealth Games</w:t>
      </w:r>
      <w:r>
        <w:rPr>
          <w:rFonts w:ascii="Times New Roman" w:eastAsia="Times New Roman" w:hAnsi="Times New Roman" w:cs="Times New Roman"/>
          <w:sz w:val="24"/>
          <w:szCs w:val="24"/>
        </w:rPr>
        <w:t>. [online] Available at: https://www.stayingcool.com/blog/birmingham-2022-commonwealth-games/.</w:t>
      </w:r>
    </w:p>
    <w:p w14:paraId="16FDD9B3"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Independent. (n.d.). </w:t>
      </w:r>
      <w:r>
        <w:rPr>
          <w:rFonts w:ascii="Times New Roman" w:eastAsia="Times New Roman" w:hAnsi="Times New Roman" w:cs="Times New Roman"/>
          <w:i/>
          <w:sz w:val="24"/>
          <w:szCs w:val="24"/>
        </w:rPr>
        <w:t>Ocean Cleanup</w:t>
      </w:r>
      <w:r>
        <w:rPr>
          <w:rFonts w:ascii="Times New Roman" w:eastAsia="Times New Roman" w:hAnsi="Times New Roman" w:cs="Times New Roman"/>
          <w:sz w:val="24"/>
          <w:szCs w:val="24"/>
        </w:rPr>
        <w:t>. [online] Available at: https://www.independent.co.uk/topic/ocean-cleanup [Accessed 25 Mar. 2023].</w:t>
      </w:r>
    </w:p>
    <w:p w14:paraId="23956565" w14:textId="77777777" w:rsidR="00DF679E" w:rsidRDefault="003D5FA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Ocean Cleanup. (n.d.). </w:t>
      </w:r>
      <w:r>
        <w:rPr>
          <w:rFonts w:ascii="Times New Roman" w:eastAsia="Times New Roman" w:hAnsi="Times New Roman" w:cs="Times New Roman"/>
          <w:i/>
          <w:sz w:val="24"/>
          <w:szCs w:val="24"/>
        </w:rPr>
        <w:t>The Ocean Cleanup</w:t>
      </w:r>
      <w:r>
        <w:rPr>
          <w:rFonts w:ascii="Times New Roman" w:eastAsia="Times New Roman" w:hAnsi="Times New Roman" w:cs="Times New Roman"/>
          <w:sz w:val="24"/>
          <w:szCs w:val="24"/>
        </w:rPr>
        <w:t>. [online] Available at: https://theoceancleanup.com/?utm_source=google_cpc&amp;utm_medium=ad_grant&amp;utm_campaign=awareness&amp;gclid=Cj0KCQjwt_qgBhDFARIsABcDjOeAl9MYpIAK_1kGdmWK6frOeo0ZNyGSWVxB0vLLVmsdtfT0ELiTPswaArLlEALw_wcB [Accessed 25 Mar. 2023].</w:t>
      </w:r>
    </w:p>
    <w:p w14:paraId="355FA477" w14:textId="77777777" w:rsidR="00DF679E" w:rsidRDefault="003D5FA5">
      <w:pPr>
        <w:spacing w:after="240" w:line="360" w:lineRule="auto"/>
        <w:rPr>
          <w:sz w:val="24"/>
          <w:szCs w:val="24"/>
        </w:rPr>
      </w:pPr>
      <w:r>
        <w:rPr>
          <w:rFonts w:ascii="Times New Roman" w:eastAsia="Times New Roman" w:hAnsi="Times New Roman" w:cs="Times New Roman"/>
          <w:sz w:val="24"/>
          <w:szCs w:val="24"/>
        </w:rPr>
        <w:t xml:space="preserve">What happened to The Ocean Cleanup — the system that would rid the oceans of plastic? (2023). </w:t>
      </w:r>
      <w:r>
        <w:rPr>
          <w:rFonts w:ascii="Times New Roman" w:eastAsia="Times New Roman" w:hAnsi="Times New Roman" w:cs="Times New Roman"/>
          <w:i/>
          <w:sz w:val="24"/>
          <w:szCs w:val="24"/>
        </w:rPr>
        <w:t>ABC News</w:t>
      </w:r>
      <w:r>
        <w:rPr>
          <w:rFonts w:ascii="Times New Roman" w:eastAsia="Times New Roman" w:hAnsi="Times New Roman" w:cs="Times New Roman"/>
          <w:sz w:val="24"/>
          <w:szCs w:val="24"/>
        </w:rPr>
        <w:t>. [online] 16 Mar. Available at: https://www.abc.net.au/news/science/2023-03-17/ocean-cleanup-plastic-pollution-great-pacific-garbage-patch/102075810.</w:t>
      </w:r>
    </w:p>
    <w:sectPr w:rsidR="00DF679E">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79E"/>
    <w:rsid w:val="00023C0F"/>
    <w:rsid w:val="00076086"/>
    <w:rsid w:val="0015293A"/>
    <w:rsid w:val="00191613"/>
    <w:rsid w:val="003D5FA5"/>
    <w:rsid w:val="004150D6"/>
    <w:rsid w:val="004E2811"/>
    <w:rsid w:val="005F28E0"/>
    <w:rsid w:val="008653FA"/>
    <w:rsid w:val="00B00C19"/>
    <w:rsid w:val="00BD34C7"/>
    <w:rsid w:val="00DF679E"/>
    <w:rsid w:val="00EF001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127E2"/>
  <w15:docId w15:val="{074800F6-FA00-463A-887B-9E87352B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RO"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tcPr>
      <w:shd w:val="clear" w:color="auto" w:fill="F7F7F8"/>
    </w:tcPr>
  </w:style>
  <w:style w:type="paragraph" w:styleId="NoSpacing">
    <w:name w:val="No Spacing"/>
    <w:uiPriority w:val="1"/>
    <w:qFormat/>
    <w:rsid w:val="0019161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12</Pages>
  <Words>3305</Words>
  <Characters>18839</Characters>
  <Application>Microsoft Office Word</Application>
  <DocSecurity>0</DocSecurity>
  <Lines>156</Lines>
  <Paragraphs>44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Marin (2213202)</cp:lastModifiedBy>
  <cp:revision>6</cp:revision>
  <dcterms:created xsi:type="dcterms:W3CDTF">2023-03-25T16:42:00Z</dcterms:created>
  <dcterms:modified xsi:type="dcterms:W3CDTF">2023-03-26T21:14:00Z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c8cbec9df41d71e95439a7a7df71cb4fe52e4704668ab96ba82e196a19376c3c</vt:lpwstr>
  </property>
</Properties>
</file>