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A0671" w14:textId="5F405C3A" w:rsidR="00ED3A09" w:rsidRPr="00070029" w:rsidRDefault="00ED3A09" w:rsidP="00ED3A09">
      <w:pPr>
        <w:rPr>
          <w:rFonts w:ascii="Arial" w:hAnsi="Arial" w:cs="Arial"/>
          <w:sz w:val="28"/>
          <w:szCs w:val="28"/>
        </w:rPr>
      </w:pPr>
      <w:r w:rsidRPr="00070029">
        <w:rPr>
          <w:rFonts w:ascii="Arial" w:hAnsi="Arial" w:cs="Arial"/>
          <w:b/>
          <w:bCs/>
          <w:sz w:val="28"/>
          <w:szCs w:val="28"/>
        </w:rPr>
        <w:t>Module:</w:t>
      </w:r>
      <w:r w:rsidRPr="00070029">
        <w:rPr>
          <w:rFonts w:ascii="Arial" w:hAnsi="Arial" w:cs="Arial"/>
          <w:sz w:val="28"/>
          <w:szCs w:val="28"/>
        </w:rPr>
        <w:t xml:space="preserve"> </w:t>
      </w:r>
      <w:r w:rsidRPr="00070029">
        <w:rPr>
          <w:rFonts w:ascii="Arial" w:hAnsi="Arial" w:cs="Arial"/>
          <w:bCs/>
          <w:sz w:val="28"/>
          <w:szCs w:val="28"/>
        </w:rPr>
        <w:t>Introduction to Independent Research Skills</w:t>
      </w:r>
      <w:r w:rsidRPr="00070029">
        <w:rPr>
          <w:rFonts w:ascii="Arial" w:hAnsi="Arial" w:cs="Arial"/>
          <w:bCs/>
          <w:sz w:val="28"/>
          <w:szCs w:val="28"/>
        </w:rPr>
        <w:t xml:space="preserve"> </w:t>
      </w:r>
    </w:p>
    <w:p w14:paraId="34D9687B" w14:textId="77777777" w:rsidR="00ED3A09" w:rsidRPr="00070029" w:rsidRDefault="00ED3A09" w:rsidP="00ED3A09">
      <w:pPr>
        <w:rPr>
          <w:rFonts w:ascii="Arial" w:hAnsi="Arial" w:cs="Arial"/>
          <w:b/>
          <w:bCs/>
          <w:sz w:val="28"/>
          <w:szCs w:val="28"/>
        </w:rPr>
      </w:pPr>
    </w:p>
    <w:p w14:paraId="01564DA6" w14:textId="77777777" w:rsidR="00070029" w:rsidRPr="00070029" w:rsidRDefault="00070029" w:rsidP="00ED3A09">
      <w:pPr>
        <w:rPr>
          <w:rFonts w:ascii="Arial" w:hAnsi="Arial" w:cs="Arial"/>
          <w:b/>
          <w:bCs/>
          <w:sz w:val="28"/>
          <w:szCs w:val="28"/>
        </w:rPr>
      </w:pPr>
    </w:p>
    <w:p w14:paraId="20DB54B5" w14:textId="77777777" w:rsidR="00070029" w:rsidRDefault="00070029" w:rsidP="00ED3A09">
      <w:pPr>
        <w:rPr>
          <w:rFonts w:ascii="Arial" w:hAnsi="Arial" w:cs="Arial"/>
          <w:b/>
          <w:bCs/>
          <w:sz w:val="28"/>
          <w:szCs w:val="28"/>
        </w:rPr>
      </w:pPr>
    </w:p>
    <w:p w14:paraId="032EB67C" w14:textId="2F606A50" w:rsidR="00ED3A09" w:rsidRPr="00070029" w:rsidRDefault="00ED3A09" w:rsidP="00ED3A09">
      <w:pPr>
        <w:rPr>
          <w:rFonts w:ascii="Arial" w:hAnsi="Arial" w:cs="Arial"/>
          <w:sz w:val="28"/>
          <w:szCs w:val="28"/>
        </w:rPr>
      </w:pPr>
      <w:r w:rsidRPr="00070029">
        <w:rPr>
          <w:rFonts w:ascii="Arial" w:hAnsi="Arial" w:cs="Arial"/>
          <w:b/>
          <w:bCs/>
          <w:sz w:val="28"/>
          <w:szCs w:val="28"/>
        </w:rPr>
        <w:t>Module code:</w:t>
      </w:r>
      <w:r w:rsidRPr="00070029">
        <w:rPr>
          <w:rFonts w:ascii="Arial" w:hAnsi="Arial" w:cs="Arial"/>
          <w:sz w:val="28"/>
          <w:szCs w:val="28"/>
        </w:rPr>
        <w:t xml:space="preserve"> BMHP5019_BIRM</w:t>
      </w:r>
    </w:p>
    <w:p w14:paraId="55E7F1C3" w14:textId="77777777" w:rsidR="004639FE" w:rsidRPr="00070029" w:rsidRDefault="004639FE">
      <w:pPr>
        <w:rPr>
          <w:rFonts w:ascii="Arial" w:hAnsi="Arial" w:cs="Arial"/>
          <w:b/>
          <w:bCs/>
          <w:sz w:val="28"/>
          <w:szCs w:val="28"/>
        </w:rPr>
      </w:pPr>
    </w:p>
    <w:p w14:paraId="5B88A01D" w14:textId="77777777" w:rsidR="00070029" w:rsidRPr="00070029" w:rsidRDefault="00070029" w:rsidP="00ED3A09">
      <w:pPr>
        <w:rPr>
          <w:rFonts w:ascii="Arial" w:hAnsi="Arial" w:cs="Arial"/>
          <w:b/>
          <w:bCs/>
          <w:sz w:val="28"/>
          <w:szCs w:val="28"/>
        </w:rPr>
      </w:pPr>
    </w:p>
    <w:p w14:paraId="4AA1BB5E" w14:textId="77777777" w:rsidR="00070029" w:rsidRDefault="00070029" w:rsidP="00ED3A09">
      <w:pPr>
        <w:rPr>
          <w:rFonts w:ascii="Arial" w:hAnsi="Arial" w:cs="Arial"/>
          <w:b/>
          <w:bCs/>
          <w:sz w:val="28"/>
          <w:szCs w:val="28"/>
        </w:rPr>
      </w:pPr>
    </w:p>
    <w:p w14:paraId="0700B643" w14:textId="194D6ED6" w:rsidR="00070029" w:rsidRPr="00070029" w:rsidRDefault="009F6201" w:rsidP="00ED3A09">
      <w:pPr>
        <w:rPr>
          <w:rFonts w:ascii="Arial" w:hAnsi="Arial" w:cs="Arial"/>
          <w:sz w:val="28"/>
          <w:szCs w:val="28"/>
        </w:rPr>
      </w:pPr>
      <w:r w:rsidRPr="00070029">
        <w:rPr>
          <w:rFonts w:ascii="Arial" w:hAnsi="Arial" w:cs="Arial"/>
          <w:b/>
          <w:bCs/>
          <w:sz w:val="28"/>
          <w:szCs w:val="28"/>
        </w:rPr>
        <w:t>Assessment title</w:t>
      </w:r>
      <w:r w:rsidRPr="00070029">
        <w:rPr>
          <w:rFonts w:ascii="Arial" w:hAnsi="Arial" w:cs="Arial"/>
          <w:sz w:val="28"/>
          <w:szCs w:val="28"/>
        </w:rPr>
        <w:t xml:space="preserve">: </w:t>
      </w:r>
      <w:r w:rsidRPr="00070029">
        <w:rPr>
          <w:rFonts w:ascii="Arial" w:hAnsi="Arial" w:cs="Arial"/>
          <w:sz w:val="28"/>
          <w:szCs w:val="28"/>
        </w:rPr>
        <w:t xml:space="preserve">Patient experiences of access to remote GP consultations in the UK: </w:t>
      </w:r>
      <w:r w:rsidR="00070029" w:rsidRPr="00070029">
        <w:rPr>
          <w:rFonts w:ascii="Arial" w:hAnsi="Arial" w:cs="Arial"/>
          <w:sz w:val="28"/>
          <w:szCs w:val="28"/>
        </w:rPr>
        <w:t xml:space="preserve">A Scoping Review </w:t>
      </w:r>
    </w:p>
    <w:p w14:paraId="22E54D0A" w14:textId="77777777" w:rsidR="00070029" w:rsidRPr="00070029" w:rsidRDefault="00070029" w:rsidP="00ED3A09">
      <w:pPr>
        <w:rPr>
          <w:rFonts w:ascii="Arial" w:hAnsi="Arial" w:cs="Arial"/>
          <w:b/>
          <w:bCs/>
          <w:sz w:val="28"/>
          <w:szCs w:val="28"/>
        </w:rPr>
      </w:pPr>
    </w:p>
    <w:p w14:paraId="63A988E5" w14:textId="77777777" w:rsidR="00070029" w:rsidRPr="00070029" w:rsidRDefault="00070029" w:rsidP="00ED3A09">
      <w:pPr>
        <w:rPr>
          <w:rFonts w:ascii="Arial" w:hAnsi="Arial" w:cs="Arial"/>
          <w:b/>
          <w:bCs/>
          <w:sz w:val="28"/>
          <w:szCs w:val="28"/>
        </w:rPr>
      </w:pPr>
    </w:p>
    <w:p w14:paraId="795DB79F" w14:textId="77777777" w:rsidR="00070029" w:rsidRDefault="00070029" w:rsidP="00ED3A09">
      <w:pPr>
        <w:rPr>
          <w:rFonts w:ascii="Arial" w:hAnsi="Arial" w:cs="Arial"/>
          <w:b/>
          <w:bCs/>
          <w:sz w:val="28"/>
          <w:szCs w:val="28"/>
        </w:rPr>
      </w:pPr>
    </w:p>
    <w:p w14:paraId="5FEFABB6" w14:textId="399DE4C2" w:rsidR="009F6201" w:rsidRPr="00070029" w:rsidRDefault="009F6201" w:rsidP="00ED3A09">
      <w:pPr>
        <w:rPr>
          <w:rFonts w:ascii="Arial" w:hAnsi="Arial" w:cs="Arial"/>
          <w:sz w:val="28"/>
          <w:szCs w:val="28"/>
        </w:rPr>
      </w:pPr>
      <w:r w:rsidRPr="00070029">
        <w:rPr>
          <w:rFonts w:ascii="Arial" w:hAnsi="Arial" w:cs="Arial"/>
          <w:b/>
          <w:bCs/>
          <w:sz w:val="28"/>
          <w:szCs w:val="28"/>
        </w:rPr>
        <w:t>Student Number</w:t>
      </w:r>
      <w:r w:rsidRPr="00070029">
        <w:rPr>
          <w:rFonts w:ascii="Arial" w:hAnsi="Arial" w:cs="Arial"/>
          <w:sz w:val="28"/>
          <w:szCs w:val="28"/>
        </w:rPr>
        <w:t xml:space="preserve">: 2426673 </w:t>
      </w:r>
    </w:p>
    <w:p w14:paraId="0FF37BCF" w14:textId="77777777" w:rsidR="00070029" w:rsidRPr="00070029" w:rsidRDefault="00070029" w:rsidP="00ED3A09">
      <w:pPr>
        <w:rPr>
          <w:rFonts w:ascii="Arial" w:hAnsi="Arial" w:cs="Arial"/>
          <w:sz w:val="28"/>
          <w:szCs w:val="28"/>
        </w:rPr>
      </w:pPr>
    </w:p>
    <w:p w14:paraId="13587AB1" w14:textId="77777777" w:rsidR="00070029" w:rsidRPr="00070029" w:rsidRDefault="00070029" w:rsidP="00070029">
      <w:pPr>
        <w:rPr>
          <w:rFonts w:ascii="Arial" w:hAnsi="Arial" w:cs="Arial"/>
          <w:sz w:val="28"/>
          <w:szCs w:val="28"/>
        </w:rPr>
      </w:pPr>
    </w:p>
    <w:p w14:paraId="627A2D80" w14:textId="77777777" w:rsidR="00070029" w:rsidRPr="00070029" w:rsidRDefault="00070029" w:rsidP="00070029">
      <w:pPr>
        <w:rPr>
          <w:rFonts w:ascii="Arial" w:hAnsi="Arial" w:cs="Arial"/>
          <w:b/>
          <w:bCs/>
          <w:sz w:val="28"/>
          <w:szCs w:val="28"/>
        </w:rPr>
      </w:pPr>
    </w:p>
    <w:p w14:paraId="44678B2D" w14:textId="79F5B6FE" w:rsidR="00070029" w:rsidRPr="00070029" w:rsidRDefault="00070029" w:rsidP="00070029">
      <w:pPr>
        <w:rPr>
          <w:rFonts w:ascii="Arial" w:hAnsi="Arial" w:cs="Arial"/>
          <w:sz w:val="28"/>
          <w:szCs w:val="28"/>
        </w:rPr>
      </w:pPr>
      <w:r w:rsidRPr="00070029">
        <w:rPr>
          <w:rFonts w:ascii="Arial" w:hAnsi="Arial" w:cs="Arial"/>
          <w:b/>
          <w:bCs/>
          <w:sz w:val="28"/>
          <w:szCs w:val="28"/>
        </w:rPr>
        <w:t>Student Name:</w:t>
      </w:r>
      <w:r w:rsidRPr="00070029">
        <w:rPr>
          <w:rFonts w:ascii="Arial" w:hAnsi="Arial" w:cs="Arial"/>
          <w:sz w:val="28"/>
          <w:szCs w:val="28"/>
        </w:rPr>
        <w:t xml:space="preserve"> Portia Amankonah </w:t>
      </w:r>
    </w:p>
    <w:p w14:paraId="038152F7" w14:textId="77777777" w:rsidR="00070029" w:rsidRPr="00070029" w:rsidRDefault="00070029" w:rsidP="00ED3A09">
      <w:pPr>
        <w:rPr>
          <w:rFonts w:ascii="Arial" w:hAnsi="Arial" w:cs="Arial"/>
          <w:sz w:val="28"/>
          <w:szCs w:val="28"/>
        </w:rPr>
      </w:pPr>
    </w:p>
    <w:p w14:paraId="01BB015E" w14:textId="77777777" w:rsidR="00070029" w:rsidRPr="00070029" w:rsidRDefault="00070029" w:rsidP="004639FE">
      <w:pPr>
        <w:rPr>
          <w:rFonts w:ascii="Arial" w:hAnsi="Arial" w:cs="Arial"/>
          <w:sz w:val="28"/>
          <w:szCs w:val="28"/>
        </w:rPr>
      </w:pPr>
    </w:p>
    <w:p w14:paraId="518B7BD3" w14:textId="77777777" w:rsidR="00070029" w:rsidRPr="00070029" w:rsidRDefault="00070029" w:rsidP="004639FE">
      <w:pPr>
        <w:rPr>
          <w:rFonts w:ascii="Arial" w:hAnsi="Arial" w:cs="Arial"/>
          <w:b/>
          <w:bCs/>
          <w:sz w:val="28"/>
          <w:szCs w:val="28"/>
        </w:rPr>
      </w:pPr>
    </w:p>
    <w:p w14:paraId="1ABAE7C0" w14:textId="043071D4" w:rsidR="004639FE" w:rsidRPr="00ED3A09" w:rsidRDefault="009F6201" w:rsidP="004639FE">
      <w:r w:rsidRPr="00070029">
        <w:rPr>
          <w:rFonts w:ascii="Arial" w:hAnsi="Arial" w:cs="Arial"/>
          <w:b/>
          <w:bCs/>
          <w:sz w:val="28"/>
          <w:szCs w:val="28"/>
        </w:rPr>
        <w:t>Lecturer:</w:t>
      </w:r>
      <w:r w:rsidRPr="00070029">
        <w:rPr>
          <w:rFonts w:ascii="Arial" w:hAnsi="Arial" w:cs="Arial"/>
          <w:sz w:val="28"/>
          <w:szCs w:val="28"/>
        </w:rPr>
        <w:t xml:space="preserve"> Precious </w:t>
      </w:r>
      <w:proofErr w:type="spellStart"/>
      <w:r w:rsidR="004639FE" w:rsidRPr="00070029">
        <w:rPr>
          <w:rFonts w:ascii="Arial" w:hAnsi="Arial" w:cs="Arial"/>
          <w:sz w:val="28"/>
          <w:szCs w:val="28"/>
        </w:rPr>
        <w:t>Igbinigie</w:t>
      </w:r>
      <w:proofErr w:type="spellEnd"/>
      <w:r w:rsidR="004639FE" w:rsidRPr="00ED3A09">
        <w:t xml:space="preserve"> </w:t>
      </w:r>
      <w:r w:rsidRPr="00ED3A09">
        <w:br/>
      </w:r>
    </w:p>
    <w:p w14:paraId="1A3223B0" w14:textId="77777777" w:rsidR="00070029" w:rsidRDefault="00070029"/>
    <w:p w14:paraId="73582A37" w14:textId="77777777" w:rsidR="009F6201" w:rsidRDefault="009F6201"/>
    <w:p w14:paraId="12662900" w14:textId="77777777" w:rsidR="009F6201" w:rsidRDefault="009F6201"/>
    <w:p w14:paraId="46AF7328" w14:textId="77777777" w:rsidR="009F6201" w:rsidRDefault="009F6201"/>
    <w:p w14:paraId="70F35E4D" w14:textId="77777777" w:rsidR="00070029" w:rsidRDefault="00070029" w:rsidP="009F6201"/>
    <w:p w14:paraId="2AA9FC80" w14:textId="148815A9" w:rsidR="009F6201" w:rsidRPr="00070029" w:rsidRDefault="009F6201" w:rsidP="009F6201">
      <w:pPr>
        <w:rPr>
          <w:rFonts w:ascii="Arial" w:hAnsi="Arial" w:cs="Arial"/>
          <w:sz w:val="32"/>
          <w:szCs w:val="32"/>
        </w:rPr>
      </w:pPr>
      <w:r w:rsidRPr="00070029">
        <w:rPr>
          <w:rFonts w:ascii="Arial" w:hAnsi="Arial" w:cs="Arial"/>
          <w:b/>
          <w:bCs/>
          <w:sz w:val="32"/>
          <w:szCs w:val="32"/>
        </w:rPr>
        <w:lastRenderedPageBreak/>
        <w:t xml:space="preserve">Patient </w:t>
      </w:r>
      <w:r w:rsidR="004639FE" w:rsidRPr="00070029">
        <w:rPr>
          <w:rFonts w:ascii="Arial" w:hAnsi="Arial" w:cs="Arial"/>
          <w:b/>
          <w:bCs/>
          <w:sz w:val="32"/>
          <w:szCs w:val="32"/>
        </w:rPr>
        <w:t xml:space="preserve">Experiences of Access to Remote </w:t>
      </w:r>
      <w:r w:rsidRPr="00070029">
        <w:rPr>
          <w:rFonts w:ascii="Arial" w:hAnsi="Arial" w:cs="Arial"/>
          <w:b/>
          <w:bCs/>
          <w:sz w:val="32"/>
          <w:szCs w:val="32"/>
        </w:rPr>
        <w:t xml:space="preserve">GP </w:t>
      </w:r>
      <w:r w:rsidR="004639FE" w:rsidRPr="00070029">
        <w:rPr>
          <w:rFonts w:ascii="Arial" w:hAnsi="Arial" w:cs="Arial"/>
          <w:b/>
          <w:bCs/>
          <w:sz w:val="32"/>
          <w:szCs w:val="32"/>
        </w:rPr>
        <w:t xml:space="preserve">Consultations </w:t>
      </w:r>
      <w:r w:rsidR="003D49F5" w:rsidRPr="00070029">
        <w:rPr>
          <w:rFonts w:ascii="Arial" w:hAnsi="Arial" w:cs="Arial"/>
          <w:b/>
          <w:bCs/>
          <w:sz w:val="32"/>
          <w:szCs w:val="32"/>
        </w:rPr>
        <w:t>in</w:t>
      </w:r>
      <w:r w:rsidR="004639FE" w:rsidRPr="00070029">
        <w:rPr>
          <w:rFonts w:ascii="Arial" w:hAnsi="Arial" w:cs="Arial"/>
          <w:b/>
          <w:bCs/>
          <w:sz w:val="32"/>
          <w:szCs w:val="32"/>
        </w:rPr>
        <w:t xml:space="preserve"> </w:t>
      </w:r>
      <w:r w:rsidR="00402A93" w:rsidRPr="00070029">
        <w:rPr>
          <w:rFonts w:ascii="Arial" w:hAnsi="Arial" w:cs="Arial"/>
          <w:b/>
          <w:bCs/>
          <w:sz w:val="32"/>
          <w:szCs w:val="32"/>
        </w:rPr>
        <w:t>the</w:t>
      </w:r>
      <w:r w:rsidR="004639FE" w:rsidRPr="00070029">
        <w:rPr>
          <w:rFonts w:ascii="Arial" w:hAnsi="Arial" w:cs="Arial"/>
          <w:b/>
          <w:bCs/>
          <w:sz w:val="32"/>
          <w:szCs w:val="32"/>
        </w:rPr>
        <w:t xml:space="preserve"> </w:t>
      </w:r>
      <w:r w:rsidRPr="00070029">
        <w:rPr>
          <w:rFonts w:ascii="Arial" w:hAnsi="Arial" w:cs="Arial"/>
          <w:b/>
          <w:bCs/>
          <w:sz w:val="32"/>
          <w:szCs w:val="32"/>
        </w:rPr>
        <w:t>UK</w:t>
      </w:r>
      <w:r w:rsidR="004639FE" w:rsidRPr="00070029">
        <w:rPr>
          <w:rFonts w:ascii="Arial" w:hAnsi="Arial" w:cs="Arial"/>
          <w:b/>
          <w:bCs/>
          <w:sz w:val="32"/>
          <w:szCs w:val="32"/>
        </w:rPr>
        <w:t>: A Scoping Review</w:t>
      </w:r>
    </w:p>
    <w:p w14:paraId="6E5C0D39" w14:textId="5C74452F" w:rsidR="004639FE" w:rsidRPr="00454E7C" w:rsidRDefault="004639FE" w:rsidP="004639FE">
      <w:pPr>
        <w:spacing w:line="276" w:lineRule="auto"/>
        <w:rPr>
          <w:rFonts w:ascii="Arial" w:hAnsi="Arial" w:cs="Arial"/>
          <w:b/>
          <w:bCs/>
          <w:sz w:val="32"/>
          <w:szCs w:val="32"/>
        </w:rPr>
      </w:pPr>
    </w:p>
    <w:p w14:paraId="0A8CA234" w14:textId="77777777" w:rsidR="00454E7C" w:rsidRPr="00454E7C" w:rsidRDefault="00454E7C" w:rsidP="00454E7C">
      <w:pPr>
        <w:spacing w:line="276" w:lineRule="auto"/>
        <w:rPr>
          <w:rFonts w:ascii="Arial" w:hAnsi="Arial" w:cs="Arial"/>
          <w:b/>
          <w:bCs/>
          <w:sz w:val="32"/>
          <w:szCs w:val="32"/>
        </w:rPr>
      </w:pPr>
      <w:r w:rsidRPr="00454E7C">
        <w:rPr>
          <w:rFonts w:ascii="Arial" w:hAnsi="Arial" w:cs="Arial"/>
          <w:b/>
          <w:bCs/>
          <w:sz w:val="32"/>
          <w:szCs w:val="32"/>
        </w:rPr>
        <w:t>Patient Experiences of Access to Remote GP Consultations in the UK: A Scoping Review</w:t>
      </w:r>
    </w:p>
    <w:p w14:paraId="6081EAC6" w14:textId="77777777" w:rsidR="00454E7C" w:rsidRDefault="00454E7C" w:rsidP="00454E7C">
      <w:pPr>
        <w:spacing w:line="276" w:lineRule="auto"/>
        <w:rPr>
          <w:rFonts w:ascii="Arial" w:hAnsi="Arial" w:cs="Arial"/>
          <w:b/>
          <w:bCs/>
          <w:sz w:val="23"/>
          <w:szCs w:val="23"/>
        </w:rPr>
      </w:pPr>
    </w:p>
    <w:p w14:paraId="50375C43" w14:textId="0643578A" w:rsidR="00454E7C" w:rsidRPr="00454E7C" w:rsidRDefault="00454E7C" w:rsidP="00454E7C">
      <w:pPr>
        <w:spacing w:line="276" w:lineRule="auto"/>
        <w:rPr>
          <w:rFonts w:ascii="Arial" w:hAnsi="Arial" w:cs="Arial"/>
          <w:b/>
          <w:bCs/>
          <w:sz w:val="23"/>
          <w:szCs w:val="23"/>
        </w:rPr>
      </w:pPr>
      <w:r w:rsidRPr="00454E7C">
        <w:rPr>
          <w:rFonts w:ascii="Arial" w:hAnsi="Arial" w:cs="Arial"/>
          <w:b/>
          <w:bCs/>
          <w:sz w:val="23"/>
          <w:szCs w:val="23"/>
        </w:rPr>
        <w:t>Topic, review question and objectives</w:t>
      </w:r>
    </w:p>
    <w:p w14:paraId="76DB5918" w14:textId="77777777" w:rsidR="00454E7C" w:rsidRPr="00454E7C" w:rsidRDefault="00454E7C" w:rsidP="00454E7C">
      <w:pPr>
        <w:spacing w:line="276" w:lineRule="auto"/>
        <w:rPr>
          <w:rFonts w:ascii="Arial" w:hAnsi="Arial" w:cs="Arial"/>
          <w:sz w:val="23"/>
          <w:szCs w:val="23"/>
        </w:rPr>
      </w:pPr>
      <w:r w:rsidRPr="00454E7C">
        <w:rPr>
          <w:rFonts w:ascii="Arial" w:hAnsi="Arial" w:cs="Arial"/>
          <w:sz w:val="23"/>
          <w:szCs w:val="23"/>
        </w:rPr>
        <w:t>This scoping review will explore adult patients’ experiences of accessing telephone, video and online GP consultations in the UK. It asks: “What barriers and facilitators to accessing remote GP consultations are reported by adult patients in the UK?” By comparing experiences across patient groups and consultation types, the review aims to identify gaps in the evidence and consider how services could better meet patients’ needs.</w:t>
      </w:r>
    </w:p>
    <w:p w14:paraId="1CF88CEE" w14:textId="77777777" w:rsidR="00454E7C" w:rsidRDefault="00454E7C" w:rsidP="00454E7C">
      <w:pPr>
        <w:spacing w:line="276" w:lineRule="auto"/>
        <w:rPr>
          <w:rFonts w:ascii="Arial" w:hAnsi="Arial" w:cs="Arial"/>
          <w:b/>
          <w:bCs/>
          <w:sz w:val="23"/>
          <w:szCs w:val="23"/>
        </w:rPr>
      </w:pPr>
    </w:p>
    <w:p w14:paraId="57F5D6FE" w14:textId="1314B88C" w:rsidR="00454E7C" w:rsidRPr="00454E7C" w:rsidRDefault="00454E7C" w:rsidP="00454E7C">
      <w:pPr>
        <w:spacing w:line="276" w:lineRule="auto"/>
        <w:rPr>
          <w:rFonts w:ascii="Arial" w:hAnsi="Arial" w:cs="Arial"/>
          <w:b/>
          <w:bCs/>
          <w:sz w:val="23"/>
          <w:szCs w:val="23"/>
        </w:rPr>
      </w:pPr>
      <w:r w:rsidRPr="00454E7C">
        <w:rPr>
          <w:rFonts w:ascii="Arial" w:hAnsi="Arial" w:cs="Arial"/>
          <w:b/>
          <w:bCs/>
          <w:sz w:val="23"/>
          <w:szCs w:val="23"/>
        </w:rPr>
        <w:t>Rationale</w:t>
      </w:r>
    </w:p>
    <w:p w14:paraId="0D45B00F" w14:textId="77777777" w:rsidR="00454E7C" w:rsidRPr="00454E7C" w:rsidRDefault="00454E7C" w:rsidP="00454E7C">
      <w:pPr>
        <w:spacing w:line="276" w:lineRule="auto"/>
        <w:rPr>
          <w:rFonts w:ascii="Arial" w:hAnsi="Arial" w:cs="Arial"/>
          <w:sz w:val="23"/>
          <w:szCs w:val="23"/>
        </w:rPr>
      </w:pPr>
      <w:r w:rsidRPr="00454E7C">
        <w:rPr>
          <w:rFonts w:ascii="Arial" w:hAnsi="Arial" w:cs="Arial"/>
          <w:sz w:val="23"/>
          <w:szCs w:val="23"/>
        </w:rPr>
        <w:t xml:space="preserve">Although remote consultations offer convenience, this does not necessarily make care equally accessible. De Visser et al. (2024) found that patients valued the benefits but also experienced difficulties with technology, communication and privacy. These concerns become particularly important when considering patients who already face barriers to healthcare. For example, Verity and </w:t>
      </w:r>
      <w:proofErr w:type="spellStart"/>
      <w:r w:rsidRPr="00454E7C">
        <w:rPr>
          <w:rFonts w:ascii="Arial" w:hAnsi="Arial" w:cs="Arial"/>
          <w:sz w:val="23"/>
          <w:szCs w:val="23"/>
        </w:rPr>
        <w:t>Tzortziou</w:t>
      </w:r>
      <w:proofErr w:type="spellEnd"/>
      <w:r w:rsidRPr="00454E7C">
        <w:rPr>
          <w:rFonts w:ascii="Arial" w:hAnsi="Arial" w:cs="Arial"/>
          <w:sz w:val="23"/>
          <w:szCs w:val="23"/>
        </w:rPr>
        <w:t xml:space="preserve"> Brown (2023) identified time-saving benefits among socially excluded patients, alongside difficulties with language and digital access. Humphrey et al. (2025) adds to this picture, showing how limited privacy and unpredictable call times created difficulties for marginalised patients.</w:t>
      </w:r>
    </w:p>
    <w:p w14:paraId="457FE480" w14:textId="77777777" w:rsidR="00454E7C" w:rsidRPr="00454E7C" w:rsidRDefault="00454E7C" w:rsidP="00454E7C">
      <w:pPr>
        <w:spacing w:line="276" w:lineRule="auto"/>
        <w:rPr>
          <w:rFonts w:ascii="Arial" w:hAnsi="Arial" w:cs="Arial"/>
          <w:sz w:val="23"/>
          <w:szCs w:val="23"/>
        </w:rPr>
      </w:pPr>
      <w:r w:rsidRPr="00454E7C">
        <w:rPr>
          <w:rFonts w:ascii="Arial" w:hAnsi="Arial" w:cs="Arial"/>
          <w:sz w:val="23"/>
          <w:szCs w:val="23"/>
        </w:rPr>
        <w:t>These findings suggest that patients’ circumstances shape whether remote care makes access easier or harder. However, whose experiences inform the evidence also matters: de Visser et al. (2024) recruited partly online and interviewed participants online in English, potentially overlooking people facing substantial digital or language barriers. The review will therefore consider both reported experiences and how research methods may influence the conclusions drawn.</w:t>
      </w:r>
    </w:p>
    <w:p w14:paraId="5243EE2B" w14:textId="77777777" w:rsidR="00454E7C" w:rsidRDefault="00454E7C" w:rsidP="00454E7C">
      <w:pPr>
        <w:spacing w:line="276" w:lineRule="auto"/>
        <w:rPr>
          <w:rFonts w:ascii="Arial" w:hAnsi="Arial" w:cs="Arial"/>
          <w:b/>
          <w:bCs/>
          <w:sz w:val="23"/>
          <w:szCs w:val="23"/>
        </w:rPr>
      </w:pPr>
    </w:p>
    <w:p w14:paraId="566DCD0D" w14:textId="1E738F0F" w:rsidR="00454E7C" w:rsidRPr="00454E7C" w:rsidRDefault="00454E7C" w:rsidP="00454E7C">
      <w:pPr>
        <w:spacing w:line="276" w:lineRule="auto"/>
        <w:rPr>
          <w:rFonts w:ascii="Arial" w:hAnsi="Arial" w:cs="Arial"/>
          <w:b/>
          <w:bCs/>
          <w:sz w:val="23"/>
          <w:szCs w:val="23"/>
        </w:rPr>
      </w:pPr>
      <w:r w:rsidRPr="00454E7C">
        <w:rPr>
          <w:rFonts w:ascii="Arial" w:hAnsi="Arial" w:cs="Arial"/>
          <w:b/>
          <w:bCs/>
          <w:sz w:val="23"/>
          <w:szCs w:val="23"/>
        </w:rPr>
        <w:t>Methods</w:t>
      </w:r>
    </w:p>
    <w:p w14:paraId="4D6061A9" w14:textId="77777777" w:rsidR="00454E7C" w:rsidRPr="00454E7C" w:rsidRDefault="00454E7C" w:rsidP="00454E7C">
      <w:pPr>
        <w:spacing w:line="276" w:lineRule="auto"/>
        <w:rPr>
          <w:rFonts w:ascii="Arial" w:hAnsi="Arial" w:cs="Arial"/>
          <w:sz w:val="23"/>
          <w:szCs w:val="23"/>
        </w:rPr>
      </w:pPr>
      <w:r w:rsidRPr="00454E7C">
        <w:rPr>
          <w:rFonts w:ascii="Arial" w:hAnsi="Arial" w:cs="Arial"/>
          <w:sz w:val="23"/>
          <w:szCs w:val="23"/>
        </w:rPr>
        <w:t>Following JBI guidance, the review will use Population–Concept–Context to define its focus on adults, access barriers and facilitators, and UK general practice (Peters et al., 2022). Searches of PubMed and CINAHL will combine terms covering these areas and remote consultations, with strategies and dates recorded.</w:t>
      </w:r>
    </w:p>
    <w:p w14:paraId="31EDCA8D" w14:textId="77777777" w:rsidR="00454E7C" w:rsidRDefault="00454E7C" w:rsidP="00454E7C">
      <w:pPr>
        <w:spacing w:line="276" w:lineRule="auto"/>
        <w:rPr>
          <w:rFonts w:ascii="Arial" w:hAnsi="Arial" w:cs="Arial"/>
          <w:b/>
          <w:bCs/>
          <w:sz w:val="23"/>
          <w:szCs w:val="23"/>
        </w:rPr>
      </w:pPr>
      <w:r w:rsidRPr="00454E7C">
        <w:rPr>
          <w:rFonts w:ascii="Arial" w:hAnsi="Arial" w:cs="Arial"/>
          <w:sz w:val="23"/>
          <w:szCs w:val="23"/>
        </w:rPr>
        <w:t xml:space="preserve">Studies must be peer-reviewed, published in English within the previous five years, and contain qualitative findings about adult patients’ experiences. After removing duplicates, </w:t>
      </w:r>
      <w:r w:rsidRPr="00454E7C">
        <w:rPr>
          <w:rFonts w:ascii="Arial" w:hAnsi="Arial" w:cs="Arial"/>
          <w:sz w:val="23"/>
          <w:szCs w:val="23"/>
        </w:rPr>
        <w:lastRenderedPageBreak/>
        <w:t>titles, abstracts and full texts will be screened against these criteria. Policy documents, editorials and clinician-only studies will be excluded, with reasons recorded. Five studies will be selected using predefined criteria</w:t>
      </w:r>
      <w:r w:rsidRPr="00454E7C">
        <w:rPr>
          <w:rFonts w:ascii="Arial" w:hAnsi="Arial" w:cs="Arial"/>
          <w:b/>
          <w:bCs/>
          <w:sz w:val="23"/>
          <w:szCs w:val="23"/>
        </w:rPr>
        <w:t xml:space="preserve"> </w:t>
      </w:r>
      <w:r w:rsidRPr="00454E7C">
        <w:rPr>
          <w:rFonts w:ascii="Arial" w:hAnsi="Arial" w:cs="Arial"/>
          <w:sz w:val="23"/>
          <w:szCs w:val="23"/>
        </w:rPr>
        <w:t>prioritising relevant patient accounts across different groups and consultation types.</w:t>
      </w:r>
    </w:p>
    <w:p w14:paraId="695B97EF" w14:textId="78AA222B" w:rsidR="00454E7C" w:rsidRPr="00454E7C" w:rsidRDefault="00454E7C" w:rsidP="00454E7C">
      <w:pPr>
        <w:spacing w:line="276" w:lineRule="auto"/>
        <w:rPr>
          <w:rFonts w:ascii="Arial" w:hAnsi="Arial" w:cs="Arial"/>
          <w:b/>
          <w:bCs/>
          <w:sz w:val="23"/>
          <w:szCs w:val="23"/>
        </w:rPr>
      </w:pPr>
      <w:r w:rsidRPr="00454E7C">
        <w:rPr>
          <w:rFonts w:ascii="Arial" w:hAnsi="Arial" w:cs="Arial"/>
          <w:sz w:val="23"/>
          <w:szCs w:val="23"/>
        </w:rPr>
        <w:t>Study details and findings will be organised in a table (Pollock et al., 2023), then compared through thematic analysis. Differences will be considered alongside recruitment methods and study settings. The review will acknowledge its limited coverage and reliance on one reviewer and English-language studies.</w:t>
      </w:r>
    </w:p>
    <w:p w14:paraId="77CA1424" w14:textId="77777777" w:rsidR="00454E7C" w:rsidRDefault="00454E7C" w:rsidP="00454E7C">
      <w:pPr>
        <w:spacing w:line="276" w:lineRule="auto"/>
        <w:rPr>
          <w:rFonts w:ascii="Arial" w:hAnsi="Arial" w:cs="Arial"/>
          <w:b/>
          <w:bCs/>
          <w:sz w:val="23"/>
          <w:szCs w:val="23"/>
        </w:rPr>
      </w:pPr>
    </w:p>
    <w:p w14:paraId="79E09372" w14:textId="0A8051AD" w:rsidR="00454E7C" w:rsidRPr="00454E7C" w:rsidRDefault="00454E7C" w:rsidP="00454E7C">
      <w:pPr>
        <w:spacing w:line="276" w:lineRule="auto"/>
        <w:rPr>
          <w:rFonts w:ascii="Arial" w:hAnsi="Arial" w:cs="Arial"/>
          <w:b/>
          <w:bCs/>
          <w:sz w:val="23"/>
          <w:szCs w:val="23"/>
        </w:rPr>
      </w:pPr>
      <w:r w:rsidRPr="00454E7C">
        <w:rPr>
          <w:rFonts w:ascii="Arial" w:hAnsi="Arial" w:cs="Arial"/>
          <w:b/>
          <w:bCs/>
          <w:sz w:val="23"/>
          <w:szCs w:val="23"/>
        </w:rPr>
        <w:t>Ethical considerations</w:t>
      </w:r>
    </w:p>
    <w:p w14:paraId="05E39F9F" w14:textId="378584A2" w:rsidR="004639FE" w:rsidRPr="00454E7C" w:rsidRDefault="00454E7C" w:rsidP="00454E7C">
      <w:pPr>
        <w:spacing w:line="276" w:lineRule="auto"/>
        <w:rPr>
          <w:rFonts w:ascii="Arial" w:hAnsi="Arial" w:cs="Arial"/>
          <w:sz w:val="23"/>
          <w:szCs w:val="23"/>
        </w:rPr>
      </w:pPr>
      <w:r w:rsidRPr="00454E7C">
        <w:rPr>
          <w:rFonts w:ascii="Arial" w:hAnsi="Arial" w:cs="Arial"/>
          <w:sz w:val="23"/>
          <w:szCs w:val="23"/>
        </w:rPr>
        <w:t>As the review uses published findings, no identifiable patient records will be accessed. University ethics requirements will be checked, while accurate referencing and fair representation of findings will support research integrity. Decisions and assumptions will be recorded to help reduce selective interpretation.</w:t>
      </w:r>
    </w:p>
    <w:p w14:paraId="2E5AD089" w14:textId="77777777" w:rsidR="004639FE" w:rsidRDefault="004639FE" w:rsidP="004639FE">
      <w:pPr>
        <w:spacing w:line="276" w:lineRule="auto"/>
        <w:rPr>
          <w:rFonts w:ascii="Arial" w:hAnsi="Arial" w:cs="Arial"/>
          <w:b/>
          <w:bCs/>
          <w:sz w:val="23"/>
          <w:szCs w:val="23"/>
        </w:rPr>
      </w:pPr>
    </w:p>
    <w:p w14:paraId="08B08011" w14:textId="77777777" w:rsidR="004639FE" w:rsidRDefault="004639FE" w:rsidP="004639FE">
      <w:pPr>
        <w:spacing w:line="276" w:lineRule="auto"/>
        <w:rPr>
          <w:rFonts w:ascii="Arial" w:hAnsi="Arial" w:cs="Arial"/>
          <w:b/>
          <w:bCs/>
          <w:sz w:val="23"/>
          <w:szCs w:val="23"/>
        </w:rPr>
      </w:pPr>
    </w:p>
    <w:p w14:paraId="55157038" w14:textId="77777777" w:rsidR="004639FE" w:rsidRDefault="004639FE" w:rsidP="004639FE">
      <w:pPr>
        <w:spacing w:line="276" w:lineRule="auto"/>
        <w:rPr>
          <w:rFonts w:ascii="Arial" w:hAnsi="Arial" w:cs="Arial"/>
          <w:b/>
          <w:bCs/>
          <w:sz w:val="23"/>
          <w:szCs w:val="23"/>
        </w:rPr>
      </w:pPr>
    </w:p>
    <w:p w14:paraId="4914634D" w14:textId="77777777" w:rsidR="004639FE" w:rsidRDefault="004639FE" w:rsidP="004639FE">
      <w:pPr>
        <w:spacing w:line="276" w:lineRule="auto"/>
        <w:rPr>
          <w:rFonts w:ascii="Arial" w:hAnsi="Arial" w:cs="Arial"/>
          <w:b/>
          <w:bCs/>
          <w:sz w:val="23"/>
          <w:szCs w:val="23"/>
        </w:rPr>
      </w:pPr>
    </w:p>
    <w:p w14:paraId="2FA7C892" w14:textId="50BA187D" w:rsidR="009F6201" w:rsidRPr="004639FE" w:rsidRDefault="004639FE" w:rsidP="004639FE">
      <w:pPr>
        <w:spacing w:line="276" w:lineRule="auto"/>
        <w:rPr>
          <w:rFonts w:ascii="Arial" w:hAnsi="Arial" w:cs="Arial"/>
          <w:b/>
          <w:bCs/>
          <w:sz w:val="23"/>
          <w:szCs w:val="23"/>
        </w:rPr>
      </w:pPr>
      <w:r w:rsidRPr="004639FE">
        <w:rPr>
          <w:rFonts w:ascii="Arial" w:hAnsi="Arial" w:cs="Arial"/>
          <w:b/>
          <w:bCs/>
          <w:sz w:val="23"/>
          <w:szCs w:val="23"/>
        </w:rPr>
        <w:t xml:space="preserve">REFERENCES: </w:t>
      </w:r>
    </w:p>
    <w:p w14:paraId="71245070" w14:textId="77777777" w:rsidR="00DC3A38" w:rsidRDefault="009F6201" w:rsidP="000C719C">
      <w:pPr>
        <w:spacing w:line="276" w:lineRule="auto"/>
        <w:rPr>
          <w:rFonts w:ascii="Arial" w:hAnsi="Arial" w:cs="Arial"/>
          <w:b/>
          <w:bCs/>
          <w:sz w:val="23"/>
          <w:szCs w:val="23"/>
        </w:rPr>
      </w:pPr>
      <w:r w:rsidRPr="004639FE">
        <w:rPr>
          <w:rFonts w:ascii="Arial" w:hAnsi="Arial" w:cs="Arial"/>
          <w:b/>
          <w:bCs/>
          <w:sz w:val="23"/>
          <w:szCs w:val="23"/>
        </w:rPr>
        <w:t xml:space="preserve">de Visser, R.O., </w:t>
      </w:r>
      <w:proofErr w:type="spellStart"/>
      <w:r w:rsidRPr="004639FE">
        <w:rPr>
          <w:rFonts w:ascii="Arial" w:hAnsi="Arial" w:cs="Arial"/>
          <w:b/>
          <w:bCs/>
          <w:sz w:val="23"/>
          <w:szCs w:val="23"/>
        </w:rPr>
        <w:t>Nwamba</w:t>
      </w:r>
      <w:proofErr w:type="spellEnd"/>
      <w:r w:rsidRPr="004639FE">
        <w:rPr>
          <w:rFonts w:ascii="Arial" w:hAnsi="Arial" w:cs="Arial"/>
          <w:b/>
          <w:bCs/>
          <w:sz w:val="23"/>
          <w:szCs w:val="23"/>
        </w:rPr>
        <w:t>, C., Brearley, E., Shafiei, V. and Hart, L. (2024)</w:t>
      </w:r>
      <w:r w:rsidRPr="004639FE">
        <w:rPr>
          <w:rFonts w:ascii="Arial" w:hAnsi="Arial" w:cs="Arial"/>
          <w:sz w:val="23"/>
          <w:szCs w:val="23"/>
        </w:rPr>
        <w:t xml:space="preserve"> ‘Remote consultations in primary care: Patient experiences and suggestions for improvement’, </w:t>
      </w:r>
      <w:r w:rsidRPr="004639FE">
        <w:rPr>
          <w:rFonts w:ascii="Arial" w:hAnsi="Arial" w:cs="Arial"/>
          <w:i/>
          <w:iCs/>
          <w:sz w:val="23"/>
          <w:szCs w:val="23"/>
        </w:rPr>
        <w:t>Journal of Health Psychology</w:t>
      </w:r>
      <w:r w:rsidRPr="004639FE">
        <w:rPr>
          <w:rFonts w:ascii="Arial" w:hAnsi="Arial" w:cs="Arial"/>
          <w:sz w:val="23"/>
          <w:szCs w:val="23"/>
        </w:rPr>
        <w:t xml:space="preserve">, 29(12), pp. 1321–1335. Available at: </w:t>
      </w:r>
      <w:hyperlink r:id="rId8" w:history="1">
        <w:r w:rsidRPr="004639FE">
          <w:rPr>
            <w:rStyle w:val="Hyperlink"/>
            <w:rFonts w:ascii="Arial" w:hAnsi="Arial" w:cs="Arial"/>
            <w:sz w:val="23"/>
            <w:szCs w:val="23"/>
          </w:rPr>
          <w:t>https://doi.org/10.1177/13591053241240383</w:t>
        </w:r>
      </w:hyperlink>
      <w:r w:rsidRPr="004639FE">
        <w:rPr>
          <w:rFonts w:ascii="Arial" w:hAnsi="Arial" w:cs="Arial"/>
          <w:sz w:val="23"/>
          <w:szCs w:val="23"/>
        </w:rPr>
        <w:t xml:space="preserve"> (Accessed: </w:t>
      </w:r>
      <w:r w:rsidR="004639FE">
        <w:rPr>
          <w:rFonts w:ascii="Arial" w:hAnsi="Arial" w:cs="Arial"/>
          <w:sz w:val="23"/>
          <w:szCs w:val="23"/>
        </w:rPr>
        <w:t>7</w:t>
      </w:r>
      <w:r w:rsidRPr="004639FE">
        <w:rPr>
          <w:rFonts w:ascii="Arial" w:hAnsi="Arial" w:cs="Arial"/>
          <w:sz w:val="23"/>
          <w:szCs w:val="23"/>
        </w:rPr>
        <w:t xml:space="preserve"> October 2026).</w:t>
      </w:r>
      <w:r w:rsidRPr="004639FE">
        <w:rPr>
          <w:rFonts w:ascii="Arial" w:hAnsi="Arial" w:cs="Arial"/>
          <w:sz w:val="23"/>
          <w:szCs w:val="23"/>
        </w:rPr>
        <w:br/>
      </w:r>
    </w:p>
    <w:p w14:paraId="1C473E1F" w14:textId="14E6B116" w:rsidR="00B4309D" w:rsidRPr="000C719C" w:rsidRDefault="00B4309D" w:rsidP="000C719C">
      <w:pPr>
        <w:spacing w:line="276" w:lineRule="auto"/>
        <w:rPr>
          <w:rFonts w:ascii="Arial" w:hAnsi="Arial" w:cs="Arial"/>
          <w:b/>
          <w:bCs/>
          <w:sz w:val="23"/>
          <w:szCs w:val="23"/>
        </w:rPr>
      </w:pPr>
      <w:r w:rsidRPr="00B4309D">
        <w:rPr>
          <w:rFonts w:ascii="Arial" w:hAnsi="Arial" w:cs="Arial"/>
          <w:b/>
          <w:bCs/>
          <w:sz w:val="23"/>
          <w:szCs w:val="23"/>
        </w:rPr>
        <w:t xml:space="preserve">Humphrey, A., Cummins, S., May, C. and Stevenson, F. (2025) </w:t>
      </w:r>
      <w:r w:rsidRPr="00B4309D">
        <w:rPr>
          <w:rFonts w:ascii="Arial" w:hAnsi="Arial" w:cs="Arial"/>
          <w:sz w:val="23"/>
          <w:szCs w:val="23"/>
        </w:rPr>
        <w:t xml:space="preserve">‘GP remote consultations with marginalised patients and the importance of place during care: a qualitative study of the role of place in GP consultations’, </w:t>
      </w:r>
      <w:r w:rsidRPr="00B4309D">
        <w:rPr>
          <w:rFonts w:ascii="Arial" w:hAnsi="Arial" w:cs="Arial"/>
          <w:i/>
          <w:iCs/>
          <w:sz w:val="23"/>
          <w:szCs w:val="23"/>
        </w:rPr>
        <w:t>BJGP Open</w:t>
      </w:r>
      <w:r w:rsidRPr="00B4309D">
        <w:rPr>
          <w:rFonts w:ascii="Arial" w:hAnsi="Arial" w:cs="Arial"/>
          <w:sz w:val="23"/>
          <w:szCs w:val="23"/>
        </w:rPr>
        <w:t xml:space="preserve">, 9(1), article BJGPO.2024.0050. Available at: </w:t>
      </w:r>
      <w:hyperlink r:id="rId9" w:history="1">
        <w:r w:rsidRPr="00B4309D">
          <w:rPr>
            <w:rStyle w:val="Hyperlink"/>
            <w:rFonts w:ascii="Arial" w:hAnsi="Arial" w:cs="Arial"/>
            <w:sz w:val="23"/>
            <w:szCs w:val="23"/>
          </w:rPr>
          <w:t>https://doi.org/10.3399/BJGPO.2024.0050</w:t>
        </w:r>
      </w:hyperlink>
      <w:r w:rsidRPr="00B4309D">
        <w:rPr>
          <w:rFonts w:ascii="Arial" w:hAnsi="Arial" w:cs="Arial"/>
          <w:sz w:val="23"/>
          <w:szCs w:val="23"/>
        </w:rPr>
        <w:t xml:space="preserve"> (Accessed: 10 October 2026)</w:t>
      </w:r>
    </w:p>
    <w:p w14:paraId="2A7D106D" w14:textId="3453FB91" w:rsidR="009F6201" w:rsidRPr="004639FE" w:rsidRDefault="009F6201" w:rsidP="000C719C">
      <w:pPr>
        <w:spacing w:line="276" w:lineRule="auto"/>
        <w:rPr>
          <w:rFonts w:ascii="Arial" w:hAnsi="Arial" w:cs="Arial"/>
          <w:sz w:val="23"/>
          <w:szCs w:val="23"/>
        </w:rPr>
      </w:pPr>
      <w:r w:rsidRPr="004639FE">
        <w:rPr>
          <w:rFonts w:ascii="Arial" w:hAnsi="Arial" w:cs="Arial"/>
          <w:b/>
          <w:bCs/>
          <w:sz w:val="23"/>
          <w:szCs w:val="23"/>
        </w:rPr>
        <w:t xml:space="preserve">Peters, M.D.J., Godfrey, C., McInerney, P., Khalil, H., Larsen, P., Marnie, C., Pollock, D., </w:t>
      </w:r>
      <w:proofErr w:type="spellStart"/>
      <w:r w:rsidRPr="004639FE">
        <w:rPr>
          <w:rFonts w:ascii="Arial" w:hAnsi="Arial" w:cs="Arial"/>
          <w:b/>
          <w:bCs/>
          <w:sz w:val="23"/>
          <w:szCs w:val="23"/>
        </w:rPr>
        <w:t>Tricco</w:t>
      </w:r>
      <w:proofErr w:type="spellEnd"/>
      <w:r w:rsidRPr="004639FE">
        <w:rPr>
          <w:rFonts w:ascii="Arial" w:hAnsi="Arial" w:cs="Arial"/>
          <w:b/>
          <w:bCs/>
          <w:sz w:val="23"/>
          <w:szCs w:val="23"/>
        </w:rPr>
        <w:t>, A.C. and Munn, Z. (2022)</w:t>
      </w:r>
      <w:r w:rsidRPr="004639FE">
        <w:rPr>
          <w:rFonts w:ascii="Arial" w:hAnsi="Arial" w:cs="Arial"/>
          <w:sz w:val="23"/>
          <w:szCs w:val="23"/>
        </w:rPr>
        <w:t xml:space="preserve"> ‘Best practice guidance and reporting items for the development of scoping review protocols’, </w:t>
      </w:r>
      <w:r w:rsidRPr="004639FE">
        <w:rPr>
          <w:rFonts w:ascii="Arial" w:hAnsi="Arial" w:cs="Arial"/>
          <w:i/>
          <w:iCs/>
          <w:sz w:val="23"/>
          <w:szCs w:val="23"/>
        </w:rPr>
        <w:t>JBI Evidence Synthesis</w:t>
      </w:r>
      <w:r w:rsidRPr="004639FE">
        <w:rPr>
          <w:rFonts w:ascii="Arial" w:hAnsi="Arial" w:cs="Arial"/>
          <w:sz w:val="23"/>
          <w:szCs w:val="23"/>
        </w:rPr>
        <w:t xml:space="preserve">, 20(4), pp. 953–968. Available at: </w:t>
      </w:r>
      <w:hyperlink r:id="rId10" w:history="1">
        <w:r w:rsidRPr="004639FE">
          <w:rPr>
            <w:rStyle w:val="Hyperlink"/>
            <w:rFonts w:ascii="Arial" w:hAnsi="Arial" w:cs="Arial"/>
            <w:sz w:val="23"/>
            <w:szCs w:val="23"/>
          </w:rPr>
          <w:t>https://doi.org/10.11124/JBIES-21-00242</w:t>
        </w:r>
      </w:hyperlink>
      <w:r w:rsidRPr="004639FE">
        <w:rPr>
          <w:rFonts w:ascii="Arial" w:hAnsi="Arial" w:cs="Arial"/>
          <w:sz w:val="23"/>
          <w:szCs w:val="23"/>
        </w:rPr>
        <w:t xml:space="preserve"> (Accessed: </w:t>
      </w:r>
      <w:r w:rsidR="004639FE">
        <w:rPr>
          <w:rFonts w:ascii="Arial" w:hAnsi="Arial" w:cs="Arial"/>
          <w:sz w:val="23"/>
          <w:szCs w:val="23"/>
        </w:rPr>
        <w:t xml:space="preserve">8 </w:t>
      </w:r>
      <w:r w:rsidRPr="004639FE">
        <w:rPr>
          <w:rFonts w:ascii="Arial" w:hAnsi="Arial" w:cs="Arial"/>
          <w:sz w:val="23"/>
          <w:szCs w:val="23"/>
        </w:rPr>
        <w:t>October 2026).</w:t>
      </w:r>
      <w:r w:rsidRPr="004639FE">
        <w:rPr>
          <w:rFonts w:ascii="Arial" w:hAnsi="Arial" w:cs="Arial"/>
          <w:sz w:val="23"/>
          <w:szCs w:val="23"/>
        </w:rPr>
        <w:br/>
      </w:r>
    </w:p>
    <w:p w14:paraId="5D2542C3" w14:textId="77777777" w:rsidR="00C929DF" w:rsidRDefault="009F6201" w:rsidP="000C719C">
      <w:pPr>
        <w:spacing w:line="276" w:lineRule="auto"/>
        <w:rPr>
          <w:rFonts w:ascii="Arial" w:hAnsi="Arial" w:cs="Arial"/>
          <w:sz w:val="23"/>
          <w:szCs w:val="23"/>
        </w:rPr>
      </w:pPr>
      <w:r w:rsidRPr="004639FE">
        <w:rPr>
          <w:rFonts w:ascii="Arial" w:hAnsi="Arial" w:cs="Arial"/>
          <w:sz w:val="23"/>
          <w:szCs w:val="23"/>
        </w:rPr>
        <w:t xml:space="preserve"> </w:t>
      </w:r>
      <w:r w:rsidRPr="004639FE">
        <w:rPr>
          <w:rFonts w:ascii="Arial" w:hAnsi="Arial" w:cs="Arial"/>
          <w:b/>
          <w:bCs/>
          <w:sz w:val="23"/>
          <w:szCs w:val="23"/>
        </w:rPr>
        <w:t xml:space="preserve">Pollock, D., Peters, M.D.J., Khalil, H., McInerney, P., Alexander, L., </w:t>
      </w:r>
      <w:proofErr w:type="spellStart"/>
      <w:r w:rsidRPr="004639FE">
        <w:rPr>
          <w:rFonts w:ascii="Arial" w:hAnsi="Arial" w:cs="Arial"/>
          <w:b/>
          <w:bCs/>
          <w:sz w:val="23"/>
          <w:szCs w:val="23"/>
        </w:rPr>
        <w:t>Tricco</w:t>
      </w:r>
      <w:proofErr w:type="spellEnd"/>
      <w:r w:rsidRPr="004639FE">
        <w:rPr>
          <w:rFonts w:ascii="Arial" w:hAnsi="Arial" w:cs="Arial"/>
          <w:b/>
          <w:bCs/>
          <w:sz w:val="23"/>
          <w:szCs w:val="23"/>
        </w:rPr>
        <w:t>, A.C., Evans, C., Brandão de Moraes, É., Godfrey, C.M., Pieper, D., Saran, A., Stern, C. and Munn, Z. (2023)</w:t>
      </w:r>
      <w:r w:rsidRPr="004639FE">
        <w:rPr>
          <w:rFonts w:ascii="Arial" w:hAnsi="Arial" w:cs="Arial"/>
          <w:sz w:val="23"/>
          <w:szCs w:val="23"/>
        </w:rPr>
        <w:t xml:space="preserve"> ‘Recommendations for the extraction, analysis, and presentation of results in scoping reviews’, </w:t>
      </w:r>
      <w:r w:rsidRPr="004639FE">
        <w:rPr>
          <w:rFonts w:ascii="Arial" w:hAnsi="Arial" w:cs="Arial"/>
          <w:i/>
          <w:iCs/>
          <w:sz w:val="23"/>
          <w:szCs w:val="23"/>
        </w:rPr>
        <w:t>JBI Evidence Synthesis</w:t>
      </w:r>
      <w:r w:rsidRPr="004639FE">
        <w:rPr>
          <w:rFonts w:ascii="Arial" w:hAnsi="Arial" w:cs="Arial"/>
          <w:sz w:val="23"/>
          <w:szCs w:val="23"/>
        </w:rPr>
        <w:t xml:space="preserve">, 21(3), pp. 520–532. Available at: </w:t>
      </w:r>
      <w:hyperlink r:id="rId11" w:history="1">
        <w:r w:rsidRPr="004639FE">
          <w:rPr>
            <w:rStyle w:val="Hyperlink"/>
            <w:rFonts w:ascii="Arial" w:hAnsi="Arial" w:cs="Arial"/>
            <w:sz w:val="23"/>
            <w:szCs w:val="23"/>
          </w:rPr>
          <w:t>Recommendations for the extraction, analysis, and..</w:t>
        </w:r>
        <w:proofErr w:type="gramStart"/>
        <w:r w:rsidRPr="004639FE">
          <w:rPr>
            <w:rStyle w:val="Hyperlink"/>
            <w:rFonts w:ascii="Arial" w:hAnsi="Arial" w:cs="Arial"/>
            <w:sz w:val="23"/>
            <w:szCs w:val="23"/>
          </w:rPr>
          <w:t>. :</w:t>
        </w:r>
        <w:proofErr w:type="gramEnd"/>
        <w:r w:rsidRPr="004639FE">
          <w:rPr>
            <w:rStyle w:val="Hyperlink"/>
            <w:rFonts w:ascii="Arial" w:hAnsi="Arial" w:cs="Arial"/>
            <w:sz w:val="23"/>
            <w:szCs w:val="23"/>
          </w:rPr>
          <w:t xml:space="preserve"> JBI Evidence Synthesis</w:t>
        </w:r>
      </w:hyperlink>
      <w:r w:rsidRPr="004639FE">
        <w:rPr>
          <w:rFonts w:ascii="Arial" w:hAnsi="Arial" w:cs="Arial"/>
          <w:sz w:val="23"/>
          <w:szCs w:val="23"/>
        </w:rPr>
        <w:t xml:space="preserve"> </w:t>
      </w:r>
      <w:r w:rsidRPr="004639FE">
        <w:rPr>
          <w:rFonts w:ascii="Arial" w:hAnsi="Arial" w:cs="Arial"/>
          <w:sz w:val="23"/>
          <w:szCs w:val="23"/>
        </w:rPr>
        <w:lastRenderedPageBreak/>
        <w:t xml:space="preserve">(Accessed: </w:t>
      </w:r>
      <w:r w:rsidR="004639FE">
        <w:rPr>
          <w:rFonts w:ascii="Arial" w:hAnsi="Arial" w:cs="Arial"/>
          <w:sz w:val="23"/>
          <w:szCs w:val="23"/>
        </w:rPr>
        <w:t xml:space="preserve">7 </w:t>
      </w:r>
      <w:r w:rsidRPr="004639FE">
        <w:rPr>
          <w:rFonts w:ascii="Arial" w:hAnsi="Arial" w:cs="Arial"/>
          <w:sz w:val="23"/>
          <w:szCs w:val="23"/>
        </w:rPr>
        <w:t>October 2026).</w:t>
      </w:r>
      <w:r w:rsidRPr="004639FE">
        <w:rPr>
          <w:rFonts w:ascii="Arial" w:hAnsi="Arial" w:cs="Arial"/>
          <w:sz w:val="23"/>
          <w:szCs w:val="23"/>
        </w:rPr>
        <w:br/>
        <w:t xml:space="preserve"> </w:t>
      </w:r>
    </w:p>
    <w:p w14:paraId="66E4C933" w14:textId="0D8C5F00" w:rsidR="009F6201" w:rsidRPr="004639FE" w:rsidRDefault="009F6201" w:rsidP="000C719C">
      <w:pPr>
        <w:spacing w:line="276" w:lineRule="auto"/>
        <w:rPr>
          <w:rFonts w:ascii="Arial" w:hAnsi="Arial" w:cs="Arial"/>
          <w:sz w:val="23"/>
          <w:szCs w:val="23"/>
        </w:rPr>
      </w:pPr>
      <w:r w:rsidRPr="004639FE">
        <w:rPr>
          <w:rFonts w:ascii="Arial" w:hAnsi="Arial" w:cs="Arial"/>
          <w:b/>
          <w:bCs/>
          <w:sz w:val="23"/>
          <w:szCs w:val="23"/>
        </w:rPr>
        <w:t xml:space="preserve">Verity, A. and </w:t>
      </w:r>
      <w:proofErr w:type="spellStart"/>
      <w:r w:rsidRPr="004639FE">
        <w:rPr>
          <w:rFonts w:ascii="Arial" w:hAnsi="Arial" w:cs="Arial"/>
          <w:b/>
          <w:bCs/>
          <w:sz w:val="23"/>
          <w:szCs w:val="23"/>
        </w:rPr>
        <w:t>Tzortziou</w:t>
      </w:r>
      <w:proofErr w:type="spellEnd"/>
      <w:r w:rsidRPr="004639FE">
        <w:rPr>
          <w:rFonts w:ascii="Arial" w:hAnsi="Arial" w:cs="Arial"/>
          <w:b/>
          <w:bCs/>
          <w:sz w:val="23"/>
          <w:szCs w:val="23"/>
        </w:rPr>
        <w:t xml:space="preserve"> Brown, V. (2023)</w:t>
      </w:r>
      <w:r w:rsidRPr="004639FE">
        <w:rPr>
          <w:rFonts w:ascii="Arial" w:hAnsi="Arial" w:cs="Arial"/>
          <w:sz w:val="23"/>
          <w:szCs w:val="23"/>
        </w:rPr>
        <w:t xml:space="preserve"> ‘Inclusion health patient perspectives on remote access to general practice: a qualitative study’, </w:t>
      </w:r>
      <w:r w:rsidRPr="004639FE">
        <w:rPr>
          <w:rFonts w:ascii="Arial" w:hAnsi="Arial" w:cs="Arial"/>
          <w:i/>
          <w:iCs/>
          <w:sz w:val="23"/>
          <w:szCs w:val="23"/>
        </w:rPr>
        <w:t>BJGP Open</w:t>
      </w:r>
      <w:r w:rsidRPr="004639FE">
        <w:rPr>
          <w:rFonts w:ascii="Arial" w:hAnsi="Arial" w:cs="Arial"/>
          <w:sz w:val="23"/>
          <w:szCs w:val="23"/>
        </w:rPr>
        <w:t xml:space="preserve">, 7(2), article BJGPO.2023.0023. Available at: </w:t>
      </w:r>
      <w:hyperlink r:id="rId12" w:history="1">
        <w:r w:rsidRPr="004639FE">
          <w:rPr>
            <w:rStyle w:val="Hyperlink"/>
            <w:rFonts w:ascii="Arial" w:hAnsi="Arial" w:cs="Arial"/>
            <w:sz w:val="23"/>
            <w:szCs w:val="23"/>
          </w:rPr>
          <w:t>https://doi.org/10.3399/BJGPO.2023.0023</w:t>
        </w:r>
      </w:hyperlink>
      <w:r w:rsidRPr="004639FE">
        <w:rPr>
          <w:rFonts w:ascii="Arial" w:hAnsi="Arial" w:cs="Arial"/>
          <w:sz w:val="23"/>
          <w:szCs w:val="23"/>
        </w:rPr>
        <w:t xml:space="preserve"> (Accessed: </w:t>
      </w:r>
      <w:r w:rsidR="004639FE">
        <w:rPr>
          <w:rFonts w:ascii="Arial" w:hAnsi="Arial" w:cs="Arial"/>
          <w:sz w:val="23"/>
          <w:szCs w:val="23"/>
        </w:rPr>
        <w:t>6</w:t>
      </w:r>
      <w:r w:rsidRPr="004639FE">
        <w:rPr>
          <w:rFonts w:ascii="Arial" w:hAnsi="Arial" w:cs="Arial"/>
          <w:sz w:val="23"/>
          <w:szCs w:val="23"/>
        </w:rPr>
        <w:t xml:space="preserve"> October 2026).</w:t>
      </w:r>
      <w:r w:rsidRPr="004639FE">
        <w:rPr>
          <w:rFonts w:ascii="Arial" w:hAnsi="Arial" w:cs="Arial"/>
          <w:sz w:val="23"/>
          <w:szCs w:val="23"/>
        </w:rPr>
        <w:br/>
      </w:r>
    </w:p>
    <w:p w14:paraId="22390387" w14:textId="77777777" w:rsidR="009F6201" w:rsidRPr="004639FE" w:rsidRDefault="009F6201" w:rsidP="000C719C">
      <w:pPr>
        <w:spacing w:line="276" w:lineRule="auto"/>
        <w:rPr>
          <w:rFonts w:ascii="Arial" w:hAnsi="Arial" w:cs="Arial"/>
          <w:sz w:val="23"/>
          <w:szCs w:val="23"/>
        </w:rPr>
      </w:pPr>
    </w:p>
    <w:sectPr w:rsidR="009F6201" w:rsidRPr="00463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201"/>
    <w:rsid w:val="00070029"/>
    <w:rsid w:val="000C719C"/>
    <w:rsid w:val="000D5DFB"/>
    <w:rsid w:val="000E4CD3"/>
    <w:rsid w:val="000F6061"/>
    <w:rsid w:val="0011571D"/>
    <w:rsid w:val="002A6E67"/>
    <w:rsid w:val="002B482F"/>
    <w:rsid w:val="003737B6"/>
    <w:rsid w:val="003B64A3"/>
    <w:rsid w:val="003D49F5"/>
    <w:rsid w:val="00402A93"/>
    <w:rsid w:val="00454E7C"/>
    <w:rsid w:val="004639FE"/>
    <w:rsid w:val="00597348"/>
    <w:rsid w:val="0064630E"/>
    <w:rsid w:val="00675826"/>
    <w:rsid w:val="006E1704"/>
    <w:rsid w:val="008E0916"/>
    <w:rsid w:val="008E6AC2"/>
    <w:rsid w:val="008F6961"/>
    <w:rsid w:val="00971F42"/>
    <w:rsid w:val="00982CB1"/>
    <w:rsid w:val="009F6201"/>
    <w:rsid w:val="00B4309D"/>
    <w:rsid w:val="00B80316"/>
    <w:rsid w:val="00C929DF"/>
    <w:rsid w:val="00CD02D5"/>
    <w:rsid w:val="00CD133E"/>
    <w:rsid w:val="00D52375"/>
    <w:rsid w:val="00DC3A38"/>
    <w:rsid w:val="00E9170E"/>
    <w:rsid w:val="00E97DE0"/>
    <w:rsid w:val="00EC51BF"/>
    <w:rsid w:val="00ED3A09"/>
    <w:rsid w:val="00F3259C"/>
    <w:rsid w:val="00FD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E63EA"/>
  <w15:chartTrackingRefBased/>
  <w15:docId w15:val="{A15F0359-4231-4BAC-8337-5F5E4B3C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029"/>
  </w:style>
  <w:style w:type="paragraph" w:styleId="Heading1">
    <w:name w:val="heading 1"/>
    <w:basedOn w:val="Normal"/>
    <w:next w:val="Normal"/>
    <w:link w:val="Heading1Char"/>
    <w:uiPriority w:val="9"/>
    <w:qFormat/>
    <w:rsid w:val="000E4C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C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C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C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C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C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C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C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C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C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C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C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C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C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C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C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C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CD3"/>
    <w:rPr>
      <w:rFonts w:eastAsiaTheme="majorEastAsia" w:cstheme="majorBidi"/>
      <w:color w:val="272727" w:themeColor="text1" w:themeTint="D8"/>
    </w:rPr>
  </w:style>
  <w:style w:type="paragraph" w:styleId="Title">
    <w:name w:val="Title"/>
    <w:basedOn w:val="Normal"/>
    <w:next w:val="Normal"/>
    <w:link w:val="TitleChar"/>
    <w:uiPriority w:val="10"/>
    <w:qFormat/>
    <w:rsid w:val="000E4C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C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C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CD3"/>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0E4CD3"/>
    <w:pPr>
      <w:ind w:left="720"/>
      <w:contextualSpacing/>
    </w:pPr>
  </w:style>
  <w:style w:type="paragraph" w:styleId="Quote">
    <w:name w:val="Quote"/>
    <w:basedOn w:val="Normal"/>
    <w:next w:val="Normal"/>
    <w:link w:val="QuoteChar"/>
    <w:uiPriority w:val="29"/>
    <w:qFormat/>
    <w:rsid w:val="000E4CD3"/>
    <w:pPr>
      <w:spacing w:before="160"/>
      <w:jc w:val="center"/>
    </w:pPr>
    <w:rPr>
      <w:i/>
      <w:iCs/>
      <w:color w:val="404040" w:themeColor="text1" w:themeTint="BF"/>
    </w:rPr>
  </w:style>
  <w:style w:type="character" w:customStyle="1" w:styleId="QuoteChar">
    <w:name w:val="Quote Char"/>
    <w:basedOn w:val="DefaultParagraphFont"/>
    <w:link w:val="Quote"/>
    <w:uiPriority w:val="29"/>
    <w:rsid w:val="000E4CD3"/>
    <w:rPr>
      <w:i/>
      <w:iCs/>
      <w:color w:val="404040" w:themeColor="text1" w:themeTint="BF"/>
    </w:rPr>
  </w:style>
  <w:style w:type="paragraph" w:styleId="IntenseQuote">
    <w:name w:val="Intense Quote"/>
    <w:basedOn w:val="Normal"/>
    <w:next w:val="Normal"/>
    <w:link w:val="IntenseQuoteChar"/>
    <w:uiPriority w:val="30"/>
    <w:qFormat/>
    <w:rsid w:val="000E4C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CD3"/>
    <w:rPr>
      <w:i/>
      <w:iCs/>
      <w:color w:val="0F4761" w:themeColor="accent1" w:themeShade="BF"/>
    </w:rPr>
  </w:style>
  <w:style w:type="character" w:styleId="IntenseEmphasis">
    <w:name w:val="Intense Emphasis"/>
    <w:basedOn w:val="DefaultParagraphFont"/>
    <w:uiPriority w:val="21"/>
    <w:qFormat/>
    <w:rsid w:val="000E4CD3"/>
    <w:rPr>
      <w:i/>
      <w:iCs/>
      <w:color w:val="0F4761" w:themeColor="accent1" w:themeShade="BF"/>
    </w:rPr>
  </w:style>
  <w:style w:type="character" w:styleId="IntenseReference">
    <w:name w:val="Intense Reference"/>
    <w:basedOn w:val="DefaultParagraphFont"/>
    <w:uiPriority w:val="32"/>
    <w:qFormat/>
    <w:rsid w:val="000E4CD3"/>
    <w:rPr>
      <w:b/>
      <w:bCs/>
      <w:smallCaps/>
      <w:color w:val="0F4761" w:themeColor="accent1" w:themeShade="BF"/>
      <w:spacing w:val="5"/>
    </w:rPr>
  </w:style>
  <w:style w:type="character" w:styleId="Hyperlink">
    <w:name w:val="Hyperlink"/>
    <w:basedOn w:val="DefaultParagraphFont"/>
    <w:uiPriority w:val="99"/>
    <w:unhideWhenUsed/>
    <w:rsid w:val="009F6201"/>
    <w:rPr>
      <w:color w:val="467886" w:themeColor="hyperlink"/>
      <w:u w:val="single"/>
    </w:rPr>
  </w:style>
  <w:style w:type="character" w:styleId="UnresolvedMention">
    <w:name w:val="Unresolved Mention"/>
    <w:basedOn w:val="DefaultParagraphFont"/>
    <w:uiPriority w:val="99"/>
    <w:semiHidden/>
    <w:unhideWhenUsed/>
    <w:rsid w:val="009F6201"/>
    <w:rPr>
      <w:color w:val="605E5C"/>
      <w:shd w:val="clear" w:color="auto" w:fill="E1DFDD"/>
    </w:rPr>
  </w:style>
  <w:style w:type="character" w:styleId="FollowedHyperlink">
    <w:name w:val="FollowedHyperlink"/>
    <w:basedOn w:val="DefaultParagraphFont"/>
    <w:uiPriority w:val="99"/>
    <w:semiHidden/>
    <w:unhideWhenUsed/>
    <w:rsid w:val="009F62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591053241240383"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3399/BJGPO.2023.002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vid.com/jnls/jbisrir/fulltext/10.11124/jbies-22-00123~recommendations-for-the-extraction-analysis-and-presentation" TargetMode="External"/><Relationship Id="rId5" Type="http://schemas.openxmlformats.org/officeDocument/2006/relationships/styles" Target="styles.xml"/><Relationship Id="rId10" Type="http://schemas.openxmlformats.org/officeDocument/2006/relationships/hyperlink" Target="https://doi.org/10.11124/JBIES-21-00242" TargetMode="External"/><Relationship Id="rId4" Type="http://schemas.openxmlformats.org/officeDocument/2006/relationships/customXml" Target="../customXml/item4.xml"/><Relationship Id="rId9" Type="http://schemas.openxmlformats.org/officeDocument/2006/relationships/hyperlink" Target="https://doi.org/10.3399/BJGPO.2024.005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22e223c4eb11e0b4c22a6785dc34706c">
  <xsd:schema xmlns:xsd="http://www.w3.org/2001/XMLSchema" xmlns:xs="http://www.w3.org/2001/XMLSchema" xmlns:p="http://schemas.microsoft.com/office/2006/metadata/properties" xmlns:ns3="ccfc14db-0f45-423b-b2f5-752f8f8a0ada" targetNamespace="http://schemas.microsoft.com/office/2006/metadata/properties" ma:root="true" ma:fieldsID="b2f312e64cc1afa99473b2c1bc3a418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1B34A-644E-4A07-85C6-1B28BFB0D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AC7EE-B143-409D-B169-01939DA32694}">
  <ds:schemaRefs>
    <ds:schemaRef ds:uri="http://schemas.microsoft.com/sharepoint/v3/contenttype/forms"/>
  </ds:schemaRefs>
</ds:datastoreItem>
</file>

<file path=customXml/itemProps3.xml><?xml version="1.0" encoding="utf-8"?>
<ds:datastoreItem xmlns:ds="http://schemas.openxmlformats.org/officeDocument/2006/customXml" ds:itemID="{EB4DEE5B-0399-4609-9ABA-014879D03C01}">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8D5B9D46-BB02-4518-9AD8-858540056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843</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Amankonah (2426673)</dc:creator>
  <cp:keywords/>
  <dc:description/>
  <cp:lastModifiedBy>Portia Amankonah</cp:lastModifiedBy>
  <cp:revision>2</cp:revision>
  <dcterms:created xsi:type="dcterms:W3CDTF">2026-10-10T14:07:00Z</dcterms:created>
  <dcterms:modified xsi:type="dcterms:W3CDTF">2026-10-10T14:07:00Z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