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42A90" w:rsidRPr="001163DA" w:rsidRDefault="00042A90" w:rsidP="00756889">
      <w:pPr>
        <w:rPr>
          <w:b/>
          <w:sz w:val="32"/>
          <w:szCs w:val="32"/>
        </w:rPr>
      </w:pPr>
      <w:bookmarkStart w:id="0" w:name="_heading=h.gjdgxs" w:colFirst="0" w:colLast="0"/>
      <w:bookmarkEnd w:id="0"/>
    </w:p>
    <w:p w14:paraId="00000002" w14:textId="77777777" w:rsidR="00042A90" w:rsidRPr="001163DA" w:rsidRDefault="00042A90" w:rsidP="00756889">
      <w:pPr>
        <w:rPr>
          <w:b/>
          <w:sz w:val="32"/>
          <w:szCs w:val="32"/>
        </w:rPr>
      </w:pPr>
    </w:p>
    <w:p w14:paraId="00000003" w14:textId="77777777" w:rsidR="00042A90" w:rsidRPr="001163DA" w:rsidRDefault="00042A90" w:rsidP="00756889">
      <w:pPr>
        <w:rPr>
          <w:b/>
          <w:sz w:val="32"/>
          <w:szCs w:val="32"/>
        </w:rPr>
      </w:pPr>
    </w:p>
    <w:p w14:paraId="4E1BB9DA" w14:textId="77777777" w:rsidR="00EE0779" w:rsidRPr="001163DA" w:rsidRDefault="00EE0779" w:rsidP="00756889">
      <w:pPr>
        <w:jc w:val="center"/>
        <w:rPr>
          <w:rFonts w:eastAsiaTheme="majorEastAsia"/>
          <w:b/>
          <w:spacing w:val="-10"/>
          <w:kern w:val="28"/>
          <w:sz w:val="32"/>
          <w:szCs w:val="32"/>
        </w:rPr>
      </w:pPr>
    </w:p>
    <w:p w14:paraId="10246C22" w14:textId="77777777" w:rsidR="00EE0779" w:rsidRPr="001163DA" w:rsidRDefault="00EE0779" w:rsidP="00756889">
      <w:pPr>
        <w:jc w:val="center"/>
        <w:rPr>
          <w:rFonts w:eastAsiaTheme="majorEastAsia"/>
          <w:b/>
          <w:spacing w:val="-10"/>
          <w:kern w:val="28"/>
          <w:sz w:val="32"/>
          <w:szCs w:val="32"/>
        </w:rPr>
      </w:pPr>
    </w:p>
    <w:p w14:paraId="411E1043" w14:textId="77777777" w:rsidR="00A52BC8" w:rsidRDefault="00A52BC8" w:rsidP="00A52BC8">
      <w:pPr>
        <w:rPr>
          <w:b/>
          <w:sz w:val="52"/>
          <w:szCs w:val="52"/>
          <w:lang w:val="en-GB"/>
        </w:rPr>
      </w:pPr>
      <w:r w:rsidRPr="006233AD">
        <w:rPr>
          <w:b/>
          <w:sz w:val="52"/>
          <w:szCs w:val="52"/>
          <w:lang w:val="en-GB"/>
        </w:rPr>
        <w:t>LEGAL PROCESS</w:t>
      </w:r>
    </w:p>
    <w:p w14:paraId="3962A63E" w14:textId="77777777" w:rsidR="00A52BC8" w:rsidRDefault="00A52BC8" w:rsidP="00A52BC8">
      <w:pPr>
        <w:rPr>
          <w:b/>
          <w:bCs/>
          <w:lang w:val="en-GB"/>
        </w:rPr>
      </w:pPr>
    </w:p>
    <w:p w14:paraId="18907271" w14:textId="77777777" w:rsidR="00A52BC8" w:rsidRDefault="00A52BC8" w:rsidP="00A52BC8">
      <w:pPr>
        <w:rPr>
          <w:b/>
          <w:bCs/>
          <w:lang w:val="en-GB"/>
        </w:rPr>
      </w:pPr>
    </w:p>
    <w:p w14:paraId="78830B53" w14:textId="77777777" w:rsidR="00A52BC8" w:rsidRDefault="00A52BC8" w:rsidP="00A52BC8">
      <w:pPr>
        <w:rPr>
          <w:b/>
          <w:bCs/>
          <w:lang w:val="en-GB"/>
        </w:rPr>
      </w:pPr>
    </w:p>
    <w:p w14:paraId="56566AC8" w14:textId="77777777" w:rsidR="00A52BC8" w:rsidRPr="002227E3" w:rsidRDefault="00A52BC8" w:rsidP="00A52BC8">
      <w:pPr>
        <w:rPr>
          <w:b/>
          <w:bCs/>
          <w:lang w:val="en-GB"/>
        </w:rPr>
      </w:pPr>
      <w:r w:rsidRPr="002227E3">
        <w:rPr>
          <w:b/>
          <w:bCs/>
          <w:lang w:val="en-GB"/>
        </w:rPr>
        <w:t>STUDENT NAME: IONEL FLORIN NICOLAE</w:t>
      </w:r>
    </w:p>
    <w:p w14:paraId="4C4B6FC5" w14:textId="77777777" w:rsidR="00A52BC8" w:rsidRPr="002227E3" w:rsidRDefault="00A52BC8" w:rsidP="00A52BC8">
      <w:pPr>
        <w:rPr>
          <w:b/>
          <w:bCs/>
          <w:lang w:val="en-GB"/>
        </w:rPr>
      </w:pPr>
      <w:r w:rsidRPr="002227E3">
        <w:rPr>
          <w:b/>
          <w:bCs/>
          <w:lang w:val="en-GB"/>
        </w:rPr>
        <w:t>STUDENT ID: 2246428</w:t>
      </w:r>
    </w:p>
    <w:p w14:paraId="050BAEBD" w14:textId="77777777" w:rsidR="00A52BC8" w:rsidRPr="002227E3" w:rsidRDefault="00A52BC8" w:rsidP="00A52BC8">
      <w:pPr>
        <w:rPr>
          <w:b/>
          <w:bCs/>
          <w:lang w:val="en-GB"/>
        </w:rPr>
      </w:pPr>
      <w:r w:rsidRPr="002227E3">
        <w:rPr>
          <w:b/>
          <w:bCs/>
          <w:lang w:val="en-GB"/>
        </w:rPr>
        <w:t>MODULE: BMPL4011</w:t>
      </w:r>
    </w:p>
    <w:p w14:paraId="2C3B37CB" w14:textId="77777777" w:rsidR="00A52BC8" w:rsidRPr="002227E3" w:rsidRDefault="00A52BC8" w:rsidP="00A52BC8">
      <w:pPr>
        <w:rPr>
          <w:b/>
          <w:bCs/>
        </w:rPr>
      </w:pPr>
      <w:r w:rsidRPr="002227E3">
        <w:rPr>
          <w:b/>
          <w:bCs/>
        </w:rPr>
        <w:t>MODULE NAME: LEGAL PROCESS</w:t>
      </w:r>
    </w:p>
    <w:p w14:paraId="76D823E2" w14:textId="77777777" w:rsidR="00A52BC8" w:rsidRPr="002227E3" w:rsidRDefault="00A52BC8" w:rsidP="00A52BC8">
      <w:pPr>
        <w:rPr>
          <w:b/>
          <w:bCs/>
        </w:rPr>
      </w:pPr>
      <w:r w:rsidRPr="002227E3">
        <w:rPr>
          <w:b/>
          <w:bCs/>
        </w:rPr>
        <w:t>MODULE LECTURER: ZITA DRAPER</w:t>
      </w:r>
    </w:p>
    <w:p w14:paraId="393CA023" w14:textId="77777777" w:rsidR="00EE0779" w:rsidRPr="001163DA" w:rsidRDefault="00EE0779" w:rsidP="00756889">
      <w:pPr>
        <w:jc w:val="center"/>
        <w:rPr>
          <w:rFonts w:eastAsiaTheme="majorEastAsia"/>
          <w:b/>
          <w:spacing w:val="-10"/>
          <w:kern w:val="28"/>
          <w:sz w:val="32"/>
          <w:szCs w:val="32"/>
        </w:rPr>
      </w:pPr>
    </w:p>
    <w:p w14:paraId="6B9AF8CB" w14:textId="77777777" w:rsidR="00EE0779" w:rsidRPr="001163DA" w:rsidRDefault="00EE0779" w:rsidP="00756889">
      <w:pPr>
        <w:jc w:val="center"/>
        <w:rPr>
          <w:rFonts w:eastAsiaTheme="majorEastAsia"/>
          <w:b/>
          <w:spacing w:val="-10"/>
          <w:kern w:val="28"/>
          <w:sz w:val="32"/>
          <w:szCs w:val="32"/>
        </w:rPr>
      </w:pPr>
    </w:p>
    <w:p w14:paraId="526FD68A" w14:textId="77777777" w:rsidR="00A52BC8" w:rsidRDefault="00A52BC8" w:rsidP="00756889">
      <w:pPr>
        <w:jc w:val="center"/>
        <w:rPr>
          <w:rFonts w:eastAsiaTheme="majorEastAsia"/>
          <w:b/>
          <w:spacing w:val="-10"/>
          <w:kern w:val="28"/>
        </w:rPr>
      </w:pPr>
      <w:bookmarkStart w:id="1" w:name="_Toc141451715"/>
      <w:bookmarkStart w:id="2" w:name="_Toc141451728"/>
    </w:p>
    <w:p w14:paraId="69227175" w14:textId="77777777" w:rsidR="00A52BC8" w:rsidRDefault="00A52BC8" w:rsidP="00756889">
      <w:pPr>
        <w:jc w:val="center"/>
        <w:rPr>
          <w:rFonts w:eastAsiaTheme="majorEastAsia"/>
          <w:b/>
          <w:spacing w:val="-10"/>
          <w:kern w:val="28"/>
        </w:rPr>
      </w:pPr>
    </w:p>
    <w:p w14:paraId="41D0C180" w14:textId="77777777" w:rsidR="00A52BC8" w:rsidRDefault="00A52BC8" w:rsidP="00756889">
      <w:pPr>
        <w:jc w:val="center"/>
        <w:rPr>
          <w:rFonts w:eastAsiaTheme="majorEastAsia"/>
          <w:b/>
          <w:spacing w:val="-10"/>
          <w:kern w:val="28"/>
        </w:rPr>
      </w:pPr>
    </w:p>
    <w:p w14:paraId="68C86D41" w14:textId="77777777" w:rsidR="00F60215" w:rsidRPr="00F60215" w:rsidRDefault="00247BD9" w:rsidP="00A52BC8">
      <w:pPr>
        <w:jc w:val="center"/>
        <w:rPr>
          <w:rFonts w:eastAsiaTheme="majorEastAsia"/>
          <w:b/>
          <w:spacing w:val="-10"/>
          <w:kern w:val="28"/>
          <w:sz w:val="32"/>
          <w:szCs w:val="32"/>
        </w:rPr>
      </w:pPr>
      <w:r w:rsidRPr="00F60215">
        <w:rPr>
          <w:rFonts w:eastAsiaTheme="majorEastAsia"/>
          <w:b/>
          <w:spacing w:val="-10"/>
          <w:kern w:val="28"/>
          <w:sz w:val="32"/>
          <w:szCs w:val="32"/>
        </w:rPr>
        <w:lastRenderedPageBreak/>
        <w:t>Discussion on the criminal courts in England and Wales (Magistrates and Crown court) and their need for reform</w:t>
      </w:r>
      <w:bookmarkEnd w:id="1"/>
      <w:bookmarkEnd w:id="2"/>
    </w:p>
    <w:p w14:paraId="48A56B8F" w14:textId="77777777" w:rsidR="00F60215" w:rsidRDefault="00F60215" w:rsidP="00F60215">
      <w:pPr>
        <w:jc w:val="center"/>
        <w:rPr>
          <w:lang w:val="en-GB" w:eastAsia="en-IN"/>
        </w:rPr>
      </w:pPr>
    </w:p>
    <w:p w14:paraId="1728B329" w14:textId="64F93CFC" w:rsidR="00D978F3" w:rsidRPr="00F60215" w:rsidRDefault="00247BD9" w:rsidP="00F60215">
      <w:pPr>
        <w:jc w:val="center"/>
        <w:rPr>
          <w:lang w:val="en-GB" w:eastAsia="en-IN"/>
        </w:rPr>
      </w:pPr>
      <w:r w:rsidRPr="001163DA">
        <w:rPr>
          <w:lang w:val="en-GB" w:eastAsia="en-IN"/>
        </w:rPr>
        <w:t xml:space="preserve">The judicial system in England and Wales follows what is known as English law. This rule of law governs criminal proceedings following the principles of the statutes and in their absence the common law </w:t>
      </w:r>
      <w:r w:rsidRPr="001163DA">
        <w:rPr>
          <w:shd w:val="clear" w:color="auto" w:fill="FFFFFF"/>
          <w:lang w:val="en-GB"/>
        </w:rPr>
        <w:t>(Robson, 2022)</w:t>
      </w:r>
      <w:r w:rsidRPr="001163DA">
        <w:rPr>
          <w:lang w:val="en-GB" w:eastAsia="en-IN"/>
        </w:rPr>
        <w:t xml:space="preserve">. The English and Welsh courts include </w:t>
      </w:r>
      <w:r w:rsidR="004A262B" w:rsidRPr="001163DA">
        <w:rPr>
          <w:lang w:val="en-GB" w:eastAsia="en-IN"/>
        </w:rPr>
        <w:t>specifically</w:t>
      </w:r>
      <w:r w:rsidRPr="001163DA">
        <w:rPr>
          <w:lang w:val="en-GB" w:eastAsia="en-IN"/>
        </w:rPr>
        <w:t xml:space="preserve"> criminal jurisdictions. Justice in Wales is administered through the English Justice system as Wales does not have </w:t>
      </w:r>
      <w:r w:rsidR="007D2842" w:rsidRPr="001163DA">
        <w:rPr>
          <w:lang w:val="en-GB" w:eastAsia="en-IN"/>
        </w:rPr>
        <w:t>a</w:t>
      </w:r>
      <w:r w:rsidRPr="001163DA">
        <w:rPr>
          <w:lang w:val="en-GB" w:eastAsia="en-IN"/>
        </w:rPr>
        <w:t xml:space="preserve"> legal system. The UK Court and Tribunals system is developed in a subordinate manner to ensure that a smooth flow of justice can be delivered </w:t>
      </w:r>
      <w:r w:rsidR="004A262B" w:rsidRPr="001163DA">
        <w:rPr>
          <w:lang w:val="en-GB" w:eastAsia="en-IN"/>
        </w:rPr>
        <w:t>regularly</w:t>
      </w:r>
      <w:r w:rsidRPr="001163DA">
        <w:rPr>
          <w:lang w:val="en-GB" w:eastAsia="en-IN"/>
        </w:rPr>
        <w:t xml:space="preserve">. There have been proposals for a unique legal system for Welsh, to be administered by the Senedd and applicable solely in Wales, however, no such application has been finalized </w:t>
      </w:r>
      <w:r w:rsidR="00BE4646" w:rsidRPr="001163DA">
        <w:rPr>
          <w:lang w:val="en-GB" w:eastAsia="en-IN"/>
        </w:rPr>
        <w:t>yet</w:t>
      </w:r>
      <w:r w:rsidRPr="001163DA">
        <w:rPr>
          <w:lang w:val="en-GB" w:eastAsia="en-IN"/>
        </w:rPr>
        <w:t>.</w:t>
      </w:r>
    </w:p>
    <w:p w14:paraId="5085D75F" w14:textId="36E52422" w:rsidR="004A262B" w:rsidRPr="001163DA" w:rsidRDefault="004A262B" w:rsidP="00756889">
      <w:pPr>
        <w:rPr>
          <w:lang w:val="en-GB" w:eastAsia="en-IN"/>
        </w:rPr>
      </w:pPr>
      <w:r w:rsidRPr="001163DA">
        <w:rPr>
          <w:lang w:val="en-GB" w:eastAsia="en-IN"/>
        </w:rPr>
        <w:t>The criminal justice system in the UK is referred to as a collective body, which is specifically responsible for ensuring that justice is administered in the UK consisting of the police, crown prosecution services as well and the UK prison framework</w:t>
      </w:r>
      <w:r w:rsidR="00E85EF2" w:rsidRPr="001163DA">
        <w:rPr>
          <w:lang w:val="en-GB" w:eastAsia="en-IN"/>
        </w:rPr>
        <w:t xml:space="preserve"> (</w:t>
      </w:r>
      <w:r w:rsidR="00E85EF2" w:rsidRPr="001163DA">
        <w:rPr>
          <w:shd w:val="clear" w:color="auto" w:fill="FFFFFF"/>
          <w:lang w:val="en-GB"/>
        </w:rPr>
        <w:t xml:space="preserve">Phoenix, 2023). </w:t>
      </w:r>
      <w:r w:rsidRPr="001163DA">
        <w:rPr>
          <w:lang w:val="en-GB" w:eastAsia="en-IN"/>
        </w:rPr>
        <w:t xml:space="preserve">The key organizational components of the criminal justice system have included the UK government, the criminal justice committee followed by the probation services among others. According to the England and Wales criminal justice framework, primarily, the criminal cases begin at the Magistrate’s court from where the more serious cases are transferred to the Crown courts and then these appeals reach the Criminal Division of the Court of Appeal and finally reach Supreme Court. Among other acts under the Criminal justice system of England and Wales, the </w:t>
      </w:r>
      <w:r w:rsidRPr="001163DA">
        <w:rPr>
          <w:b/>
          <w:bCs/>
          <w:i/>
          <w:iCs/>
          <w:lang w:val="en-GB" w:eastAsia="en-IN"/>
        </w:rPr>
        <w:t>Police and Criminal Evidence Act (1984)</w:t>
      </w:r>
      <w:r w:rsidRPr="001163DA">
        <w:rPr>
          <w:lang w:val="en-GB" w:eastAsia="en-IN"/>
        </w:rPr>
        <w:t xml:space="preserve"> is one of the most prominent acts that provide a sound legislative framework by empowering police officers to proactively operate to restrict crimes from the UK legal system</w:t>
      </w:r>
      <w:r w:rsidR="00BE4646" w:rsidRPr="001163DA">
        <w:rPr>
          <w:lang w:val="en-GB" w:eastAsia="en-IN"/>
        </w:rPr>
        <w:t xml:space="preserve"> (</w:t>
      </w:r>
      <w:r w:rsidR="00BE4646" w:rsidRPr="001163DA">
        <w:t>Legislation.gov.uk, 2023).</w:t>
      </w:r>
    </w:p>
    <w:p w14:paraId="1799B647" w14:textId="60B633DC" w:rsidR="004A262B" w:rsidRPr="001163DA" w:rsidRDefault="004A262B" w:rsidP="00756889">
      <w:pPr>
        <w:rPr>
          <w:lang w:val="en-GB"/>
        </w:rPr>
      </w:pPr>
      <w:r w:rsidRPr="001163DA">
        <w:rPr>
          <w:lang w:val="en-GB"/>
        </w:rPr>
        <w:t xml:space="preserve">England and Wales's criminal justice framework has dealt with a potential range of governmental institutions that help in apprehending, prosecuting, and rehabilitating criminal offenders. The agencies that are directly related to the Criminal justice system </w:t>
      </w:r>
      <w:r w:rsidR="00A5252B" w:rsidRPr="001163DA">
        <w:rPr>
          <w:lang w:val="en-GB"/>
        </w:rPr>
        <w:t xml:space="preserve">including police, CPS or prison, and others have distinct roles. While the police represent the protective approach of people who abide by the laws, CPS determines the transfer of criminal cases to the conviction in the court by deciding the prosecution of the offender. Both the magistrate court and the crown courts are used </w:t>
      </w:r>
      <w:r w:rsidR="00A5252B" w:rsidRPr="001163DA">
        <w:rPr>
          <w:lang w:val="en-GB"/>
        </w:rPr>
        <w:lastRenderedPageBreak/>
        <w:t xml:space="preserve">against the suspected offenders the magistrate court is presided over by the magistrates or local volunteers to ensure </w:t>
      </w:r>
      <w:r w:rsidR="009D73F6" w:rsidRPr="001163DA">
        <w:rPr>
          <w:lang w:val="en-GB"/>
        </w:rPr>
        <w:t>judgments</w:t>
      </w:r>
      <w:r w:rsidR="00A5252B" w:rsidRPr="001163DA">
        <w:rPr>
          <w:lang w:val="en-GB"/>
        </w:rPr>
        <w:t xml:space="preserve">, </w:t>
      </w:r>
      <w:r w:rsidR="009D73F6" w:rsidRPr="001163DA">
        <w:rPr>
          <w:lang w:val="en-GB"/>
        </w:rPr>
        <w:t>while Crown</w:t>
      </w:r>
      <w:r w:rsidR="00A5252B" w:rsidRPr="001163DA">
        <w:rPr>
          <w:lang w:val="en-GB"/>
        </w:rPr>
        <w:t xml:space="preserve"> courts </w:t>
      </w:r>
      <w:r w:rsidR="009D73F6" w:rsidRPr="001163DA">
        <w:rPr>
          <w:lang w:val="en-GB"/>
        </w:rPr>
        <w:t>are presided over by a formal judge or jury members. The role of the probation system under the UK crime justice framework further helps to supervise the offenders before their sentence to prison</w:t>
      </w:r>
      <w:r w:rsidR="00BE4646" w:rsidRPr="001163DA">
        <w:rPr>
          <w:lang w:val="en-GB"/>
        </w:rPr>
        <w:t xml:space="preserve"> (</w:t>
      </w:r>
      <w:r w:rsidR="00BE4646" w:rsidRPr="001163DA">
        <w:rPr>
          <w:shd w:val="clear" w:color="auto" w:fill="FFFFFF"/>
        </w:rPr>
        <w:t>McCartney and Shorter, 2020).</w:t>
      </w:r>
      <w:r w:rsidR="009D73F6" w:rsidRPr="001163DA">
        <w:rPr>
          <w:lang w:val="en-GB"/>
        </w:rPr>
        <w:t xml:space="preserve"> However, the issues that the criminal justice system of England and Wales are going through include surveillance, mass incarceration, and control beyond this system. Surveillance is a crucial issue in prisons where the prisoners are continually being surveyed to help them self-correct their approach as per the standardized legal format</w:t>
      </w:r>
      <w:r w:rsidR="00E85EF2" w:rsidRPr="001163DA">
        <w:rPr>
          <w:lang w:val="en-GB"/>
        </w:rPr>
        <w:t xml:space="preserve"> (</w:t>
      </w:r>
      <w:r w:rsidR="00E85EF2" w:rsidRPr="001163DA">
        <w:rPr>
          <w:shd w:val="clear" w:color="auto" w:fill="FFFFFF"/>
          <w:lang w:val="en-GB"/>
        </w:rPr>
        <w:t>Robson, 2022).</w:t>
      </w:r>
      <w:r w:rsidR="009D73F6" w:rsidRPr="001163DA">
        <w:rPr>
          <w:lang w:val="en-GB"/>
        </w:rPr>
        <w:t xml:space="preserve"> Along with this, the issue of mass incarceration is also significant due to the increasing </w:t>
      </w:r>
      <w:r w:rsidR="00EC072D" w:rsidRPr="001163DA">
        <w:rPr>
          <w:lang w:val="en-GB"/>
        </w:rPr>
        <w:t>politicization</w:t>
      </w:r>
      <w:r w:rsidR="009D73F6" w:rsidRPr="001163DA">
        <w:rPr>
          <w:lang w:val="en-GB"/>
        </w:rPr>
        <w:t xml:space="preserve"> of crime control where t</w:t>
      </w:r>
      <w:r w:rsidR="00EC072D" w:rsidRPr="001163DA">
        <w:rPr>
          <w:lang w:val="en-GB"/>
        </w:rPr>
        <w:t xml:space="preserve">he original purpose of imprisonment is not effectively concerned with a lesser focus on rehabilitation and reintegration. </w:t>
      </w:r>
      <w:r w:rsidR="006941D7" w:rsidRPr="001163DA">
        <w:rPr>
          <w:lang w:val="en-GB"/>
        </w:rPr>
        <w:t>All</w:t>
      </w:r>
      <w:r w:rsidR="00EC072D" w:rsidRPr="001163DA">
        <w:rPr>
          <w:lang w:val="en-GB"/>
        </w:rPr>
        <w:t xml:space="preserve"> these factors considerably pinpoint the need to reform the criminal justice system of the UK. </w:t>
      </w:r>
    </w:p>
    <w:p w14:paraId="5A4927AF" w14:textId="48F073A9" w:rsidR="00576CBC" w:rsidRPr="001163DA" w:rsidRDefault="00247BD9" w:rsidP="00756889">
      <w:pPr>
        <w:rPr>
          <w:lang w:val="en-GB"/>
        </w:rPr>
      </w:pPr>
      <w:r w:rsidRPr="001163DA">
        <w:rPr>
          <w:lang w:val="en-GB" w:eastAsia="en-IN"/>
        </w:rPr>
        <w:t xml:space="preserve">The </w:t>
      </w:r>
      <w:r w:rsidR="00EC072D" w:rsidRPr="001163DA">
        <w:rPr>
          <w:lang w:val="en-GB" w:eastAsia="en-IN"/>
        </w:rPr>
        <w:t>magistrates</w:t>
      </w:r>
      <w:r w:rsidRPr="001163DA">
        <w:rPr>
          <w:lang w:val="en-GB" w:eastAsia="en-IN"/>
        </w:rPr>
        <w:t xml:space="preserve"> in the UK are individuals who have the authority to impose fines and give </w:t>
      </w:r>
      <w:r w:rsidR="00F654E5" w:rsidRPr="001163DA">
        <w:rPr>
          <w:lang w:val="en-GB" w:eastAsia="en-IN"/>
        </w:rPr>
        <w:t>sentences</w:t>
      </w:r>
      <w:r w:rsidRPr="001163DA">
        <w:rPr>
          <w:lang w:val="en-GB" w:eastAsia="en-IN"/>
        </w:rPr>
        <w:t xml:space="preserve"> for imprisonment for </w:t>
      </w:r>
      <w:r w:rsidR="00EC072D" w:rsidRPr="001163DA">
        <w:rPr>
          <w:lang w:val="en-GB" w:eastAsia="en-IN"/>
        </w:rPr>
        <w:t>some time</w:t>
      </w:r>
      <w:r w:rsidRPr="001163DA">
        <w:rPr>
          <w:lang w:val="en-GB" w:eastAsia="en-IN"/>
        </w:rPr>
        <w:t xml:space="preserve">. The appointment is based on specific qualities although there are no on-paper qualifications for such appointment. The power of the magistrate and their duties are defined and controlled by multiple Acts of the English Legislation including the </w:t>
      </w:r>
      <w:r w:rsidRPr="001163DA">
        <w:rPr>
          <w:b/>
          <w:bCs/>
          <w:i/>
          <w:iCs/>
          <w:lang w:val="en-GB" w:eastAsia="en-IN"/>
        </w:rPr>
        <w:t>Courts Act 2003</w:t>
      </w:r>
      <w:r w:rsidRPr="001163DA">
        <w:rPr>
          <w:lang w:val="en-GB" w:eastAsia="en-IN"/>
        </w:rPr>
        <w:t xml:space="preserve">. Small cases are heard without juries in the locally administered Magistrates' Courts. Lay Magistrates on the other hand are local individuals who have knowledge and help in providing justice based on their knowledge and experience along with the aid of legal advisers who </w:t>
      </w:r>
      <w:r w:rsidR="00EC072D" w:rsidRPr="001163DA">
        <w:rPr>
          <w:lang w:val="en-GB" w:eastAsia="en-IN"/>
        </w:rPr>
        <w:t>have</w:t>
      </w:r>
      <w:r w:rsidRPr="001163DA">
        <w:rPr>
          <w:lang w:val="en-GB" w:eastAsia="en-IN"/>
        </w:rPr>
        <w:t xml:space="preserve"> the necessary knowledge for the matter in trial. The main aim of the lay magistrates is to support the magistrates to hear matters. </w:t>
      </w:r>
      <w:r w:rsidR="00EC072D" w:rsidRPr="001163DA">
        <w:rPr>
          <w:lang w:val="en-GB" w:eastAsia="en-IN"/>
        </w:rPr>
        <w:t xml:space="preserve">Kirby (2020) has pinpointed that, 95% of the crime cases are handed over to the lay magistrates for justice, who are appointed from the local community with less knowledge and insights about the legal framework. Although there are benefits of appointing lay people to the magistrate court to retrieve unbiased results, it is also crucial in validating the judgment due to their lack of legal knowledge or </w:t>
      </w:r>
      <w:r w:rsidR="006752FD" w:rsidRPr="001163DA">
        <w:rPr>
          <w:lang w:val="en-GB" w:eastAsia="en-IN"/>
        </w:rPr>
        <w:t xml:space="preserve">impact of the advisor’s opinion who are open to guide the judgment. Therefore, the involvement of lay people is not a sound option in giving judgemental decisions to several offenders and sentencing them to considerable penalties. </w:t>
      </w:r>
      <w:r w:rsidR="00576CBC" w:rsidRPr="001163DA">
        <w:rPr>
          <w:lang w:val="en-GB"/>
        </w:rPr>
        <w:t xml:space="preserve">The criminal justice system of the UK is cost-ineffective as it could range up to </w:t>
      </w:r>
      <w:r w:rsidR="00576CBC" w:rsidRPr="001163DA">
        <w:t>£18 in a year while the campaigners are found to be advocating less prison depending on the considerable expenditure of £40,000 for an offender in a year</w:t>
      </w:r>
      <w:r w:rsidR="007D2842" w:rsidRPr="001163DA">
        <w:t xml:space="preserve"> (Clark, 2020)</w:t>
      </w:r>
      <w:r w:rsidR="00576CBC" w:rsidRPr="001163DA">
        <w:t xml:space="preserve">. However, the CJS is found to indulge in an underfunding system that is reflected in insufficient judges, prosecutors, or defense lawyers who </w:t>
      </w:r>
      <w:r w:rsidR="00576CBC" w:rsidRPr="001163DA">
        <w:lastRenderedPageBreak/>
        <w:t xml:space="preserve">can </w:t>
      </w:r>
      <w:r w:rsidR="007D2842" w:rsidRPr="001163DA">
        <w:t xml:space="preserve">continue the unacceptable delays in court proceedings for the victims in the England and Wales legal systems. </w:t>
      </w:r>
    </w:p>
    <w:p w14:paraId="36ABD5CA" w14:textId="3961ADCA" w:rsidR="00D978F3" w:rsidRPr="001163DA" w:rsidRDefault="00247BD9" w:rsidP="00756889">
      <w:pPr>
        <w:rPr>
          <w:rFonts w:eastAsiaTheme="majorEastAsia"/>
          <w:szCs w:val="32"/>
          <w:lang w:val="en-GB"/>
        </w:rPr>
      </w:pPr>
      <w:r w:rsidRPr="001163DA">
        <w:rPr>
          <w:lang w:val="en-GB" w:eastAsia="en-IN"/>
        </w:rPr>
        <w:t xml:space="preserve">Since 2010, the average duration between the commission of a crime and the conclusion of an investigation has increased. In 2021, the typical </w:t>
      </w:r>
      <w:r w:rsidR="007D2842" w:rsidRPr="001163DA">
        <w:rPr>
          <w:lang w:val="en-GB" w:eastAsia="en-IN"/>
        </w:rPr>
        <w:t>period</w:t>
      </w:r>
      <w:r w:rsidRPr="001163DA">
        <w:rPr>
          <w:lang w:val="en-GB" w:eastAsia="en-IN"/>
        </w:rPr>
        <w:t xml:space="preserve"> from the commission of an </w:t>
      </w:r>
      <w:r w:rsidR="007D2842" w:rsidRPr="001163DA">
        <w:rPr>
          <w:lang w:val="en-GB" w:eastAsia="en-IN"/>
        </w:rPr>
        <w:t>offense</w:t>
      </w:r>
      <w:r w:rsidRPr="001163DA">
        <w:rPr>
          <w:lang w:val="en-GB" w:eastAsia="en-IN"/>
        </w:rPr>
        <w:t xml:space="preserve"> to the conclusion of a case was 196 days. However, this is subjective to the nature of the matter in question. Usually in Crown courts, a contested trial can be decided within months or more than a year based on the facts of the matter (</w:t>
      </w:r>
      <w:r w:rsidRPr="001163DA">
        <w:rPr>
          <w:shd w:val="clear" w:color="auto" w:fill="FFFFFF"/>
          <w:lang w:val="en-GB"/>
        </w:rPr>
        <w:t>Bosland and Townend, 2023</w:t>
      </w:r>
      <w:r w:rsidRPr="001163DA">
        <w:rPr>
          <w:lang w:val="en-GB" w:eastAsia="en-IN"/>
        </w:rPr>
        <w:t xml:space="preserve">). However, in terms of Magistrate courts, the matters are usually dealt with within months to ensure fast-track </w:t>
      </w:r>
      <w:r w:rsidR="007D2842" w:rsidRPr="001163DA">
        <w:rPr>
          <w:lang w:val="en-GB" w:eastAsia="en-IN"/>
        </w:rPr>
        <w:t>judgment</w:t>
      </w:r>
      <w:r w:rsidRPr="001163DA">
        <w:rPr>
          <w:lang w:val="en-GB" w:eastAsia="en-IN"/>
        </w:rPr>
        <w:t xml:space="preserve"> can be provided to the parties involved. The approach of the Fast-track process is being applied in the United Kingdom on matters </w:t>
      </w:r>
      <w:r w:rsidR="007D2842" w:rsidRPr="001163DA">
        <w:rPr>
          <w:lang w:val="en-GB" w:eastAsia="en-IN"/>
        </w:rPr>
        <w:t>that</w:t>
      </w:r>
      <w:r w:rsidRPr="001163DA">
        <w:rPr>
          <w:lang w:val="en-GB" w:eastAsia="en-IN"/>
        </w:rPr>
        <w:t xml:space="preserve"> exceed a financial value of more than £10,000 and £25,000. However, not all matters are tried under this process </w:t>
      </w:r>
      <w:r w:rsidR="00E85EF2" w:rsidRPr="001163DA">
        <w:rPr>
          <w:lang w:val="en-GB" w:eastAsia="en-IN"/>
        </w:rPr>
        <w:t>yet</w:t>
      </w:r>
      <w:r w:rsidRPr="001163DA">
        <w:rPr>
          <w:lang w:val="en-GB" w:eastAsia="en-IN"/>
        </w:rPr>
        <w:t xml:space="preserve">. </w:t>
      </w:r>
    </w:p>
    <w:p w14:paraId="13D2A466" w14:textId="7D91FAE0" w:rsidR="00D978F3" w:rsidRPr="001163DA" w:rsidRDefault="00247BD9" w:rsidP="00756889">
      <w:pPr>
        <w:rPr>
          <w:lang w:val="en-GB"/>
        </w:rPr>
      </w:pPr>
      <w:r w:rsidRPr="001163DA">
        <w:rPr>
          <w:lang w:val="en-GB"/>
        </w:rPr>
        <w:t xml:space="preserve">In England and Wales, the Crown Court must first hear criminal cases. It handles appeals from lower courts' rulings and considers cases for all indictable </w:t>
      </w:r>
      <w:r w:rsidR="007D2842" w:rsidRPr="001163DA">
        <w:rPr>
          <w:lang w:val="en-GB"/>
        </w:rPr>
        <w:t>offenses</w:t>
      </w:r>
      <w:r w:rsidRPr="001163DA">
        <w:rPr>
          <w:lang w:val="en-GB"/>
        </w:rPr>
        <w:t xml:space="preserve"> as well as some grey areas. There are 92 locations in England and Wales where the Crown Court holds sessions which are known as a circuit. The Crown Court hears both original criminal proceedings and appeals. A modest number of </w:t>
      </w:r>
      <w:r w:rsidR="007D2842" w:rsidRPr="001163DA">
        <w:rPr>
          <w:lang w:val="en-GB"/>
        </w:rPr>
        <w:t>criminal</w:t>
      </w:r>
      <w:r w:rsidRPr="001163DA">
        <w:rPr>
          <w:lang w:val="en-GB"/>
        </w:rPr>
        <w:t xml:space="preserve"> cases are also heard and appealed by this court which was made possible by the </w:t>
      </w:r>
      <w:r w:rsidR="007D2842" w:rsidRPr="001163DA">
        <w:rPr>
          <w:b/>
          <w:bCs/>
          <w:i/>
          <w:iCs/>
        </w:rPr>
        <w:t>Police and Criminal Evidence Act (PACE) 1984</w:t>
      </w:r>
      <w:r w:rsidRPr="001163DA">
        <w:rPr>
          <w:lang w:val="en-GB"/>
        </w:rPr>
        <w:t xml:space="preserve"> </w:t>
      </w:r>
      <w:r w:rsidRPr="001163DA">
        <w:rPr>
          <w:shd w:val="clear" w:color="auto" w:fill="FFFFFF"/>
          <w:lang w:val="en-GB"/>
        </w:rPr>
        <w:t>(</w:t>
      </w:r>
      <w:r w:rsidR="007D2842" w:rsidRPr="001163DA">
        <w:rPr>
          <w:shd w:val="clear" w:color="auto" w:fill="FFFFFF"/>
        </w:rPr>
        <w:t>McCartney and Shorter, 2020</w:t>
      </w:r>
      <w:r w:rsidRPr="001163DA">
        <w:rPr>
          <w:shd w:val="clear" w:color="auto" w:fill="FFFFFF"/>
          <w:lang w:val="en-GB"/>
        </w:rPr>
        <w:t>)</w:t>
      </w:r>
      <w:r w:rsidRPr="001163DA">
        <w:rPr>
          <w:lang w:val="en-GB"/>
        </w:rPr>
        <w:t xml:space="preserve">. The Crown Court can also take over the functions of the magistrates' courts. The sole court in England and Wales </w:t>
      </w:r>
      <w:r w:rsidR="007D2842" w:rsidRPr="001163DA">
        <w:rPr>
          <w:lang w:val="en-GB"/>
        </w:rPr>
        <w:t>authorized</w:t>
      </w:r>
      <w:r w:rsidRPr="001163DA">
        <w:rPr>
          <w:lang w:val="en-GB"/>
        </w:rPr>
        <w:t xml:space="preserve"> to hear cases on indictment is the Crown Court. The matters in the crown court are heard by qualified Judges who are often assisted by Lay Magistrates. The main aim of the Lay Magistrates is to aid the decision-making process of the Judges. The Lay magistrates are further supported by a clerk who is also known as a legal advisor.</w:t>
      </w:r>
    </w:p>
    <w:p w14:paraId="0EE4D825" w14:textId="4CE06198" w:rsidR="00D978F3" w:rsidRPr="001163DA" w:rsidRDefault="00247BD9" w:rsidP="00756889">
      <w:pPr>
        <w:rPr>
          <w:lang w:val="en-GB" w:eastAsia="en-IN"/>
        </w:rPr>
      </w:pPr>
      <w:r w:rsidRPr="001163DA">
        <w:rPr>
          <w:lang w:val="en-GB"/>
        </w:rPr>
        <w:t xml:space="preserve">The British Parliament passed a law in 1974 that went by the name of the </w:t>
      </w:r>
      <w:r w:rsidRPr="001163DA">
        <w:rPr>
          <w:b/>
          <w:bCs/>
          <w:i/>
          <w:iCs/>
          <w:lang w:val="en-GB"/>
        </w:rPr>
        <w:t>Juries Act</w:t>
      </w:r>
      <w:r w:rsidRPr="001163DA">
        <w:rPr>
          <w:lang w:val="en-GB"/>
        </w:rPr>
        <w:t xml:space="preserve">. Long title: "to combine specific laws concerning juries, judges, and the jury process with modifications and enhancements established </w:t>
      </w:r>
      <w:r w:rsidR="007D2842" w:rsidRPr="001163DA">
        <w:rPr>
          <w:lang w:val="en-GB"/>
        </w:rPr>
        <w:t>under</w:t>
      </w:r>
      <w:r w:rsidRPr="001163DA">
        <w:rPr>
          <w:lang w:val="en-GB"/>
        </w:rPr>
        <w:t xml:space="preserve"> the </w:t>
      </w:r>
      <w:r w:rsidRPr="001163DA">
        <w:rPr>
          <w:b/>
          <w:bCs/>
          <w:i/>
          <w:iCs/>
          <w:lang w:val="en-GB"/>
        </w:rPr>
        <w:t>Consolidation of Enactments (Procedure) Act 1949</w:t>
      </w:r>
      <w:r w:rsidRPr="001163DA">
        <w:rPr>
          <w:lang w:val="en-GB"/>
        </w:rPr>
        <w:t xml:space="preserve">." The Act lays out the rules for serving on a jury in England and Wales, including who is qualified to take such roles. The citizen who meets the requirements of the Act is eligible to serve as a juror or be summoned to serve on a jury in the Crown Court, the High Court, or county courts </w:t>
      </w:r>
      <w:r w:rsidRPr="001163DA">
        <w:rPr>
          <w:shd w:val="clear" w:color="auto" w:fill="FFFFFF"/>
          <w:lang w:val="en-GB"/>
        </w:rPr>
        <w:t>(Franklin, 2023)</w:t>
      </w:r>
      <w:r w:rsidRPr="001163DA">
        <w:rPr>
          <w:lang w:val="en-GB"/>
        </w:rPr>
        <w:t xml:space="preserve">. The main aim of this Act is to lay down the rules and regulations related to the eligibility and summoning of the Juries who are to help in legal decision-making. The Juries might have their </w:t>
      </w:r>
      <w:r w:rsidRPr="001163DA">
        <w:rPr>
          <w:lang w:val="en-GB"/>
        </w:rPr>
        <w:lastRenderedPageBreak/>
        <w:t>opinions on matters but the final decision-making power lies under the discretion of the Judges or Magistrates present in the Court.</w:t>
      </w:r>
    </w:p>
    <w:p w14:paraId="75075192" w14:textId="4B91F415" w:rsidR="00D978F3" w:rsidRPr="001163DA" w:rsidRDefault="00247BD9" w:rsidP="00756889">
      <w:pPr>
        <w:rPr>
          <w:lang w:val="en-GB" w:eastAsia="en-IN"/>
        </w:rPr>
      </w:pPr>
      <w:r w:rsidRPr="001163DA">
        <w:rPr>
          <w:lang w:val="en-GB" w:eastAsia="en-IN"/>
        </w:rPr>
        <w:t>The Justice system in the United Kingdom and Wales is very strong and in no immediate need for reform. However, it is essential to understand that changing times require fluidity</w:t>
      </w:r>
      <w:r w:rsidR="007D2842" w:rsidRPr="001163DA">
        <w:rPr>
          <w:lang w:val="en-GB" w:eastAsia="en-IN"/>
        </w:rPr>
        <w:t>,</w:t>
      </w:r>
      <w:r w:rsidRPr="001163DA">
        <w:rPr>
          <w:lang w:val="en-GB" w:eastAsia="en-IN"/>
        </w:rPr>
        <w:t xml:space="preserve"> and being dynamic in terms of modification of the Justice System might serve as an advantage for the Countries. One of the major reforms </w:t>
      </w:r>
      <w:r w:rsidR="007D2842" w:rsidRPr="001163DA">
        <w:rPr>
          <w:lang w:val="en-GB" w:eastAsia="en-IN"/>
        </w:rPr>
        <w:t>that</w:t>
      </w:r>
      <w:r w:rsidRPr="001163DA">
        <w:rPr>
          <w:lang w:val="en-GB" w:eastAsia="en-IN"/>
        </w:rPr>
        <w:t xml:space="preserve"> is required to be considered by the UK Justice system is to increase the number of appointments for Judges and magistrates along with Lay magistrates to deal with the piling of backlog cases. This will allow the country to hear more matters and deal with them with more accuracy. In addition to this</w:t>
      </w:r>
      <w:r w:rsidR="00154A9B" w:rsidRPr="001163DA">
        <w:rPr>
          <w:lang w:val="en-GB" w:eastAsia="en-IN"/>
        </w:rPr>
        <w:t>,</w:t>
      </w:r>
      <w:r w:rsidRPr="001163DA">
        <w:rPr>
          <w:lang w:val="en-GB" w:eastAsia="en-IN"/>
        </w:rPr>
        <w:t xml:space="preserve"> the establishment of fast-track courts is another suggestion that might help in dealing with these issues. However, it is essential to be understood that justice although delayed should not be inaccurate and while trying to remove backlogs and development of fast-track courts there should not be any form of mistakes in terms of justice. </w:t>
      </w:r>
    </w:p>
    <w:p w14:paraId="5D9967EC" w14:textId="77777777" w:rsidR="00D978F3" w:rsidRPr="001163DA" w:rsidRDefault="00247BD9" w:rsidP="00756889">
      <w:pPr>
        <w:rPr>
          <w:lang w:eastAsia="en-IN"/>
        </w:rPr>
      </w:pPr>
      <w:r w:rsidRPr="001163DA">
        <w:rPr>
          <w:lang w:eastAsia="en-IN"/>
        </w:rPr>
        <w:t xml:space="preserve">It can be concluded from this essay that the Justice System in England and Wales are highly efficient however reforms can be brought to improve their operations further. The justice system needs to ensure that the rights of the people of the country are protected at all costs. In addition to this, the essay also sheds light on the backlog cases and the reforms that may be beneficial to overcome such issues. The constitutional separation of powers and jurisdiction of the courts and their specific activities are also discussed in the essay making it easier to understand the roles of different judicial governing bodies. </w:t>
      </w:r>
    </w:p>
    <w:p w14:paraId="1F506D47" w14:textId="77777777" w:rsidR="00EE0779" w:rsidRPr="001163DA" w:rsidRDefault="00247BD9" w:rsidP="00756889">
      <w:pPr>
        <w:spacing w:after="160"/>
        <w:rPr>
          <w:rFonts w:eastAsiaTheme="majorEastAsia"/>
          <w:b/>
          <w:sz w:val="28"/>
          <w:szCs w:val="28"/>
        </w:rPr>
      </w:pPr>
      <w:r w:rsidRPr="001163DA">
        <w:rPr>
          <w:b/>
          <w:sz w:val="28"/>
          <w:szCs w:val="28"/>
        </w:rPr>
        <w:br w:type="page"/>
      </w:r>
    </w:p>
    <w:p w14:paraId="6B7D0F70" w14:textId="77777777" w:rsidR="00EE0779" w:rsidRPr="001163DA" w:rsidRDefault="00247BD9" w:rsidP="00756889">
      <w:pPr>
        <w:pStyle w:val="Heading1"/>
        <w:rPr>
          <w:rFonts w:cs="Times New Roman"/>
        </w:rPr>
      </w:pPr>
      <w:bookmarkStart w:id="3" w:name="_Toc141451721"/>
      <w:bookmarkStart w:id="4" w:name="_Toc141451734"/>
      <w:r w:rsidRPr="001163DA">
        <w:rPr>
          <w:rFonts w:cs="Times New Roman"/>
        </w:rPr>
        <w:lastRenderedPageBreak/>
        <w:t>References</w:t>
      </w:r>
      <w:bookmarkEnd w:id="3"/>
      <w:bookmarkEnd w:id="4"/>
    </w:p>
    <w:p w14:paraId="7E84D393" w14:textId="5B656AE4" w:rsidR="006941D7" w:rsidRPr="001163DA" w:rsidRDefault="007D2842" w:rsidP="00756889">
      <w:pPr>
        <w:rPr>
          <w:lang w:val="en-GB"/>
        </w:rPr>
      </w:pPr>
      <w:bookmarkStart w:id="5" w:name="_Hlk161502938"/>
      <w:r w:rsidRPr="001163DA">
        <w:rPr>
          <w:shd w:val="clear" w:color="auto" w:fill="FFFFFF"/>
          <w:lang w:val="en-GB"/>
        </w:rPr>
        <w:t>Antoniou, A., 2022. Broadcasters are allowed to film from Crown Court sentencing hearings in England and Wales. </w:t>
      </w:r>
      <w:r w:rsidRPr="001163DA">
        <w:rPr>
          <w:i/>
          <w:iCs/>
          <w:shd w:val="clear" w:color="auto" w:fill="FFFFFF"/>
          <w:lang w:val="en-GB"/>
        </w:rPr>
        <w:t>IRIS-Legal Observations of the European Audiovisual Observatory</w:t>
      </w:r>
      <w:r w:rsidRPr="001163DA">
        <w:rPr>
          <w:shd w:val="clear" w:color="auto" w:fill="FFFFFF"/>
          <w:lang w:val="en-GB"/>
        </w:rPr>
        <w:t>, </w:t>
      </w:r>
      <w:r w:rsidRPr="001163DA">
        <w:rPr>
          <w:i/>
          <w:iCs/>
          <w:shd w:val="clear" w:color="auto" w:fill="FFFFFF"/>
          <w:lang w:val="en-GB"/>
        </w:rPr>
        <w:t>2022</w:t>
      </w:r>
      <w:r w:rsidRPr="001163DA">
        <w:rPr>
          <w:shd w:val="clear" w:color="auto" w:fill="FFFFFF"/>
          <w:lang w:val="en-GB"/>
        </w:rPr>
        <w:t>(8), pp.43-45.</w:t>
      </w:r>
      <w:hyperlink r:id="rId9" w:history="1">
        <w:r w:rsidRPr="001163DA">
          <w:rPr>
            <w:rStyle w:val="Hyperlink"/>
            <w:color w:val="000000" w:themeColor="text1"/>
            <w:lang w:val="en-GB"/>
          </w:rPr>
          <w:t>academic.oup.com/</w:t>
        </w:r>
        <w:proofErr w:type="spellStart"/>
        <w:r w:rsidRPr="001163DA">
          <w:rPr>
            <w:rStyle w:val="Hyperlink"/>
            <w:color w:val="000000" w:themeColor="text1"/>
            <w:lang w:val="en-GB"/>
          </w:rPr>
          <w:t>bjc</w:t>
        </w:r>
        <w:proofErr w:type="spellEnd"/>
        <w:r w:rsidRPr="001163DA">
          <w:rPr>
            <w:rStyle w:val="Hyperlink"/>
            <w:color w:val="000000" w:themeColor="text1"/>
            <w:lang w:val="en-GB"/>
          </w:rPr>
          <w:t>/article-abstract/63/4/1041/6763313</w:t>
        </w:r>
      </w:hyperlink>
    </w:p>
    <w:p w14:paraId="2541FD53" w14:textId="526C68E1" w:rsidR="007D2842" w:rsidRPr="001163DA" w:rsidRDefault="007D2842" w:rsidP="00756889">
      <w:pPr>
        <w:rPr>
          <w:lang w:val="en-GB"/>
        </w:rPr>
      </w:pPr>
      <w:r w:rsidRPr="001163DA">
        <w:rPr>
          <w:shd w:val="clear" w:color="auto" w:fill="FFFFFF"/>
          <w:lang w:val="en-GB"/>
        </w:rPr>
        <w:t>Banwell-Moore, R., 2023. Just an ‘optional extra’ in the ‘victim toolkit</w:t>
      </w:r>
      <w:proofErr w:type="gramStart"/>
      <w:r w:rsidRPr="001163DA">
        <w:rPr>
          <w:shd w:val="clear" w:color="auto" w:fill="FFFFFF"/>
          <w:lang w:val="en-GB"/>
        </w:rPr>
        <w:t>’?:</w:t>
      </w:r>
      <w:proofErr w:type="gramEnd"/>
      <w:r w:rsidRPr="001163DA">
        <w:rPr>
          <w:shd w:val="clear" w:color="auto" w:fill="FFFFFF"/>
          <w:lang w:val="en-GB"/>
        </w:rPr>
        <w:t xml:space="preserve"> The culture, mechanisms, and approaches of criminal justice organizations delivering restorative justice in England and Wales. </w:t>
      </w:r>
      <w:r w:rsidRPr="001163DA">
        <w:rPr>
          <w:i/>
          <w:iCs/>
          <w:shd w:val="clear" w:color="auto" w:fill="FFFFFF"/>
          <w:lang w:val="en-GB"/>
        </w:rPr>
        <w:t>International Review of Victimology</w:t>
      </w:r>
      <w:r w:rsidRPr="001163DA">
        <w:rPr>
          <w:shd w:val="clear" w:color="auto" w:fill="FFFFFF"/>
          <w:lang w:val="en-GB"/>
        </w:rPr>
        <w:t>, </w:t>
      </w:r>
      <w:r w:rsidRPr="001163DA">
        <w:rPr>
          <w:i/>
          <w:iCs/>
          <w:shd w:val="clear" w:color="auto" w:fill="FFFFFF"/>
          <w:lang w:val="en-GB"/>
        </w:rPr>
        <w:t>29</w:t>
      </w:r>
      <w:r w:rsidRPr="001163DA">
        <w:rPr>
          <w:shd w:val="clear" w:color="auto" w:fill="FFFFFF"/>
          <w:lang w:val="en-GB"/>
        </w:rPr>
        <w:t>(2), pp.217-235.</w:t>
      </w:r>
      <w:hyperlink r:id="rId10" w:history="1">
        <w:r w:rsidRPr="001163DA">
          <w:rPr>
            <w:rStyle w:val="Hyperlink"/>
            <w:color w:val="000000" w:themeColor="text1"/>
            <w:lang w:val="en-GB"/>
          </w:rPr>
          <w:t>Just an ‘optional extra’ in the ‘victim toolkit’?: The culture, mechanisms, and approaches of criminal justice organizations delivering restorative justice in England and Wales - Rebecca Banwell-Moore, 2023 (sagepub.com)</w:t>
        </w:r>
      </w:hyperlink>
    </w:p>
    <w:p w14:paraId="6FA00F06" w14:textId="77777777" w:rsidR="007D2842" w:rsidRPr="001163DA" w:rsidRDefault="007D2842" w:rsidP="00756889">
      <w:pPr>
        <w:rPr>
          <w:lang w:val="en-GB"/>
        </w:rPr>
      </w:pPr>
      <w:bookmarkStart w:id="6" w:name="_Hlk141477060"/>
      <w:r w:rsidRPr="001163DA">
        <w:rPr>
          <w:shd w:val="clear" w:color="auto" w:fill="FFFFFF"/>
          <w:lang w:val="en-GB"/>
        </w:rPr>
        <w:t>Bosland, J. and Townend, J., 2023</w:t>
      </w:r>
      <w:bookmarkEnd w:id="6"/>
      <w:r w:rsidRPr="001163DA">
        <w:rPr>
          <w:shd w:val="clear" w:color="auto" w:fill="FFFFFF"/>
          <w:lang w:val="en-GB"/>
        </w:rPr>
        <w:t>. Reporting Crime in the Wake of the Human Rights Act 1998: Privacy, Criminal Justice, and the Media in England &amp; Wales. In </w:t>
      </w:r>
      <w:r w:rsidRPr="001163DA">
        <w:rPr>
          <w:i/>
          <w:iCs/>
          <w:shd w:val="clear" w:color="auto" w:fill="FFFFFF"/>
          <w:lang w:val="en-GB"/>
        </w:rPr>
        <w:t>Privacy, Technology, and the Criminal Process</w:t>
      </w:r>
      <w:r w:rsidRPr="001163DA">
        <w:rPr>
          <w:shd w:val="clear" w:color="auto" w:fill="FFFFFF"/>
          <w:lang w:val="en-GB"/>
        </w:rPr>
        <w:t xml:space="preserve"> (pp. 242-278). </w:t>
      </w:r>
      <w:proofErr w:type="spellStart"/>
      <w:r w:rsidRPr="001163DA">
        <w:rPr>
          <w:shd w:val="clear" w:color="auto" w:fill="FFFFFF"/>
          <w:lang w:val="en-GB"/>
        </w:rPr>
        <w:t>Routledge.</w:t>
      </w:r>
      <w:hyperlink r:id="rId11" w:history="1">
        <w:r w:rsidRPr="001163DA">
          <w:rPr>
            <w:rStyle w:val="Hyperlink"/>
            <w:color w:val="000000" w:themeColor="text1"/>
            <w:lang w:val="en-GB"/>
          </w:rPr>
          <w:t>Reporting</w:t>
        </w:r>
        <w:proofErr w:type="spellEnd"/>
        <w:r w:rsidRPr="001163DA">
          <w:rPr>
            <w:rStyle w:val="Hyperlink"/>
            <w:color w:val="000000" w:themeColor="text1"/>
            <w:lang w:val="en-GB"/>
          </w:rPr>
          <w:t xml:space="preserve"> Crime in the Wake of the Human Rights Act 1998: Privacy, Cri (taylorfrancis.com)</w:t>
        </w:r>
      </w:hyperlink>
    </w:p>
    <w:p w14:paraId="6A6D4A05" w14:textId="77777777" w:rsidR="007D2842" w:rsidRPr="001163DA" w:rsidRDefault="007D2842" w:rsidP="00756889">
      <w:pPr>
        <w:pStyle w:val="NormalWeb"/>
        <w:spacing w:before="0" w:beforeAutospacing="0" w:after="240" w:afterAutospacing="0" w:line="360" w:lineRule="auto"/>
        <w:jc w:val="both"/>
        <w:rPr>
          <w:color w:val="000000" w:themeColor="text1"/>
        </w:rPr>
      </w:pPr>
      <w:r w:rsidRPr="001163DA">
        <w:rPr>
          <w:color w:val="000000" w:themeColor="text1"/>
        </w:rPr>
        <w:t xml:space="preserve">Clark, D. 2020. </w:t>
      </w:r>
      <w:r w:rsidRPr="001163DA">
        <w:rPr>
          <w:i/>
          <w:iCs/>
          <w:color w:val="000000" w:themeColor="text1"/>
        </w:rPr>
        <w:t>UK criminal justice system</w:t>
      </w:r>
      <w:r w:rsidRPr="001163DA">
        <w:rPr>
          <w:color w:val="000000" w:themeColor="text1"/>
        </w:rPr>
        <w:t>. [online] Statista. Available at: https://www.statista.com/topics/6150/criminal-justice-system-in-the-uk/.</w:t>
      </w:r>
    </w:p>
    <w:p w14:paraId="7DBD90EE" w14:textId="26806EB9" w:rsidR="007D2842" w:rsidRPr="001163DA" w:rsidRDefault="007D2842" w:rsidP="00756889">
      <w:pPr>
        <w:rPr>
          <w:b/>
          <w:lang w:val="en-GB" w:eastAsia="en-IN"/>
        </w:rPr>
      </w:pPr>
      <w:r w:rsidRPr="001163DA">
        <w:rPr>
          <w:shd w:val="clear" w:color="auto" w:fill="FFFFFF"/>
          <w:lang w:val="en-GB"/>
        </w:rPr>
        <w:t>Franklin, C.N., 2023. A legal cultural “take” on the legal system of England and Wales. In </w:t>
      </w:r>
      <w:r w:rsidRPr="001163DA">
        <w:rPr>
          <w:i/>
          <w:iCs/>
          <w:shd w:val="clear" w:color="auto" w:fill="FFFFFF"/>
          <w:lang w:val="en-GB"/>
        </w:rPr>
        <w:t>Handbook on Legal Cultures: A Selection of the World's Legal Cultures</w:t>
      </w:r>
      <w:r w:rsidRPr="001163DA">
        <w:rPr>
          <w:shd w:val="clear" w:color="auto" w:fill="FFFFFF"/>
          <w:lang w:val="en-GB"/>
        </w:rPr>
        <w:t xml:space="preserve"> (pp. 327-388). Cham: Springer International Publishing. </w:t>
      </w:r>
      <w:hyperlink r:id="rId12" w:history="1">
        <w:r w:rsidRPr="001163DA">
          <w:rPr>
            <w:rStyle w:val="Hyperlink"/>
            <w:color w:val="000000" w:themeColor="text1"/>
            <w:lang w:val="en-GB"/>
          </w:rPr>
          <w:t>A Legal Cultural “Take” on the Legal System of England and Wales | SpringerLink</w:t>
        </w:r>
      </w:hyperlink>
    </w:p>
    <w:p w14:paraId="6C6E08F9" w14:textId="77777777" w:rsidR="007D2842" w:rsidRPr="001163DA" w:rsidRDefault="007D2842" w:rsidP="00756889">
      <w:pPr>
        <w:rPr>
          <w:shd w:val="clear" w:color="auto" w:fill="FFFFFF"/>
        </w:rPr>
      </w:pPr>
      <w:r w:rsidRPr="001163DA">
        <w:rPr>
          <w:shd w:val="clear" w:color="auto" w:fill="FFFFFF"/>
        </w:rPr>
        <w:t xml:space="preserve">Kirby, A., 2020. Engaging with legitimacy: An examination of lay participation in the criminal courts (Doctoral dissertation, University of Surrey). </w:t>
      </w:r>
    </w:p>
    <w:p w14:paraId="545B24E1" w14:textId="77777777" w:rsidR="007D2842" w:rsidRPr="001163DA" w:rsidRDefault="007D2842" w:rsidP="00756889">
      <w:r w:rsidRPr="001163DA">
        <w:t xml:space="preserve">Legislation.gov.uk, 2023 </w:t>
      </w:r>
      <w:r w:rsidRPr="001163DA">
        <w:rPr>
          <w:i/>
          <w:iCs/>
        </w:rPr>
        <w:t>browse legislation</w:t>
      </w:r>
      <w:r w:rsidRPr="001163DA">
        <w:t xml:space="preserve"> Available at: </w:t>
      </w:r>
      <w:hyperlink r:id="rId13" w:history="1">
        <w:r w:rsidRPr="001163DA">
          <w:rPr>
            <w:rStyle w:val="Hyperlink"/>
            <w:color w:val="000000" w:themeColor="text1"/>
          </w:rPr>
          <w:t>https://www.legislation.gov.uk/</w:t>
        </w:r>
      </w:hyperlink>
      <w:r w:rsidRPr="001163DA">
        <w:t xml:space="preserve"> [Accessed on 28.07.2023]</w:t>
      </w:r>
    </w:p>
    <w:p w14:paraId="47A29F48" w14:textId="77777777" w:rsidR="007D2842" w:rsidRPr="001163DA" w:rsidRDefault="007D2842" w:rsidP="00756889">
      <w:r w:rsidRPr="001163DA">
        <w:rPr>
          <w:shd w:val="clear" w:color="auto" w:fill="FFFFFF"/>
        </w:rPr>
        <w:t>McCartney, C. and Shorter, L., 2020. Police retention and storage of evidence in England and Wales. </w:t>
      </w:r>
      <w:r w:rsidRPr="001163DA">
        <w:rPr>
          <w:i/>
          <w:iCs/>
          <w:shd w:val="clear" w:color="auto" w:fill="FFFFFF"/>
        </w:rPr>
        <w:t>International Journal of Police Science &amp; Management</w:t>
      </w:r>
      <w:r w:rsidRPr="001163DA">
        <w:rPr>
          <w:shd w:val="clear" w:color="auto" w:fill="FFFFFF"/>
        </w:rPr>
        <w:t>, </w:t>
      </w:r>
      <w:r w:rsidRPr="001163DA">
        <w:rPr>
          <w:i/>
          <w:iCs/>
          <w:shd w:val="clear" w:color="auto" w:fill="FFFFFF"/>
        </w:rPr>
        <w:t>22</w:t>
      </w:r>
      <w:r w:rsidRPr="001163DA">
        <w:rPr>
          <w:shd w:val="clear" w:color="auto" w:fill="FFFFFF"/>
        </w:rPr>
        <w:t>(2), pp.123-136.</w:t>
      </w:r>
    </w:p>
    <w:p w14:paraId="44C57B4D" w14:textId="77777777" w:rsidR="007D2842" w:rsidRPr="001163DA" w:rsidRDefault="007D2842" w:rsidP="00756889">
      <w:pPr>
        <w:rPr>
          <w:lang w:val="en-GB"/>
        </w:rPr>
      </w:pPr>
      <w:r w:rsidRPr="001163DA">
        <w:rPr>
          <w:shd w:val="clear" w:color="auto" w:fill="FFFFFF"/>
          <w:lang w:val="en-GB"/>
        </w:rPr>
        <w:lastRenderedPageBreak/>
        <w:t>Phoenix, J., 2023. Pre-sentence reports, magisterial discourse and agency in the Youth Courts in England and Wales. In </w:t>
      </w:r>
      <w:r w:rsidRPr="001163DA">
        <w:rPr>
          <w:i/>
          <w:iCs/>
          <w:shd w:val="clear" w:color="auto" w:fill="FFFFFF"/>
          <w:lang w:val="en-GB"/>
        </w:rPr>
        <w:t>Juvenile Offending</w:t>
      </w:r>
      <w:r w:rsidRPr="001163DA">
        <w:rPr>
          <w:shd w:val="clear" w:color="auto" w:fill="FFFFFF"/>
          <w:lang w:val="en-GB"/>
        </w:rPr>
        <w:t xml:space="preserve"> (pp. 233-251). </w:t>
      </w:r>
      <w:proofErr w:type="spellStart"/>
      <w:r w:rsidRPr="001163DA">
        <w:rPr>
          <w:shd w:val="clear" w:color="auto" w:fill="FFFFFF"/>
          <w:lang w:val="en-GB"/>
        </w:rPr>
        <w:t>Routledge.</w:t>
      </w:r>
      <w:hyperlink r:id="rId14" w:history="1">
        <w:r w:rsidRPr="001163DA">
          <w:rPr>
            <w:rStyle w:val="Hyperlink"/>
            <w:color w:val="000000" w:themeColor="text1"/>
            <w:lang w:val="en-GB"/>
          </w:rPr>
          <w:t>Pre</w:t>
        </w:r>
        <w:proofErr w:type="spellEnd"/>
        <w:r w:rsidRPr="001163DA">
          <w:rPr>
            <w:rStyle w:val="Hyperlink"/>
            <w:color w:val="000000" w:themeColor="text1"/>
            <w:lang w:val="en-GB"/>
          </w:rPr>
          <w:t>-sentence reports, magisterial discourse and agency in the Youth Co (taylorfrancis.com)</w:t>
        </w:r>
      </w:hyperlink>
    </w:p>
    <w:p w14:paraId="67181342" w14:textId="77777777" w:rsidR="007D2842" w:rsidRPr="001163DA" w:rsidRDefault="007D2842" w:rsidP="00756889">
      <w:pPr>
        <w:rPr>
          <w:lang w:val="en-GB"/>
        </w:rPr>
      </w:pPr>
      <w:r w:rsidRPr="001163DA">
        <w:rPr>
          <w:shd w:val="clear" w:color="auto" w:fill="FFFFFF"/>
          <w:lang w:val="en-GB"/>
        </w:rPr>
        <w:t>Robson, M., 2022. A suspect population? An examination of bail decision making for foreign national women in criminal courts in England and Wales.</w:t>
      </w:r>
      <w:hyperlink r:id="rId15" w:history="1">
        <w:r w:rsidRPr="001163DA">
          <w:rPr>
            <w:rStyle w:val="Hyperlink"/>
            <w:color w:val="000000" w:themeColor="text1"/>
            <w:lang w:val="en-GB"/>
          </w:rPr>
          <w:t>griffins_research_paper_2020-01_-_full_report_0.pdf (thegriffinssociety.org)</w:t>
        </w:r>
      </w:hyperlink>
      <w:bookmarkEnd w:id="5"/>
    </w:p>
    <w:sectPr w:rsidR="007D2842" w:rsidRPr="001163DA" w:rsidSect="001478B8">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2E83D" w14:textId="77777777" w:rsidR="001478B8" w:rsidRDefault="001478B8">
      <w:pPr>
        <w:spacing w:after="0" w:line="240" w:lineRule="auto"/>
      </w:pPr>
      <w:r>
        <w:separator/>
      </w:r>
    </w:p>
  </w:endnote>
  <w:endnote w:type="continuationSeparator" w:id="0">
    <w:p w14:paraId="0427F4E7" w14:textId="77777777" w:rsidR="001478B8" w:rsidRDefault="00147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0B5B47E0" w:rsidR="00042A90" w:rsidRDefault="00247BD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814D9">
      <w:rPr>
        <w:noProof/>
        <w:color w:val="000000"/>
      </w:rPr>
      <w:t>2</w:t>
    </w:r>
    <w:r>
      <w:rPr>
        <w:color w:val="000000"/>
      </w:rPr>
      <w:fldChar w:fldCharType="end"/>
    </w:r>
  </w:p>
  <w:p w14:paraId="0000000F" w14:textId="77777777" w:rsidR="00042A90" w:rsidRDefault="00042A9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40A50" w14:textId="77777777" w:rsidR="001478B8" w:rsidRDefault="001478B8">
      <w:pPr>
        <w:spacing w:after="0" w:line="240" w:lineRule="auto"/>
      </w:pPr>
      <w:r>
        <w:separator/>
      </w:r>
    </w:p>
  </w:footnote>
  <w:footnote w:type="continuationSeparator" w:id="0">
    <w:p w14:paraId="3CD66A2E" w14:textId="77777777" w:rsidR="001478B8" w:rsidRDefault="00147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10D6E"/>
    <w:multiLevelType w:val="multilevel"/>
    <w:tmpl w:val="D4428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2E934D8"/>
    <w:multiLevelType w:val="multilevel"/>
    <w:tmpl w:val="1FC2D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C77166"/>
    <w:multiLevelType w:val="multilevel"/>
    <w:tmpl w:val="31B20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6164336">
    <w:abstractNumId w:val="2"/>
  </w:num>
  <w:num w:numId="2" w16cid:durableId="1940943217">
    <w:abstractNumId w:val="0"/>
  </w:num>
  <w:num w:numId="3" w16cid:durableId="1486313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A90"/>
    <w:rsid w:val="00042A90"/>
    <w:rsid w:val="000B2C7F"/>
    <w:rsid w:val="001163DA"/>
    <w:rsid w:val="001478B8"/>
    <w:rsid w:val="00154A9B"/>
    <w:rsid w:val="00161468"/>
    <w:rsid w:val="002204DE"/>
    <w:rsid w:val="00247BD9"/>
    <w:rsid w:val="00273CDD"/>
    <w:rsid w:val="00300BE5"/>
    <w:rsid w:val="00331021"/>
    <w:rsid w:val="004A1A29"/>
    <w:rsid w:val="004A262B"/>
    <w:rsid w:val="00576CBC"/>
    <w:rsid w:val="006752FD"/>
    <w:rsid w:val="006941D7"/>
    <w:rsid w:val="00756889"/>
    <w:rsid w:val="007C673E"/>
    <w:rsid w:val="007D2842"/>
    <w:rsid w:val="00882136"/>
    <w:rsid w:val="009C1DFF"/>
    <w:rsid w:val="009D73F6"/>
    <w:rsid w:val="00A467E8"/>
    <w:rsid w:val="00A5252B"/>
    <w:rsid w:val="00A52BC8"/>
    <w:rsid w:val="00B15DE7"/>
    <w:rsid w:val="00BE4646"/>
    <w:rsid w:val="00CE36CC"/>
    <w:rsid w:val="00D105DA"/>
    <w:rsid w:val="00D978F3"/>
    <w:rsid w:val="00E814D9"/>
    <w:rsid w:val="00E85EF2"/>
    <w:rsid w:val="00E96ED0"/>
    <w:rsid w:val="00EC072D"/>
    <w:rsid w:val="00ED52E2"/>
    <w:rsid w:val="00EE0779"/>
    <w:rsid w:val="00F60215"/>
    <w:rsid w:val="00F654E5"/>
    <w:rsid w:val="00FF2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9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rPr>
      <w:color w:val="000000" w:themeColor="text1"/>
    </w:rPr>
  </w:style>
  <w:style w:type="paragraph" w:styleId="Heading1">
    <w:name w:val="heading 1"/>
    <w:basedOn w:val="Normal"/>
    <w:next w:val="Normal"/>
    <w:link w:val="Heading1Char"/>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82667"/>
    <w:pPr>
      <w:keepNext/>
      <w:keepLines/>
      <w:spacing w:before="200" w:after="0"/>
      <w:outlineLvl w:val="1"/>
    </w:pPr>
    <w:rPr>
      <w:rFonts w:eastAsiaTheme="majorEastAsia" w:cstheme="majorBidi"/>
      <w:b/>
      <w:bCs/>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82667"/>
    <w:rPr>
      <w:rFonts w:ascii="Times New Roman" w:eastAsiaTheme="majorEastAsia" w:hAnsi="Times New Roman" w:cstheme="majorBidi"/>
      <w:b/>
      <w:bCs/>
      <w:color w:val="000000" w:themeColor="text1"/>
      <w:sz w:val="24"/>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ormal1">
    <w:name w:val="Normal1"/>
    <w:rsid w:val="00E814D9"/>
    <w:pPr>
      <w:spacing w:after="0" w:line="276" w:lineRule="auto"/>
      <w:jc w:val="left"/>
    </w:pPr>
    <w:rPr>
      <w:rFonts w:ascii="Arial" w:eastAsia="Arial" w:hAnsi="Arial" w:cs="Arial"/>
      <w:sz w:val="22"/>
      <w:szCs w:val="22"/>
    </w:rPr>
  </w:style>
  <w:style w:type="paragraph" w:styleId="TOC1">
    <w:name w:val="toc 1"/>
    <w:basedOn w:val="Normal"/>
    <w:next w:val="Normal"/>
    <w:autoRedefine/>
    <w:uiPriority w:val="39"/>
    <w:unhideWhenUsed/>
    <w:rsid w:val="00E814D9"/>
    <w:pPr>
      <w:spacing w:after="100"/>
    </w:pPr>
  </w:style>
  <w:style w:type="paragraph" w:styleId="TOC2">
    <w:name w:val="toc 2"/>
    <w:basedOn w:val="Normal"/>
    <w:next w:val="Normal"/>
    <w:autoRedefine/>
    <w:uiPriority w:val="39"/>
    <w:unhideWhenUsed/>
    <w:rsid w:val="00E814D9"/>
    <w:pPr>
      <w:spacing w:after="100"/>
      <w:ind w:left="240"/>
    </w:pPr>
  </w:style>
  <w:style w:type="character" w:styleId="Hyperlink">
    <w:name w:val="Hyperlink"/>
    <w:basedOn w:val="DefaultParagraphFont"/>
    <w:uiPriority w:val="99"/>
    <w:unhideWhenUsed/>
    <w:rsid w:val="00E814D9"/>
    <w:rPr>
      <w:color w:val="0000FF" w:themeColor="hyperlink"/>
      <w:u w:val="single"/>
    </w:rPr>
  </w:style>
  <w:style w:type="character" w:customStyle="1" w:styleId="TitleChar">
    <w:name w:val="Title Char"/>
    <w:basedOn w:val="DefaultParagraphFont"/>
    <w:link w:val="Title"/>
    <w:uiPriority w:val="10"/>
    <w:rsid w:val="00EE0779"/>
    <w:rPr>
      <w:b/>
      <w:color w:val="000000" w:themeColor="text1"/>
      <w:sz w:val="72"/>
      <w:szCs w:val="72"/>
    </w:rPr>
  </w:style>
  <w:style w:type="paragraph" w:styleId="NormalWeb">
    <w:name w:val="Normal (Web)"/>
    <w:basedOn w:val="Normal"/>
    <w:uiPriority w:val="99"/>
    <w:unhideWhenUsed/>
    <w:rsid w:val="007D2842"/>
    <w:pPr>
      <w:spacing w:before="100" w:beforeAutospacing="1" w:after="100" w:afterAutospacing="1" w:line="240" w:lineRule="auto"/>
      <w:jc w:val="lef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861857">
      <w:bodyDiv w:val="1"/>
      <w:marLeft w:val="0"/>
      <w:marRight w:val="0"/>
      <w:marTop w:val="0"/>
      <w:marBottom w:val="0"/>
      <w:divBdr>
        <w:top w:val="none" w:sz="0" w:space="0" w:color="auto"/>
        <w:left w:val="none" w:sz="0" w:space="0" w:color="auto"/>
        <w:bottom w:val="none" w:sz="0" w:space="0" w:color="auto"/>
        <w:right w:val="none" w:sz="0" w:space="0" w:color="auto"/>
      </w:divBdr>
      <w:divsChild>
        <w:div w:id="7142401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link.springer.com/chapter/10.1007/978-3-031-27745-0_1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ylorfrancis.com/chapters/edit/10.4324/9781003111078-12/reporting-crime-wake-human-rights-act-1998-privacy-criminal-justice-media-england-wales-jason-bosland-judith-townend" TargetMode="External"/><Relationship Id="rId5" Type="http://schemas.openxmlformats.org/officeDocument/2006/relationships/settings" Target="settings.xml"/><Relationship Id="rId15" Type="http://schemas.openxmlformats.org/officeDocument/2006/relationships/hyperlink" Target="https://www.thegriffinssociety.org/system/files/papers/fullreport/griffins_research_paper_2020-01_-_full_report_0.pdf" TargetMode="External"/><Relationship Id="rId10" Type="http://schemas.openxmlformats.org/officeDocument/2006/relationships/hyperlink" Target="https://journals.sagepub.com/doi/full/10.1177/02697580221079993" TargetMode="External"/><Relationship Id="rId4" Type="http://schemas.openxmlformats.org/officeDocument/2006/relationships/styles" Target="styles.xml"/><Relationship Id="rId9" Type="http://schemas.openxmlformats.org/officeDocument/2006/relationships/hyperlink" Target="https://academic.oup.com/bjc/article-abstract/63/4/1041/6763313" TargetMode="External"/><Relationship Id="rId14" Type="http://schemas.openxmlformats.org/officeDocument/2006/relationships/hyperlink" Target="https://www.taylorfrancis.com/chapters/edit/10.4324/9781003424086-11/pre-sentence-reports-magisterial-discourse-agency-youth-courts-england-wales-jo-phoen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zEK0YRIRJPoAtL/oifjyTjzRbbw==">AMUW2mVz7GgHn6pucUIz01syxKbc9uN3ZFNGbw1xoI/waiK3ctmrksTnqGZsAaT3pdvmtE2eGbKa1IsRDWTpk3dGgjZBOUA147RatGuI+Gg9fJhFq+aXS0e8/mEJNJW3wCvqiVUvpmbb</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9A2845-31BF-4551-9FB1-897498377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1971</Words>
  <Characters>11237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2024-03-16T10:34:00Z</dcterms:created>
  <dcterms:modified xsi:type="dcterms:W3CDTF">2024-03-18T16:37:00Z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8c5bedde1b54456a8b39b95e2598f10c1e48e47f87b3eb6b1a731b35a9127d63</vt:lpwstr>
  </property>
</Properties>
</file>