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4049FF" w:rsidP="599066E5" w:rsidRDefault="0D4049FF" w14:paraId="2B530651" w14:textId="68C00DFB">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r w:rsidRPr="599066E5" w:rsidR="0D4049FF">
        <w:rPr>
          <w:rFonts w:ascii="Arial Nova" w:hAnsi="Arial Nova" w:eastAsia="Arial Nova" w:cs="Arial Nova"/>
          <w:b w:val="1"/>
          <w:bCs w:val="1"/>
          <w:noProof w:val="0"/>
          <w:sz w:val="52"/>
          <w:szCs w:val="52"/>
          <w:lang w:val="en-GB"/>
        </w:rPr>
        <w:t xml:space="preserve">Leadership and Change </w:t>
      </w:r>
    </w:p>
    <w:p w:rsidR="599066E5" w:rsidP="599066E5" w:rsidRDefault="599066E5" w14:paraId="4D4D508D" w14:textId="05B35A24">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p>
    <w:p w:rsidR="0D4049FF" w:rsidP="599066E5" w:rsidRDefault="0D4049FF" w14:paraId="1F6B795B" w14:textId="597E46E1">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r w:rsidRPr="599066E5" w:rsidR="0D4049FF">
        <w:rPr>
          <w:rFonts w:ascii="Arial Nova" w:hAnsi="Arial Nova" w:eastAsia="Arial Nova" w:cs="Arial Nova"/>
          <w:b w:val="1"/>
          <w:bCs w:val="1"/>
          <w:noProof w:val="0"/>
          <w:sz w:val="52"/>
          <w:szCs w:val="52"/>
          <w:lang w:val="en-GB"/>
        </w:rPr>
        <w:t>BMPF7309D</w:t>
      </w:r>
    </w:p>
    <w:p w:rsidR="599066E5" w:rsidP="599066E5" w:rsidRDefault="599066E5" w14:paraId="03F3685A" w14:textId="7F5440A6">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p>
    <w:p w:rsidR="0D4049FF" w:rsidP="599066E5" w:rsidRDefault="0D4049FF" w14:paraId="530357C4" w14:textId="7A3E1309">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r w:rsidRPr="599066E5" w:rsidR="0D4049FF">
        <w:rPr>
          <w:rFonts w:ascii="Arial Nova" w:hAnsi="Arial Nova" w:eastAsia="Arial Nova" w:cs="Arial Nova"/>
          <w:b w:val="1"/>
          <w:bCs w:val="1"/>
          <w:noProof w:val="0"/>
          <w:sz w:val="52"/>
          <w:szCs w:val="52"/>
          <w:lang w:val="en-GB"/>
        </w:rPr>
        <w:t>Student Number:</w:t>
      </w:r>
    </w:p>
    <w:p w:rsidR="0D4049FF" w:rsidP="599066E5" w:rsidRDefault="0D4049FF" w14:paraId="753122FD" w14:textId="60EA3865">
      <w:pPr>
        <w:spacing w:before="240" w:beforeAutospacing="off" w:after="240" w:afterAutospacing="off" w:line="360" w:lineRule="auto"/>
        <w:jc w:val="center"/>
        <w:rPr>
          <w:rFonts w:ascii="Arial Nova" w:hAnsi="Arial Nova" w:eastAsia="Arial Nova" w:cs="Arial Nova"/>
          <w:b w:val="1"/>
          <w:bCs w:val="1"/>
          <w:noProof w:val="0"/>
          <w:sz w:val="52"/>
          <w:szCs w:val="52"/>
          <w:lang w:val="en-GB"/>
        </w:rPr>
      </w:pPr>
      <w:r w:rsidRPr="599066E5" w:rsidR="0D4049FF">
        <w:rPr>
          <w:rFonts w:ascii="Arial Nova" w:hAnsi="Arial Nova" w:eastAsia="Arial Nova" w:cs="Arial Nova"/>
          <w:b w:val="1"/>
          <w:bCs w:val="1"/>
          <w:noProof w:val="0"/>
          <w:sz w:val="52"/>
          <w:szCs w:val="52"/>
          <w:lang w:val="en-GB"/>
        </w:rPr>
        <w:t>2244757</w:t>
      </w:r>
    </w:p>
    <w:p w:rsidR="599066E5" w:rsidRDefault="599066E5" w14:paraId="4D9980B2" w14:textId="415842F3">
      <w:r>
        <w:br w:type="page"/>
      </w:r>
    </w:p>
    <w:p w:rsidR="599066E5" w:rsidP="599066E5" w:rsidRDefault="599066E5" w14:paraId="1AF426C4" w14:textId="3E3D8E34">
      <w:pPr>
        <w:pStyle w:val="Normal"/>
        <w:spacing w:before="240" w:beforeAutospacing="off" w:after="240" w:afterAutospacing="off" w:line="360" w:lineRule="auto"/>
        <w:rPr>
          <w:rFonts w:ascii="Arial Nova" w:hAnsi="Arial Nova" w:eastAsia="Arial Nova" w:cs="Arial Nova"/>
          <w:noProof w:val="0"/>
          <w:sz w:val="24"/>
          <w:szCs w:val="24"/>
          <w:lang w:val="en-GB"/>
        </w:rPr>
      </w:pPr>
    </w:p>
    <w:p w:rsidR="31407F2E" w:rsidP="599066E5" w:rsidRDefault="31407F2E" w14:paraId="0576F5F2" w14:textId="03917C27">
      <w:pPr>
        <w:spacing w:before="240" w:beforeAutospacing="off" w:after="240" w:afterAutospacing="off" w:line="360" w:lineRule="auto"/>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The Welsh Ambulance Services University NHS Trust (WAST) </w:t>
      </w:r>
      <w:r w:rsidRPr="599066E5" w:rsidR="31407F2E">
        <w:rPr>
          <w:rFonts w:ascii="Arial Nova" w:hAnsi="Arial Nova" w:eastAsia="Arial Nova" w:cs="Arial Nova"/>
          <w:noProof w:val="0"/>
          <w:sz w:val="24"/>
          <w:szCs w:val="24"/>
          <w:lang w:val="en-GB"/>
        </w:rPr>
        <w:t>operates</w:t>
      </w:r>
      <w:r w:rsidRPr="599066E5" w:rsidR="31407F2E">
        <w:rPr>
          <w:rFonts w:ascii="Arial Nova" w:hAnsi="Arial Nova" w:eastAsia="Arial Nova" w:cs="Arial Nova"/>
          <w:noProof w:val="0"/>
          <w:sz w:val="24"/>
          <w:szCs w:val="24"/>
          <w:lang w:val="en-GB"/>
        </w:rPr>
        <w:t xml:space="preserve"> within an increasingly complex and pressured healthcare system characterised by rising demand, workforce constraints, and increasing patient acuity. Over the past decade, the organisation has undergone a significant transition from a model historically driven by response time targets towards one that prioritises clinical outcomes, patient safety, and system-wide effectiveness (Welsh Government, 2020). This transformation reflects broader developments across NHS Wales, including the move towards integrated care and a value-based approach to healthcare, where the emphasis is placed on delivering the right care, at the right time, by the most </w:t>
      </w:r>
      <w:r w:rsidRPr="599066E5" w:rsidR="31407F2E">
        <w:rPr>
          <w:rFonts w:ascii="Arial Nova" w:hAnsi="Arial Nova" w:eastAsia="Arial Nova" w:cs="Arial Nova"/>
          <w:noProof w:val="0"/>
          <w:sz w:val="24"/>
          <w:szCs w:val="24"/>
          <w:lang w:val="en-GB"/>
        </w:rPr>
        <w:t>appropriate clinician</w:t>
      </w:r>
      <w:r w:rsidRPr="599066E5" w:rsidR="31407F2E">
        <w:rPr>
          <w:rFonts w:ascii="Arial Nova" w:hAnsi="Arial Nova" w:eastAsia="Arial Nova" w:cs="Arial Nova"/>
          <w:noProof w:val="0"/>
          <w:sz w:val="24"/>
          <w:szCs w:val="24"/>
          <w:lang w:val="en-GB"/>
        </w:rPr>
        <w:t xml:space="preserve"> (Welsh Government, 2018). Within this evolving context, clinical decision-making has become increasingly complex, requiring clinicians to navigate uncertainty, risk, and competing priorities within time-critical environments.</w:t>
      </w:r>
    </w:p>
    <w:p w:rsidR="18F8B122" w:rsidP="599066E5" w:rsidRDefault="18F8B122" w14:paraId="43D70108" w14:textId="05FFA26A">
      <w:pPr>
        <w:spacing w:before="240" w:beforeAutospacing="off" w:after="240" w:afterAutospacing="off"/>
        <w:rPr>
          <w:rFonts w:ascii="Arial Nova" w:hAnsi="Arial Nova" w:eastAsia="Arial Nova" w:cs="Arial Nova"/>
          <w:noProof w:val="0"/>
          <w:sz w:val="24"/>
          <w:szCs w:val="24"/>
          <w:lang w:val="en-GB"/>
        </w:rPr>
      </w:pPr>
      <w:r w:rsidRPr="599066E5" w:rsidR="18F8B122">
        <w:rPr>
          <w:rFonts w:ascii="Arial Nova" w:hAnsi="Arial Nova" w:eastAsia="Arial Nova" w:cs="Arial Nova"/>
          <w:noProof w:val="0"/>
          <w:sz w:val="24"/>
          <w:szCs w:val="24"/>
          <w:lang w:val="en-GB"/>
        </w:rPr>
        <w:t xml:space="preserve">In addition to increasing demand, the complexity of patient presentations within WAST has evolved significantly, requiring clinicians to adopt a more sophisticated approach to assessment and decision-making. Patients are increasingly presenting with multiple comorbidities, polypharmacy, and social complexities, all of which influence both clinical risk and care pathways. This is particularly </w:t>
      </w:r>
      <w:r w:rsidRPr="599066E5" w:rsidR="18F8B122">
        <w:rPr>
          <w:rFonts w:ascii="Arial Nova" w:hAnsi="Arial Nova" w:eastAsia="Arial Nova" w:cs="Arial Nova"/>
          <w:noProof w:val="0"/>
          <w:sz w:val="24"/>
          <w:szCs w:val="24"/>
          <w:lang w:val="en-GB"/>
        </w:rPr>
        <w:t>evident</w:t>
      </w:r>
      <w:r w:rsidRPr="599066E5" w:rsidR="18F8B122">
        <w:rPr>
          <w:rFonts w:ascii="Arial Nova" w:hAnsi="Arial Nova" w:eastAsia="Arial Nova" w:cs="Arial Nova"/>
          <w:noProof w:val="0"/>
          <w:sz w:val="24"/>
          <w:szCs w:val="24"/>
          <w:lang w:val="en-GB"/>
        </w:rPr>
        <w:t xml:space="preserve"> within trauma care, where traditional models of assessment may not adequately account for the interaction between injury, frailty, and pre-existing health conditions. As such, clinicians must integrate a wider range of clinical and contextual information when making decisions, often within time-critical environments.</w:t>
      </w:r>
    </w:p>
    <w:p w:rsidR="18F8B122" w:rsidP="599066E5" w:rsidRDefault="18F8B122" w14:paraId="415B0A9C" w14:textId="7EDEBA9C">
      <w:pPr>
        <w:spacing w:before="240" w:beforeAutospacing="off" w:after="240" w:afterAutospacing="off"/>
        <w:rPr>
          <w:rFonts w:ascii="Arial Nova" w:hAnsi="Arial Nova" w:eastAsia="Arial Nova" w:cs="Arial Nova"/>
          <w:noProof w:val="0"/>
          <w:sz w:val="24"/>
          <w:szCs w:val="24"/>
          <w:lang w:val="en-GB"/>
        </w:rPr>
      </w:pPr>
      <w:r w:rsidRPr="599066E5" w:rsidR="18F8B122">
        <w:rPr>
          <w:rFonts w:ascii="Arial Nova" w:hAnsi="Arial Nova" w:eastAsia="Arial Nova" w:cs="Arial Nova"/>
          <w:noProof w:val="0"/>
          <w:sz w:val="24"/>
          <w:szCs w:val="24"/>
          <w:lang w:val="en-GB"/>
        </w:rPr>
        <w:t>This shift reflects a broader transition within healthcare from protocol-driven practice towards clinical reasoning and judgement-based care. While guidelines such as those provided by NICE offer valuable frameworks, they cannot account for the full complexity of real-world presentations. Within WAST, this creates a reliance on clinician judgement, which is shaped by experience, training, and exposure to a wide range of cases. However, this reliance also introduces variability, particularly where clinicians have differing levels of experience or confidence in managing complex presentations.</w:t>
      </w:r>
    </w:p>
    <w:p w:rsidR="18F8B122" w:rsidP="599066E5" w:rsidRDefault="18F8B122" w14:paraId="2E24B07F" w14:textId="054B09CE">
      <w:pPr>
        <w:spacing w:before="240" w:beforeAutospacing="off" w:after="240" w:afterAutospacing="off"/>
        <w:rPr>
          <w:rFonts w:ascii="Arial Nova" w:hAnsi="Arial Nova" w:eastAsia="Arial Nova" w:cs="Arial Nova"/>
          <w:noProof w:val="0"/>
          <w:sz w:val="24"/>
          <w:szCs w:val="24"/>
          <w:lang w:val="en-GB"/>
        </w:rPr>
      </w:pPr>
      <w:r w:rsidRPr="599066E5" w:rsidR="18F8B122">
        <w:rPr>
          <w:rFonts w:ascii="Arial Nova" w:hAnsi="Arial Nova" w:eastAsia="Arial Nova" w:cs="Arial Nova"/>
          <w:noProof w:val="0"/>
          <w:sz w:val="24"/>
          <w:szCs w:val="24"/>
          <w:lang w:val="en-GB"/>
        </w:rPr>
        <w:t xml:space="preserve">Furthermore, the pre-hospital environment presents unique challenges that are not </w:t>
      </w:r>
      <w:r w:rsidRPr="599066E5" w:rsidR="18F8B122">
        <w:rPr>
          <w:rFonts w:ascii="Arial Nova" w:hAnsi="Arial Nova" w:eastAsia="Arial Nova" w:cs="Arial Nova"/>
          <w:noProof w:val="0"/>
          <w:sz w:val="24"/>
          <w:szCs w:val="24"/>
          <w:lang w:val="en-GB"/>
        </w:rPr>
        <w:t>encountered</w:t>
      </w:r>
      <w:r w:rsidRPr="599066E5" w:rsidR="18F8B122">
        <w:rPr>
          <w:rFonts w:ascii="Arial Nova" w:hAnsi="Arial Nova" w:eastAsia="Arial Nova" w:cs="Arial Nova"/>
          <w:noProof w:val="0"/>
          <w:sz w:val="24"/>
          <w:szCs w:val="24"/>
          <w:lang w:val="en-GB"/>
        </w:rPr>
        <w:t xml:space="preserve"> within hospital settings. Clinicians must assess patients in uncontrolled environments, often with limited access to diagnostic tools and incomplete information. This increases uncertainty and reinforces the need for decision-making processes that are both efficient and adaptable. In this context, variability in trauma recognition is </w:t>
      </w:r>
      <w:r w:rsidRPr="599066E5" w:rsidR="18F8B122">
        <w:rPr>
          <w:rFonts w:ascii="Arial Nova" w:hAnsi="Arial Nova" w:eastAsia="Arial Nova" w:cs="Arial Nova"/>
          <w:noProof w:val="0"/>
          <w:sz w:val="24"/>
          <w:szCs w:val="24"/>
          <w:lang w:val="en-GB"/>
        </w:rPr>
        <w:t>not unexpected</w:t>
      </w:r>
      <w:r w:rsidRPr="599066E5" w:rsidR="18F8B122">
        <w:rPr>
          <w:rFonts w:ascii="Arial Nova" w:hAnsi="Arial Nova" w:eastAsia="Arial Nova" w:cs="Arial Nova"/>
          <w:noProof w:val="0"/>
          <w:sz w:val="24"/>
          <w:szCs w:val="24"/>
          <w:lang w:val="en-GB"/>
        </w:rPr>
        <w:t>, but it highlights the need for structured support mechanisms that enhance consistency without limiting clinical autonomy</w:t>
      </w:r>
    </w:p>
    <w:p w:rsidR="599066E5" w:rsidP="599066E5" w:rsidRDefault="599066E5" w14:paraId="40C6BCB7" w14:textId="0A4F3EA6">
      <w:pPr>
        <w:spacing w:before="240" w:beforeAutospacing="off" w:after="240" w:afterAutospacing="off"/>
        <w:rPr>
          <w:rFonts w:ascii="Arial Nova" w:hAnsi="Arial Nova" w:eastAsia="Arial Nova" w:cs="Arial Nova"/>
          <w:noProof w:val="0"/>
          <w:sz w:val="24"/>
          <w:szCs w:val="24"/>
          <w:lang w:val="en-GB"/>
        </w:rPr>
      </w:pPr>
    </w:p>
    <w:p w:rsidR="31407F2E" w:rsidP="599066E5" w:rsidRDefault="31407F2E" w14:paraId="2F8A0057" w14:textId="68FAF1A9">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This complexity is particularly </w:t>
      </w:r>
      <w:r w:rsidRPr="599066E5" w:rsidR="31407F2E">
        <w:rPr>
          <w:rFonts w:ascii="Arial Nova" w:hAnsi="Arial Nova" w:eastAsia="Arial Nova" w:cs="Arial Nova"/>
          <w:noProof w:val="0"/>
          <w:sz w:val="24"/>
          <w:szCs w:val="24"/>
          <w:lang w:val="en-GB"/>
        </w:rPr>
        <w:t>evident</w:t>
      </w:r>
      <w:r w:rsidRPr="599066E5" w:rsidR="31407F2E">
        <w:rPr>
          <w:rFonts w:ascii="Arial Nova" w:hAnsi="Arial Nova" w:eastAsia="Arial Nova" w:cs="Arial Nova"/>
          <w:noProof w:val="0"/>
          <w:sz w:val="24"/>
          <w:szCs w:val="24"/>
          <w:lang w:val="en-GB"/>
        </w:rPr>
        <w:t xml:space="preserve"> in the recognition of major trauma within the pre-hospital setting. Early identification of major trauma is widely recognised as a key determinant of patient outcomes, influencing access to specialist services and the timeliness of definitive care. However, the epidemiology of trauma has changed significantly, with an increasing proportion of patients presenting following low-energy mechanisms, particularly falls in older adults (NICE, 2016; Kehoe et al., 2015). These patients </w:t>
      </w:r>
      <w:r w:rsidRPr="599066E5" w:rsidR="31407F2E">
        <w:rPr>
          <w:rFonts w:ascii="Arial Nova" w:hAnsi="Arial Nova" w:eastAsia="Arial Nova" w:cs="Arial Nova"/>
          <w:noProof w:val="0"/>
          <w:sz w:val="24"/>
          <w:szCs w:val="24"/>
          <w:lang w:val="en-GB"/>
        </w:rPr>
        <w:t>frequently</w:t>
      </w:r>
      <w:r w:rsidRPr="599066E5" w:rsidR="31407F2E">
        <w:rPr>
          <w:rFonts w:ascii="Arial Nova" w:hAnsi="Arial Nova" w:eastAsia="Arial Nova" w:cs="Arial Nova"/>
          <w:noProof w:val="0"/>
          <w:sz w:val="24"/>
          <w:szCs w:val="24"/>
          <w:lang w:val="en-GB"/>
        </w:rPr>
        <w:t xml:space="preserve"> present with subtle or atypical clinical features, reduced physiological reserve, and multiple comorbidities, making recognition significantly more challenging. Consequently, traditional trauma paradigms, which emphasise mechanism of injury and overt physiological compromise, are increasingly insufficient.</w:t>
      </w:r>
    </w:p>
    <w:p w:rsidR="31407F2E" w:rsidP="599066E5" w:rsidRDefault="31407F2E" w14:paraId="2132FB7B" w14:textId="0ECC76AD">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This shift </w:t>
      </w:r>
      <w:r w:rsidRPr="599066E5" w:rsidR="31407F2E">
        <w:rPr>
          <w:rFonts w:ascii="Arial Nova" w:hAnsi="Arial Nova" w:eastAsia="Arial Nova" w:cs="Arial Nova"/>
          <w:noProof w:val="0"/>
          <w:sz w:val="24"/>
          <w:szCs w:val="24"/>
          <w:lang w:val="en-GB"/>
        </w:rPr>
        <w:t>necessitates</w:t>
      </w:r>
      <w:r w:rsidRPr="599066E5" w:rsidR="31407F2E">
        <w:rPr>
          <w:rFonts w:ascii="Arial Nova" w:hAnsi="Arial Nova" w:eastAsia="Arial Nova" w:cs="Arial Nova"/>
          <w:noProof w:val="0"/>
          <w:sz w:val="24"/>
          <w:szCs w:val="24"/>
          <w:lang w:val="en-GB"/>
        </w:rPr>
        <w:t xml:space="preserve"> a broader, more nuanced approach to trauma assessment, incorporating patient vulnerability, frailty, and risk factors alongside traditional indicators. Within WAST, clinicians </w:t>
      </w:r>
      <w:r w:rsidRPr="599066E5" w:rsidR="31407F2E">
        <w:rPr>
          <w:rFonts w:ascii="Arial Nova" w:hAnsi="Arial Nova" w:eastAsia="Arial Nova" w:cs="Arial Nova"/>
          <w:noProof w:val="0"/>
          <w:sz w:val="24"/>
          <w:szCs w:val="24"/>
          <w:lang w:val="en-GB"/>
        </w:rPr>
        <w:t>are required to</w:t>
      </w:r>
      <w:r w:rsidRPr="599066E5" w:rsidR="31407F2E">
        <w:rPr>
          <w:rFonts w:ascii="Arial Nova" w:hAnsi="Arial Nova" w:eastAsia="Arial Nova" w:cs="Arial Nova"/>
          <w:noProof w:val="0"/>
          <w:sz w:val="24"/>
          <w:szCs w:val="24"/>
          <w:lang w:val="en-GB"/>
        </w:rPr>
        <w:t xml:space="preserve"> make rapid, high-stakes decisions in environments characterised by uncertainty, limited information, and operational pressure. This creates a context in which variability in decision-making is both understandable and difficult to eliminate. Importantly, this variability should not be interpreted as a deficit in clinician competence, but rather as a reflection of the complexity of the system within which decisions are made.</w:t>
      </w:r>
    </w:p>
    <w:p w:rsidR="31407F2E" w:rsidP="599066E5" w:rsidRDefault="31407F2E" w14:paraId="04EE7E58" w14:textId="39CFA91A">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Despite national guidance and ongoing professional development, variability in trauma recognition persists across ambulance services. This variability arises from the interaction between cognitive processes, clinical experience, and organisational context. Clinicians </w:t>
      </w:r>
      <w:r w:rsidRPr="599066E5" w:rsidR="31407F2E">
        <w:rPr>
          <w:rFonts w:ascii="Arial Nova" w:hAnsi="Arial Nova" w:eastAsia="Arial Nova" w:cs="Arial Nova"/>
          <w:noProof w:val="0"/>
          <w:sz w:val="24"/>
          <w:szCs w:val="24"/>
          <w:lang w:val="en-GB"/>
        </w:rPr>
        <w:t>frequently</w:t>
      </w:r>
      <w:r w:rsidRPr="599066E5" w:rsidR="31407F2E">
        <w:rPr>
          <w:rFonts w:ascii="Arial Nova" w:hAnsi="Arial Nova" w:eastAsia="Arial Nova" w:cs="Arial Nova"/>
          <w:noProof w:val="0"/>
          <w:sz w:val="24"/>
          <w:szCs w:val="24"/>
          <w:lang w:val="en-GB"/>
        </w:rPr>
        <w:t xml:space="preserve"> rely </w:t>
      </w:r>
      <w:r w:rsidRPr="599066E5" w:rsidR="31407F2E">
        <w:rPr>
          <w:rFonts w:ascii="Arial Nova" w:hAnsi="Arial Nova" w:eastAsia="Arial Nova" w:cs="Arial Nova"/>
          <w:noProof w:val="0"/>
          <w:sz w:val="24"/>
          <w:szCs w:val="24"/>
          <w:lang w:val="en-GB"/>
        </w:rPr>
        <w:t>on experie</w:t>
      </w:r>
      <w:r w:rsidRPr="599066E5" w:rsidR="31407F2E">
        <w:rPr>
          <w:rFonts w:ascii="Arial Nova" w:hAnsi="Arial Nova" w:eastAsia="Arial Nova" w:cs="Arial Nova"/>
          <w:noProof w:val="0"/>
          <w:sz w:val="24"/>
          <w:szCs w:val="24"/>
          <w:lang w:val="en-GB"/>
        </w:rPr>
        <w:t>ntial knowledge and pattern recognition to make rapid decisions. While this is a hallmark of expert practice, it also introduces the potential for cognitive bias, particularly in cases that do not conform to expected clinical patterns (Kahneman, 2011). As such, improving trauma recognition requires not only enhanced knowledge but also support for decision-making within complex environments.</w:t>
      </w:r>
    </w:p>
    <w:p w:rsidR="31407F2E" w:rsidP="599066E5" w:rsidRDefault="31407F2E" w14:paraId="0DE2EA49" w14:textId="55D4ADA6">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The recognition of major trauma within the pre-hospital environment must therefore be understood as both a clinical and organisational challenge. Evidence consistently </w:t>
      </w:r>
      <w:r w:rsidRPr="599066E5" w:rsidR="31407F2E">
        <w:rPr>
          <w:rFonts w:ascii="Arial Nova" w:hAnsi="Arial Nova" w:eastAsia="Arial Nova" w:cs="Arial Nova"/>
          <w:noProof w:val="0"/>
          <w:sz w:val="24"/>
          <w:szCs w:val="24"/>
          <w:lang w:val="en-GB"/>
        </w:rPr>
        <w:t>demonstrates</w:t>
      </w:r>
      <w:r w:rsidRPr="599066E5" w:rsidR="31407F2E">
        <w:rPr>
          <w:rFonts w:ascii="Arial Nova" w:hAnsi="Arial Nova" w:eastAsia="Arial Nova" w:cs="Arial Nova"/>
          <w:noProof w:val="0"/>
          <w:sz w:val="24"/>
          <w:szCs w:val="24"/>
          <w:lang w:val="en-GB"/>
        </w:rPr>
        <w:t xml:space="preserve"> that older patients sustaining low-energy trauma are at increased risk of under-triage and delayed access to specialist care (Caterino et al., 2011). These patients often lack the dramatic physiological derangement associated with major trauma, resulting in underestimation of severity and variability in decision-making. This highlights the need for a shift in clinical thinking, from a mechanistic model of trauma towards a more holistic and patient-centred approach.</w:t>
      </w:r>
    </w:p>
    <w:p w:rsidR="31407F2E" w:rsidP="599066E5" w:rsidRDefault="31407F2E" w14:paraId="46C76501" w14:textId="60F2CE5B">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Within WAST, these challenges are further compounded by operational pressures. The introduction of the Clinical Response Model has enabled a more clinically </w:t>
      </w:r>
      <w:r w:rsidRPr="599066E5" w:rsidR="31407F2E">
        <w:rPr>
          <w:rFonts w:ascii="Arial Nova" w:hAnsi="Arial Nova" w:eastAsia="Arial Nova" w:cs="Arial Nova"/>
          <w:noProof w:val="0"/>
          <w:sz w:val="24"/>
          <w:szCs w:val="24"/>
          <w:lang w:val="en-GB"/>
        </w:rPr>
        <w:t>appropriate prioritisation</w:t>
      </w:r>
      <w:r w:rsidRPr="599066E5" w:rsidR="31407F2E">
        <w:rPr>
          <w:rFonts w:ascii="Arial Nova" w:hAnsi="Arial Nova" w:eastAsia="Arial Nova" w:cs="Arial Nova"/>
          <w:noProof w:val="0"/>
          <w:sz w:val="24"/>
          <w:szCs w:val="24"/>
          <w:lang w:val="en-GB"/>
        </w:rPr>
        <w:t xml:space="preserve"> of resources, shifting the focus from response times to patient need (Senedd Research, 2017). While this </w:t>
      </w:r>
      <w:r w:rsidRPr="599066E5" w:rsidR="31407F2E">
        <w:rPr>
          <w:rFonts w:ascii="Arial Nova" w:hAnsi="Arial Nova" w:eastAsia="Arial Nova" w:cs="Arial Nova"/>
          <w:noProof w:val="0"/>
          <w:sz w:val="24"/>
          <w:szCs w:val="24"/>
          <w:lang w:val="en-GB"/>
        </w:rPr>
        <w:t>represents</w:t>
      </w:r>
      <w:r w:rsidRPr="599066E5" w:rsidR="31407F2E">
        <w:rPr>
          <w:rFonts w:ascii="Arial Nova" w:hAnsi="Arial Nova" w:eastAsia="Arial Nova" w:cs="Arial Nova"/>
          <w:noProof w:val="0"/>
          <w:sz w:val="24"/>
          <w:szCs w:val="24"/>
          <w:lang w:val="en-GB"/>
        </w:rPr>
        <w:t xml:space="preserve"> a positive development, it has also increased the cognitive demands placed on clinicians, who must balance risk, resource availability, and system pressures within a constrained environment. This creates a tension between clinical decision-making and operational efficiency, which may influence how risk is perceived and managed.</w:t>
      </w:r>
    </w:p>
    <w:p w:rsidR="31407F2E" w:rsidP="599066E5" w:rsidRDefault="31407F2E" w14:paraId="34BEED57" w14:textId="5913FDF7">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C</w:t>
      </w:r>
      <w:r w:rsidRPr="599066E5" w:rsidR="40480A90">
        <w:rPr>
          <w:rFonts w:ascii="Arial Nova" w:hAnsi="Arial Nova" w:eastAsia="Arial Nova" w:cs="Arial Nova"/>
          <w:noProof w:val="0"/>
          <w:sz w:val="24"/>
          <w:szCs w:val="24"/>
          <w:lang w:val="en-GB"/>
        </w:rPr>
        <w:t xml:space="preserve">ognitive processes heavily influence clinical decision making in this context. </w:t>
      </w:r>
      <w:r w:rsidRPr="599066E5" w:rsidR="31407F2E">
        <w:rPr>
          <w:rFonts w:ascii="Arial Nova" w:hAnsi="Arial Nova" w:eastAsia="Arial Nova" w:cs="Arial Nova"/>
          <w:noProof w:val="0"/>
          <w:sz w:val="24"/>
          <w:szCs w:val="24"/>
          <w:lang w:val="en-GB"/>
        </w:rPr>
        <w:t xml:space="preserve"> Dual-process theory provides a useful framework for understanding how clinicians make decisions, distinguishing between intuitive, rapid thinking and slower, analytical reasoning (Kahneman, 2011). In high-pressure environments such as pre-hospital care, intuitive thinking predominates due to its efficiency. However, this reliance on pattern recognition increases susceptibility to cognitive bias, particularly in complex or atypical cases.</w:t>
      </w:r>
    </w:p>
    <w:p w:rsidR="31407F2E" w:rsidP="599066E5" w:rsidRDefault="31407F2E" w14:paraId="6646D06C" w14:textId="0842478E">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Cognitive biases such as anchoring, confirmation bias, and availability bias have been widely </w:t>
      </w:r>
      <w:r w:rsidRPr="599066E5" w:rsidR="31407F2E">
        <w:rPr>
          <w:rFonts w:ascii="Arial Nova" w:hAnsi="Arial Nova" w:eastAsia="Arial Nova" w:cs="Arial Nova"/>
          <w:noProof w:val="0"/>
          <w:sz w:val="24"/>
          <w:szCs w:val="24"/>
          <w:lang w:val="en-GB"/>
        </w:rPr>
        <w:t>identified</w:t>
      </w:r>
      <w:r w:rsidRPr="599066E5" w:rsidR="31407F2E">
        <w:rPr>
          <w:rFonts w:ascii="Arial Nova" w:hAnsi="Arial Nova" w:eastAsia="Arial Nova" w:cs="Arial Nova"/>
          <w:noProof w:val="0"/>
          <w:sz w:val="24"/>
          <w:szCs w:val="24"/>
          <w:lang w:val="en-GB"/>
        </w:rPr>
        <w:t xml:space="preserve"> within clinical decision-making (</w:t>
      </w:r>
      <w:r w:rsidRPr="599066E5" w:rsidR="31407F2E">
        <w:rPr>
          <w:rFonts w:ascii="Arial Nova" w:hAnsi="Arial Nova" w:eastAsia="Arial Nova" w:cs="Arial Nova"/>
          <w:noProof w:val="0"/>
          <w:sz w:val="24"/>
          <w:szCs w:val="24"/>
          <w:lang w:val="en-GB"/>
        </w:rPr>
        <w:t>Croskerry</w:t>
      </w:r>
      <w:r w:rsidRPr="599066E5" w:rsidR="31407F2E">
        <w:rPr>
          <w:rFonts w:ascii="Arial Nova" w:hAnsi="Arial Nova" w:eastAsia="Arial Nova" w:cs="Arial Nova"/>
          <w:noProof w:val="0"/>
          <w:sz w:val="24"/>
          <w:szCs w:val="24"/>
          <w:lang w:val="en-GB"/>
        </w:rPr>
        <w:t xml:space="preserve">, 2003). Anchoring bias may lead clinicians to fixate on </w:t>
      </w:r>
      <w:r w:rsidRPr="599066E5" w:rsidR="31407F2E">
        <w:rPr>
          <w:rFonts w:ascii="Arial Nova" w:hAnsi="Arial Nova" w:eastAsia="Arial Nova" w:cs="Arial Nova"/>
          <w:noProof w:val="0"/>
          <w:sz w:val="24"/>
          <w:szCs w:val="24"/>
          <w:lang w:val="en-GB"/>
        </w:rPr>
        <w:t>an initial</w:t>
      </w:r>
      <w:r w:rsidRPr="599066E5" w:rsidR="31407F2E">
        <w:rPr>
          <w:rFonts w:ascii="Arial Nova" w:hAnsi="Arial Nova" w:eastAsia="Arial Nova" w:cs="Arial Nova"/>
          <w:noProof w:val="0"/>
          <w:sz w:val="24"/>
          <w:szCs w:val="24"/>
          <w:lang w:val="en-GB"/>
        </w:rPr>
        <w:t xml:space="preserve"> impression, such as a low-energy mechanism, and </w:t>
      </w:r>
      <w:r w:rsidRPr="599066E5" w:rsidR="31407F2E">
        <w:rPr>
          <w:rFonts w:ascii="Arial Nova" w:hAnsi="Arial Nova" w:eastAsia="Arial Nova" w:cs="Arial Nova"/>
          <w:noProof w:val="0"/>
          <w:sz w:val="24"/>
          <w:szCs w:val="24"/>
          <w:lang w:val="en-GB"/>
        </w:rPr>
        <w:t>fail to</w:t>
      </w:r>
      <w:r w:rsidRPr="599066E5" w:rsidR="31407F2E">
        <w:rPr>
          <w:rFonts w:ascii="Arial Nova" w:hAnsi="Arial Nova" w:eastAsia="Arial Nova" w:cs="Arial Nova"/>
          <w:noProof w:val="0"/>
          <w:sz w:val="24"/>
          <w:szCs w:val="24"/>
          <w:lang w:val="en-GB"/>
        </w:rPr>
        <w:t xml:space="preserve"> adjust their assessment when </w:t>
      </w:r>
      <w:r w:rsidRPr="599066E5" w:rsidR="31407F2E">
        <w:rPr>
          <w:rFonts w:ascii="Arial Nova" w:hAnsi="Arial Nova" w:eastAsia="Arial Nova" w:cs="Arial Nova"/>
          <w:noProof w:val="0"/>
          <w:sz w:val="24"/>
          <w:szCs w:val="24"/>
          <w:lang w:val="en-GB"/>
        </w:rPr>
        <w:t>new information</w:t>
      </w:r>
      <w:r w:rsidRPr="599066E5" w:rsidR="31407F2E">
        <w:rPr>
          <w:rFonts w:ascii="Arial Nova" w:hAnsi="Arial Nova" w:eastAsia="Arial Nova" w:cs="Arial Nova"/>
          <w:noProof w:val="0"/>
          <w:sz w:val="24"/>
          <w:szCs w:val="24"/>
          <w:lang w:val="en-GB"/>
        </w:rPr>
        <w:t xml:space="preserve"> becomes available. Confirmation bias may result in </w:t>
      </w:r>
      <w:r w:rsidRPr="599066E5" w:rsidR="6A6278A5">
        <w:rPr>
          <w:rFonts w:ascii="Arial Nova" w:hAnsi="Arial Nova" w:eastAsia="Arial Nova" w:cs="Arial Nova"/>
          <w:noProof w:val="0"/>
          <w:sz w:val="24"/>
          <w:szCs w:val="24"/>
          <w:lang w:val="en-GB"/>
        </w:rPr>
        <w:t xml:space="preserve">the </w:t>
      </w:r>
      <w:r w:rsidRPr="599066E5" w:rsidR="31407F2E">
        <w:rPr>
          <w:rFonts w:ascii="Arial Nova" w:hAnsi="Arial Nova" w:eastAsia="Arial Nova" w:cs="Arial Nova"/>
          <w:noProof w:val="0"/>
          <w:sz w:val="24"/>
          <w:szCs w:val="24"/>
          <w:lang w:val="en-GB"/>
        </w:rPr>
        <w:t>selective interpretation of clinical findings that supp</w:t>
      </w:r>
      <w:r w:rsidRPr="599066E5" w:rsidR="31407F2E">
        <w:rPr>
          <w:rFonts w:ascii="Arial Nova" w:hAnsi="Arial Nova" w:eastAsia="Arial Nova" w:cs="Arial Nova"/>
          <w:noProof w:val="0"/>
          <w:sz w:val="24"/>
          <w:szCs w:val="24"/>
          <w:lang w:val="en-GB"/>
        </w:rPr>
        <w:t xml:space="preserve">ort </w:t>
      </w:r>
      <w:r w:rsidRPr="599066E5" w:rsidR="31407F2E">
        <w:rPr>
          <w:rFonts w:ascii="Arial Nova" w:hAnsi="Arial Nova" w:eastAsia="Arial Nova" w:cs="Arial Nova"/>
          <w:noProof w:val="0"/>
          <w:sz w:val="24"/>
          <w:szCs w:val="24"/>
          <w:lang w:val="en-GB"/>
        </w:rPr>
        <w:t>an ini</w:t>
      </w:r>
      <w:r w:rsidRPr="599066E5" w:rsidR="31407F2E">
        <w:rPr>
          <w:rFonts w:ascii="Arial Nova" w:hAnsi="Arial Nova" w:eastAsia="Arial Nova" w:cs="Arial Nova"/>
          <w:noProof w:val="0"/>
          <w:sz w:val="24"/>
          <w:szCs w:val="24"/>
          <w:lang w:val="en-GB"/>
        </w:rPr>
        <w:t>tial</w:t>
      </w:r>
      <w:r w:rsidRPr="599066E5" w:rsidR="31407F2E">
        <w:rPr>
          <w:rFonts w:ascii="Arial Nova" w:hAnsi="Arial Nova" w:eastAsia="Arial Nova" w:cs="Arial Nova"/>
          <w:noProof w:val="0"/>
          <w:sz w:val="24"/>
          <w:szCs w:val="24"/>
          <w:lang w:val="en-GB"/>
        </w:rPr>
        <w:t xml:space="preserve"> judgement, while availability bias may influence decision-making based on recent experiences rather than objective assessment. These biases are inherent to human cognition and are particularly pronounced in environments characterised by uncertainty and time pressure.</w:t>
      </w:r>
    </w:p>
    <w:p w:rsidR="1729F8ED" w:rsidP="599066E5" w:rsidRDefault="1729F8ED" w14:paraId="769FE553" w14:textId="14F51645">
      <w:pPr>
        <w:spacing w:before="240" w:beforeAutospacing="off" w:after="240" w:afterAutospacing="off"/>
        <w:rPr>
          <w:rFonts w:ascii="Arial Nova" w:hAnsi="Arial Nova" w:eastAsia="Arial Nova" w:cs="Arial Nova"/>
          <w:noProof w:val="0"/>
          <w:sz w:val="24"/>
          <w:szCs w:val="24"/>
          <w:lang w:val="en-GB"/>
        </w:rPr>
      </w:pPr>
      <w:r w:rsidRPr="599066E5" w:rsidR="1729F8ED">
        <w:rPr>
          <w:rFonts w:ascii="Arial Nova" w:hAnsi="Arial Nova" w:eastAsia="Arial Nova" w:cs="Arial Nova"/>
          <w:noProof w:val="0"/>
          <w:sz w:val="24"/>
          <w:szCs w:val="24"/>
          <w:lang w:val="en-GB"/>
        </w:rPr>
        <w:t xml:space="preserve">An </w:t>
      </w:r>
      <w:r w:rsidRPr="599066E5" w:rsidR="1729F8ED">
        <w:rPr>
          <w:rFonts w:ascii="Arial Nova" w:hAnsi="Arial Nova" w:eastAsia="Arial Nova" w:cs="Arial Nova"/>
          <w:noProof w:val="0"/>
          <w:sz w:val="24"/>
          <w:szCs w:val="24"/>
          <w:lang w:val="en-GB"/>
        </w:rPr>
        <w:t>additional</w:t>
      </w:r>
      <w:r w:rsidRPr="599066E5" w:rsidR="1729F8ED">
        <w:rPr>
          <w:rFonts w:ascii="Arial Nova" w:hAnsi="Arial Nova" w:eastAsia="Arial Nova" w:cs="Arial Nova"/>
          <w:noProof w:val="0"/>
          <w:sz w:val="24"/>
          <w:szCs w:val="24"/>
          <w:lang w:val="en-GB"/>
        </w:rPr>
        <w:t xml:space="preserve"> dimension of decision-making within pre-hospital care is the concept of risk tolerance and its influence on clinical judgement. Within WAST, clinicians are </w:t>
      </w:r>
      <w:r w:rsidRPr="599066E5" w:rsidR="1729F8ED">
        <w:rPr>
          <w:rFonts w:ascii="Arial Nova" w:hAnsi="Arial Nova" w:eastAsia="Arial Nova" w:cs="Arial Nova"/>
          <w:noProof w:val="0"/>
          <w:sz w:val="24"/>
          <w:szCs w:val="24"/>
          <w:lang w:val="en-GB"/>
        </w:rPr>
        <w:t>frequently</w:t>
      </w:r>
      <w:r w:rsidRPr="599066E5" w:rsidR="1729F8ED">
        <w:rPr>
          <w:rFonts w:ascii="Arial Nova" w:hAnsi="Arial Nova" w:eastAsia="Arial Nova" w:cs="Arial Nova"/>
          <w:noProof w:val="0"/>
          <w:sz w:val="24"/>
          <w:szCs w:val="24"/>
          <w:lang w:val="en-GB"/>
        </w:rPr>
        <w:t xml:space="preserve"> required to make decisions that balance the risks of under-triage against the pressures of over-triage within an already strained system. This creates a dynamic where individual </w:t>
      </w:r>
      <w:r w:rsidRPr="599066E5" w:rsidR="1729F8ED">
        <w:rPr>
          <w:rFonts w:ascii="Arial Nova" w:hAnsi="Arial Nova" w:eastAsia="Arial Nova" w:cs="Arial Nova"/>
          <w:noProof w:val="0"/>
          <w:sz w:val="24"/>
          <w:szCs w:val="24"/>
          <w:lang w:val="en-GB"/>
        </w:rPr>
        <w:t>perceptions</w:t>
      </w:r>
      <w:r w:rsidRPr="599066E5" w:rsidR="1729F8ED">
        <w:rPr>
          <w:rFonts w:ascii="Arial Nova" w:hAnsi="Arial Nova" w:eastAsia="Arial Nova" w:cs="Arial Nova"/>
          <w:noProof w:val="0"/>
          <w:sz w:val="24"/>
          <w:szCs w:val="24"/>
          <w:lang w:val="en-GB"/>
        </w:rPr>
        <w:t xml:space="preserve"> of risk may influence decision-making, leading to variation in practice. For example, clinicians may adopt a more conservative approach in uncertain cases, escalating patients to higher levels of care, while others may rely on experience to justify non-escalation.</w:t>
      </w:r>
    </w:p>
    <w:p w:rsidR="1729F8ED" w:rsidP="599066E5" w:rsidRDefault="1729F8ED" w14:paraId="2B542E74" w14:textId="4E98E901">
      <w:pPr>
        <w:spacing w:before="240" w:beforeAutospacing="off" w:after="240" w:afterAutospacing="off"/>
        <w:rPr>
          <w:rFonts w:ascii="Arial Nova" w:hAnsi="Arial Nova" w:eastAsia="Arial Nova" w:cs="Arial Nova"/>
          <w:noProof w:val="0"/>
          <w:sz w:val="24"/>
          <w:szCs w:val="24"/>
          <w:lang w:val="en-GB"/>
        </w:rPr>
      </w:pPr>
      <w:r w:rsidRPr="599066E5" w:rsidR="1729F8ED">
        <w:rPr>
          <w:rFonts w:ascii="Arial Nova" w:hAnsi="Arial Nova" w:eastAsia="Arial Nova" w:cs="Arial Nova"/>
          <w:noProof w:val="0"/>
          <w:sz w:val="24"/>
          <w:szCs w:val="24"/>
          <w:lang w:val="en-GB"/>
        </w:rPr>
        <w:t xml:space="preserve">This variation is further influenced by organisational expectations and performance pressures. Ambulance services </w:t>
      </w:r>
      <w:r w:rsidRPr="599066E5" w:rsidR="1729F8ED">
        <w:rPr>
          <w:rFonts w:ascii="Arial Nova" w:hAnsi="Arial Nova" w:eastAsia="Arial Nova" w:cs="Arial Nova"/>
          <w:noProof w:val="0"/>
          <w:sz w:val="24"/>
          <w:szCs w:val="24"/>
          <w:lang w:val="en-GB"/>
        </w:rPr>
        <w:t>operate</w:t>
      </w:r>
      <w:r w:rsidRPr="599066E5" w:rsidR="1729F8ED">
        <w:rPr>
          <w:rFonts w:ascii="Arial Nova" w:hAnsi="Arial Nova" w:eastAsia="Arial Nova" w:cs="Arial Nova"/>
          <w:noProof w:val="0"/>
          <w:sz w:val="24"/>
          <w:szCs w:val="24"/>
          <w:lang w:val="en-GB"/>
        </w:rPr>
        <w:t xml:space="preserve"> within systems that are often measured against efficiency metrics, such as response times and hospital handover delays. While these metrics are important, they may inadvertently influence clinical decision-making, particularly where clinicians perceive pressure to </w:t>
      </w:r>
      <w:r w:rsidRPr="599066E5" w:rsidR="1729F8ED">
        <w:rPr>
          <w:rFonts w:ascii="Arial Nova" w:hAnsi="Arial Nova" w:eastAsia="Arial Nova" w:cs="Arial Nova"/>
          <w:noProof w:val="0"/>
          <w:sz w:val="24"/>
          <w:szCs w:val="24"/>
          <w:lang w:val="en-GB"/>
        </w:rPr>
        <w:t>maintain</w:t>
      </w:r>
      <w:r w:rsidRPr="599066E5" w:rsidR="1729F8ED">
        <w:rPr>
          <w:rFonts w:ascii="Arial Nova" w:hAnsi="Arial Nova" w:eastAsia="Arial Nova" w:cs="Arial Nova"/>
          <w:noProof w:val="0"/>
          <w:sz w:val="24"/>
          <w:szCs w:val="24"/>
          <w:lang w:val="en-GB"/>
        </w:rPr>
        <w:t xml:space="preserve"> system flow. This can result in a tension between clinical judgement and operational priorities, where decisions are shaped not only by patient need but by the wider system context.</w:t>
      </w:r>
    </w:p>
    <w:p w:rsidR="1729F8ED" w:rsidP="599066E5" w:rsidRDefault="1729F8ED" w14:paraId="1AB7C91D" w14:textId="52E84956">
      <w:pPr>
        <w:pStyle w:val="Normal"/>
        <w:suppressLineNumbers w:val="0"/>
        <w:bidi w:val="0"/>
        <w:spacing w:before="240" w:beforeAutospacing="off" w:after="240" w:afterAutospacing="off" w:line="279" w:lineRule="auto"/>
        <w:ind w:left="0" w:right="0"/>
        <w:jc w:val="left"/>
        <w:rPr>
          <w:rFonts w:ascii="Arial Nova" w:hAnsi="Arial Nova" w:eastAsia="Arial Nova" w:cs="Arial Nova"/>
          <w:noProof w:val="0"/>
          <w:sz w:val="24"/>
          <w:szCs w:val="24"/>
          <w:lang w:val="en-GB"/>
        </w:rPr>
      </w:pPr>
      <w:r w:rsidRPr="599066E5" w:rsidR="1729F8ED">
        <w:rPr>
          <w:rFonts w:ascii="Arial Nova" w:hAnsi="Arial Nova" w:eastAsia="Arial Nova" w:cs="Arial Nova"/>
          <w:noProof w:val="0"/>
          <w:sz w:val="24"/>
          <w:szCs w:val="24"/>
          <w:lang w:val="en-GB"/>
        </w:rPr>
        <w:t xml:space="preserve">The concept of “normalisation of deviance” is also relevant in this context, where repeated exposure to suboptimal conditions leads to the gradual acceptance of practices that deviate from established standards. Within high-pressure environments, </w:t>
      </w:r>
      <w:r w:rsidRPr="599066E5" w:rsidR="4AAB377F">
        <w:rPr>
          <w:rFonts w:ascii="Arial Nova" w:hAnsi="Arial Nova" w:eastAsia="Arial Nova" w:cs="Arial Nova"/>
          <w:noProof w:val="0"/>
          <w:sz w:val="24"/>
          <w:szCs w:val="24"/>
          <w:lang w:val="en-GB"/>
        </w:rPr>
        <w:t>Clinicians</w:t>
      </w:r>
      <w:r w:rsidRPr="599066E5" w:rsidR="1729F8ED">
        <w:rPr>
          <w:rFonts w:ascii="Arial Nova" w:hAnsi="Arial Nova" w:eastAsia="Arial Nova" w:cs="Arial Nova"/>
          <w:noProof w:val="0"/>
          <w:sz w:val="24"/>
          <w:szCs w:val="24"/>
          <w:lang w:val="en-GB"/>
        </w:rPr>
        <w:t xml:space="preserve"> may adapt their decision-making to align with operational realities, potentially increasing variability in practice. This highlights the importance of organisational awareness and governance in supporting safe and consistent decision-making.</w:t>
      </w:r>
    </w:p>
    <w:p w:rsidR="31407F2E" w:rsidP="599066E5" w:rsidRDefault="31407F2E" w14:paraId="5376058E" w14:textId="7B9AFF51">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Environmental and organisational factors further </w:t>
      </w:r>
      <w:r w:rsidRPr="599066E5" w:rsidR="31407F2E">
        <w:rPr>
          <w:rFonts w:ascii="Arial Nova" w:hAnsi="Arial Nova" w:eastAsia="Arial Nova" w:cs="Arial Nova"/>
          <w:noProof w:val="0"/>
          <w:sz w:val="24"/>
          <w:szCs w:val="24"/>
          <w:lang w:val="en-GB"/>
        </w:rPr>
        <w:t>exacerbate</w:t>
      </w:r>
      <w:r w:rsidRPr="599066E5" w:rsidR="31407F2E">
        <w:rPr>
          <w:rFonts w:ascii="Arial Nova" w:hAnsi="Arial Nova" w:eastAsia="Arial Nova" w:cs="Arial Nova"/>
          <w:noProof w:val="0"/>
          <w:sz w:val="24"/>
          <w:szCs w:val="24"/>
          <w:lang w:val="en-GB"/>
        </w:rPr>
        <w:t xml:space="preserve"> these cognitive challenges. High workload, time pressure, and frequent interruptions increase cognitive load, reducing the capacity for reflective reasoning and reinforcing reliance on intuitive processes (Norman et al., 2017). Within WAST, clinicians </w:t>
      </w:r>
      <w:r w:rsidRPr="599066E5" w:rsidR="31407F2E">
        <w:rPr>
          <w:rFonts w:ascii="Arial Nova" w:hAnsi="Arial Nova" w:eastAsia="Arial Nova" w:cs="Arial Nova"/>
          <w:noProof w:val="0"/>
          <w:sz w:val="24"/>
          <w:szCs w:val="24"/>
          <w:lang w:val="en-GB"/>
        </w:rPr>
        <w:t>frequently</w:t>
      </w:r>
      <w:r w:rsidRPr="599066E5" w:rsidR="31407F2E">
        <w:rPr>
          <w:rFonts w:ascii="Arial Nova" w:hAnsi="Arial Nova" w:eastAsia="Arial Nova" w:cs="Arial Nova"/>
          <w:noProof w:val="0"/>
          <w:sz w:val="24"/>
          <w:szCs w:val="24"/>
          <w:lang w:val="en-GB"/>
        </w:rPr>
        <w:t xml:space="preserve"> </w:t>
      </w:r>
      <w:r w:rsidRPr="599066E5" w:rsidR="31407F2E">
        <w:rPr>
          <w:rFonts w:ascii="Arial Nova" w:hAnsi="Arial Nova" w:eastAsia="Arial Nova" w:cs="Arial Nova"/>
          <w:noProof w:val="0"/>
          <w:sz w:val="24"/>
          <w:szCs w:val="24"/>
          <w:lang w:val="en-GB"/>
        </w:rPr>
        <w:t>operate</w:t>
      </w:r>
      <w:r w:rsidRPr="599066E5" w:rsidR="31407F2E">
        <w:rPr>
          <w:rFonts w:ascii="Arial Nova" w:hAnsi="Arial Nova" w:eastAsia="Arial Nova" w:cs="Arial Nova"/>
          <w:noProof w:val="0"/>
          <w:sz w:val="24"/>
          <w:szCs w:val="24"/>
          <w:lang w:val="en-GB"/>
        </w:rPr>
        <w:t xml:space="preserve"> under conditions of sustained demand and system pressure, which may limit opportunities for comprehensive assessment and reflection. This creates an environment in which variability in decision-making is not only likely but inevitable.</w:t>
      </w:r>
    </w:p>
    <w:p w:rsidR="12ACAD67" w:rsidP="599066E5" w:rsidRDefault="12ACAD67" w14:paraId="6CD3082F" w14:textId="373CC71C">
      <w:pPr>
        <w:spacing w:before="240" w:beforeAutospacing="off" w:after="240" w:afterAutospacing="off"/>
        <w:rPr>
          <w:rFonts w:ascii="Arial Nova" w:hAnsi="Arial Nova" w:eastAsia="Arial Nova" w:cs="Arial Nova"/>
          <w:noProof w:val="0"/>
          <w:sz w:val="24"/>
          <w:szCs w:val="24"/>
          <w:lang w:val="en-GB"/>
        </w:rPr>
      </w:pPr>
      <w:r w:rsidRPr="599066E5" w:rsidR="12ACAD67">
        <w:rPr>
          <w:rFonts w:ascii="Arial Nova" w:hAnsi="Arial Nova" w:eastAsia="Arial Nova" w:cs="Arial Nova"/>
          <w:noProof w:val="0"/>
          <w:sz w:val="24"/>
          <w:szCs w:val="24"/>
          <w:lang w:val="en-GB"/>
        </w:rPr>
        <w:t xml:space="preserve">While dual-process theory provides a useful framework for understanding clinical reasoning, it is important to recognise that decision-making within pre-hospital care does not occur in isolation. Rather, it is shaped by a complex interplay of individual cognition, team dynamics, and organisational context. Within WAST, clinicians </w:t>
      </w:r>
      <w:r w:rsidRPr="599066E5" w:rsidR="12ACAD67">
        <w:rPr>
          <w:rFonts w:ascii="Arial Nova" w:hAnsi="Arial Nova" w:eastAsia="Arial Nova" w:cs="Arial Nova"/>
          <w:noProof w:val="0"/>
          <w:sz w:val="24"/>
          <w:szCs w:val="24"/>
          <w:lang w:val="en-GB"/>
        </w:rPr>
        <w:t>frequently</w:t>
      </w:r>
      <w:r w:rsidRPr="599066E5" w:rsidR="12ACAD67">
        <w:rPr>
          <w:rFonts w:ascii="Arial Nova" w:hAnsi="Arial Nova" w:eastAsia="Arial Nova" w:cs="Arial Nova"/>
          <w:noProof w:val="0"/>
          <w:sz w:val="24"/>
          <w:szCs w:val="24"/>
          <w:lang w:val="en-GB"/>
        </w:rPr>
        <w:t xml:space="preserve"> </w:t>
      </w:r>
      <w:r w:rsidRPr="599066E5" w:rsidR="12ACAD67">
        <w:rPr>
          <w:rFonts w:ascii="Arial Nova" w:hAnsi="Arial Nova" w:eastAsia="Arial Nova" w:cs="Arial Nova"/>
          <w:noProof w:val="0"/>
          <w:sz w:val="24"/>
          <w:szCs w:val="24"/>
          <w:lang w:val="en-GB"/>
        </w:rPr>
        <w:t>operate</w:t>
      </w:r>
      <w:r w:rsidRPr="599066E5" w:rsidR="12ACAD67">
        <w:rPr>
          <w:rFonts w:ascii="Arial Nova" w:hAnsi="Arial Nova" w:eastAsia="Arial Nova" w:cs="Arial Nova"/>
          <w:noProof w:val="0"/>
          <w:sz w:val="24"/>
          <w:szCs w:val="24"/>
          <w:lang w:val="en-GB"/>
        </w:rPr>
        <w:t xml:space="preserve"> within crews, where decision-making is shared, negotiated, and influenced by the experience and confidence of colleagues. This introduces an </w:t>
      </w:r>
      <w:r w:rsidRPr="599066E5" w:rsidR="12ACAD67">
        <w:rPr>
          <w:rFonts w:ascii="Arial Nova" w:hAnsi="Arial Nova" w:eastAsia="Arial Nova" w:cs="Arial Nova"/>
          <w:noProof w:val="0"/>
          <w:sz w:val="24"/>
          <w:szCs w:val="24"/>
          <w:lang w:val="en-GB"/>
        </w:rPr>
        <w:t>additional</w:t>
      </w:r>
      <w:r w:rsidRPr="599066E5" w:rsidR="12ACAD67">
        <w:rPr>
          <w:rFonts w:ascii="Arial Nova" w:hAnsi="Arial Nova" w:eastAsia="Arial Nova" w:cs="Arial Nova"/>
          <w:noProof w:val="0"/>
          <w:sz w:val="24"/>
          <w:szCs w:val="24"/>
          <w:lang w:val="en-GB"/>
        </w:rPr>
        <w:t xml:space="preserve"> layer of complexity, as decisions may be shaped not only by individual judgement but by group dynamics, hierarchy, and communication.</w:t>
      </w:r>
    </w:p>
    <w:p w:rsidR="12ACAD67" w:rsidP="599066E5" w:rsidRDefault="12ACAD67" w14:paraId="0ED67536" w14:textId="2E865453">
      <w:pPr>
        <w:spacing w:before="240" w:beforeAutospacing="off" w:after="240" w:afterAutospacing="off"/>
        <w:rPr>
          <w:rFonts w:ascii="Arial Nova" w:hAnsi="Arial Nova" w:eastAsia="Arial Nova" w:cs="Arial Nova"/>
          <w:noProof w:val="0"/>
          <w:sz w:val="24"/>
          <w:szCs w:val="24"/>
          <w:lang w:val="en-GB"/>
        </w:rPr>
      </w:pPr>
      <w:r w:rsidRPr="599066E5" w:rsidR="12ACAD67">
        <w:rPr>
          <w:rFonts w:ascii="Arial Nova" w:hAnsi="Arial Nova" w:eastAsia="Arial Nova" w:cs="Arial Nova"/>
          <w:noProof w:val="0"/>
          <w:sz w:val="24"/>
          <w:szCs w:val="24"/>
          <w:lang w:val="en-GB"/>
        </w:rPr>
        <w:t xml:space="preserve">The concept of distributed cognition is particularly relevant in this context, suggesting that cognitive processes are shared across individuals and environments rather than </w:t>
      </w:r>
      <w:r w:rsidRPr="599066E5" w:rsidR="12ACAD67">
        <w:rPr>
          <w:rFonts w:ascii="Arial Nova" w:hAnsi="Arial Nova" w:eastAsia="Arial Nova" w:cs="Arial Nova"/>
          <w:noProof w:val="0"/>
          <w:sz w:val="24"/>
          <w:szCs w:val="24"/>
          <w:lang w:val="en-GB"/>
        </w:rPr>
        <w:t>residing</w:t>
      </w:r>
      <w:r w:rsidRPr="599066E5" w:rsidR="12ACAD67">
        <w:rPr>
          <w:rFonts w:ascii="Arial Nova" w:hAnsi="Arial Nova" w:eastAsia="Arial Nova" w:cs="Arial Nova"/>
          <w:noProof w:val="0"/>
          <w:sz w:val="24"/>
          <w:szCs w:val="24"/>
          <w:lang w:val="en-GB"/>
        </w:rPr>
        <w:t xml:space="preserve"> solely within the individual clinician (Hutchins, 1995). This highlights the importance of communication and teamworking in supporting effective decision-making, particularly in complex cases such as trauma recognition. For example, discussion between crew members may prompt reconsideration of </w:t>
      </w:r>
      <w:r w:rsidRPr="599066E5" w:rsidR="12ACAD67">
        <w:rPr>
          <w:rFonts w:ascii="Arial Nova" w:hAnsi="Arial Nova" w:eastAsia="Arial Nova" w:cs="Arial Nova"/>
          <w:noProof w:val="0"/>
          <w:sz w:val="24"/>
          <w:szCs w:val="24"/>
          <w:lang w:val="en-GB"/>
        </w:rPr>
        <w:t>an initial</w:t>
      </w:r>
      <w:r w:rsidRPr="599066E5" w:rsidR="12ACAD67">
        <w:rPr>
          <w:rFonts w:ascii="Arial Nova" w:hAnsi="Arial Nova" w:eastAsia="Arial Nova" w:cs="Arial Nova"/>
          <w:noProof w:val="0"/>
          <w:sz w:val="24"/>
          <w:szCs w:val="24"/>
          <w:lang w:val="en-GB"/>
        </w:rPr>
        <w:t xml:space="preserve"> assessment, thereby mitigating the effects of cognitive bias.</w:t>
      </w:r>
    </w:p>
    <w:p w:rsidR="12ACAD67" w:rsidP="599066E5" w:rsidRDefault="12ACAD67" w14:paraId="30098036" w14:textId="2CC24092">
      <w:pPr>
        <w:spacing w:before="240" w:beforeAutospacing="off" w:after="240" w:afterAutospacing="off"/>
        <w:rPr>
          <w:rFonts w:ascii="Arial Nova" w:hAnsi="Arial Nova" w:eastAsia="Arial Nova" w:cs="Arial Nova"/>
          <w:noProof w:val="0"/>
          <w:sz w:val="24"/>
          <w:szCs w:val="24"/>
          <w:lang w:val="en-GB"/>
        </w:rPr>
      </w:pPr>
      <w:r w:rsidRPr="599066E5" w:rsidR="12ACAD67">
        <w:rPr>
          <w:rFonts w:ascii="Arial Nova" w:hAnsi="Arial Nova" w:eastAsia="Arial Nova" w:cs="Arial Nova"/>
          <w:noProof w:val="0"/>
          <w:sz w:val="24"/>
          <w:szCs w:val="24"/>
          <w:lang w:val="en-GB"/>
        </w:rPr>
        <w:t>However, team-based decision-making is not without its challenges. Hierarchical dynamics may inhibit open communication, particularly where less experienced clinicians feel unable to challenge more senior colleagues. This may reinforce cognitive bias rather than mitigate it, particularly if initial assumptions are not questioned. Within healthcare, this phenomenon has been linked to failures in escalation and communication breakdown (Edmondson, 2004).</w:t>
      </w:r>
    </w:p>
    <w:p w:rsidR="12ACAD67" w:rsidP="599066E5" w:rsidRDefault="12ACAD67" w14:paraId="25911184" w14:textId="35AD7DCD">
      <w:pPr>
        <w:spacing w:before="240" w:beforeAutospacing="off" w:after="240" w:afterAutospacing="off"/>
        <w:rPr>
          <w:rFonts w:ascii="Arial Nova" w:hAnsi="Arial Nova" w:eastAsia="Arial Nova" w:cs="Arial Nova"/>
          <w:noProof w:val="0"/>
          <w:sz w:val="24"/>
          <w:szCs w:val="24"/>
          <w:lang w:val="en-GB"/>
        </w:rPr>
      </w:pPr>
      <w:r w:rsidRPr="599066E5" w:rsidR="12ACAD67">
        <w:rPr>
          <w:rFonts w:ascii="Arial Nova" w:hAnsi="Arial Nova" w:eastAsia="Arial Nova" w:cs="Arial Nova"/>
          <w:noProof w:val="0"/>
          <w:sz w:val="24"/>
          <w:szCs w:val="24"/>
          <w:lang w:val="en-GB"/>
        </w:rPr>
        <w:t xml:space="preserve">Another important consideration is the role of fatigue and emotional labour in decision-making. Pre-hospital clinicians are </w:t>
      </w:r>
      <w:r w:rsidRPr="599066E5" w:rsidR="12ACAD67">
        <w:rPr>
          <w:rFonts w:ascii="Arial Nova" w:hAnsi="Arial Nova" w:eastAsia="Arial Nova" w:cs="Arial Nova"/>
          <w:noProof w:val="0"/>
          <w:sz w:val="24"/>
          <w:szCs w:val="24"/>
          <w:lang w:val="en-GB"/>
        </w:rPr>
        <w:t>frequently</w:t>
      </w:r>
      <w:r w:rsidRPr="599066E5" w:rsidR="12ACAD67">
        <w:rPr>
          <w:rFonts w:ascii="Arial Nova" w:hAnsi="Arial Nova" w:eastAsia="Arial Nova" w:cs="Arial Nova"/>
          <w:noProof w:val="0"/>
          <w:sz w:val="24"/>
          <w:szCs w:val="24"/>
          <w:lang w:val="en-GB"/>
        </w:rPr>
        <w:t xml:space="preserve"> exposed to high-stress situations, long shifts, and emotionally demanding cases, all of which can </w:t>
      </w:r>
      <w:r w:rsidRPr="599066E5" w:rsidR="12ACAD67">
        <w:rPr>
          <w:rFonts w:ascii="Arial Nova" w:hAnsi="Arial Nova" w:eastAsia="Arial Nova" w:cs="Arial Nova"/>
          <w:noProof w:val="0"/>
          <w:sz w:val="24"/>
          <w:szCs w:val="24"/>
          <w:lang w:val="en-GB"/>
        </w:rPr>
        <w:t>impact</w:t>
      </w:r>
      <w:r w:rsidRPr="599066E5" w:rsidR="12ACAD67">
        <w:rPr>
          <w:rFonts w:ascii="Arial Nova" w:hAnsi="Arial Nova" w:eastAsia="Arial Nova" w:cs="Arial Nova"/>
          <w:noProof w:val="0"/>
          <w:sz w:val="24"/>
          <w:szCs w:val="24"/>
          <w:lang w:val="en-GB"/>
        </w:rPr>
        <w:t xml:space="preserve"> cognitive performance. Fatigue has been shown to impair attention, memory, and decision-making, increasing reliance on heuristic thinking and reducing the ability to engage in analytical reasoning (West et al., 2009). This further contributes to variability in practice and highlights the importance of system-level support.</w:t>
      </w:r>
    </w:p>
    <w:p w:rsidR="12ACAD67" w:rsidP="599066E5" w:rsidRDefault="12ACAD67" w14:paraId="5DCE9852" w14:textId="7B60B150">
      <w:pPr>
        <w:spacing w:before="240" w:beforeAutospacing="off" w:after="240" w:afterAutospacing="off"/>
        <w:rPr>
          <w:rFonts w:ascii="Arial Nova" w:hAnsi="Arial Nova" w:eastAsia="Arial Nova" w:cs="Arial Nova"/>
          <w:noProof w:val="0"/>
          <w:sz w:val="24"/>
          <w:szCs w:val="24"/>
          <w:lang w:val="en-GB"/>
        </w:rPr>
      </w:pPr>
      <w:r w:rsidRPr="599066E5" w:rsidR="12ACAD67">
        <w:rPr>
          <w:rFonts w:ascii="Arial Nova" w:hAnsi="Arial Nova" w:eastAsia="Arial Nova" w:cs="Arial Nova"/>
          <w:noProof w:val="0"/>
          <w:sz w:val="24"/>
          <w:szCs w:val="24"/>
          <w:lang w:val="en-GB"/>
        </w:rPr>
        <w:t xml:space="preserve">The introduction of a trauma recognition aid can therefore be understood not only as a cognitive support tool but as a mechanism to support shared decision-making within teams. By providing a common framework, the tool may </w:t>
      </w:r>
      <w:r w:rsidRPr="599066E5" w:rsidR="12ACAD67">
        <w:rPr>
          <w:rFonts w:ascii="Arial Nova" w:hAnsi="Arial Nova" w:eastAsia="Arial Nova" w:cs="Arial Nova"/>
          <w:noProof w:val="0"/>
          <w:sz w:val="24"/>
          <w:szCs w:val="24"/>
          <w:lang w:val="en-GB"/>
        </w:rPr>
        <w:t>facilitate</w:t>
      </w:r>
      <w:r w:rsidRPr="599066E5" w:rsidR="12ACAD67">
        <w:rPr>
          <w:rFonts w:ascii="Arial Nova" w:hAnsi="Arial Nova" w:eastAsia="Arial Nova" w:cs="Arial Nova"/>
          <w:noProof w:val="0"/>
          <w:sz w:val="24"/>
          <w:szCs w:val="24"/>
          <w:lang w:val="en-GB"/>
        </w:rPr>
        <w:t xml:space="preserve"> discussion, promote consistency, and reduce the influence of individual bias. However, its effectiveness is dependent on how it is used within the team context, reinforcing the importance of training, communication, and leadership.</w:t>
      </w:r>
    </w:p>
    <w:p w:rsidR="5922C7EB" w:rsidP="599066E5" w:rsidRDefault="5922C7EB" w14:paraId="1AC053A4" w14:textId="43DA0B97">
      <w:pPr>
        <w:spacing w:before="240" w:beforeAutospacing="off" w:after="240" w:afterAutospacing="off"/>
        <w:rPr>
          <w:rFonts w:ascii="Arial Nova" w:hAnsi="Arial Nova" w:eastAsia="Arial Nova" w:cs="Arial Nova"/>
          <w:noProof w:val="0"/>
          <w:sz w:val="24"/>
          <w:szCs w:val="24"/>
          <w:lang w:val="en-GB"/>
        </w:rPr>
      </w:pPr>
      <w:r w:rsidRPr="599066E5" w:rsidR="5922C7EB">
        <w:rPr>
          <w:rFonts w:ascii="Arial Nova" w:hAnsi="Arial Nova" w:eastAsia="Arial Nova" w:cs="Arial Nova"/>
          <w:noProof w:val="0"/>
          <w:sz w:val="24"/>
          <w:szCs w:val="24"/>
          <w:lang w:val="en-GB"/>
        </w:rPr>
        <w:t>The trauma recognition aid can therefore be understood as a mechanism to reduce variability in risk assessment by providing a structured reference point. By standardising key elements of assessment, the tool supports more consistent evaluation of risk while still allowing for clinical judgement. However, its effectiveness is dependent on how it is integrated into practice and the extent to which clinicians perceive it as adding value rather than increasing workload.</w:t>
      </w:r>
    </w:p>
    <w:p w:rsidR="31407F2E" w:rsidP="599066E5" w:rsidRDefault="31407F2E" w14:paraId="3BC8ADE0" w14:textId="2C6936DC">
      <w:pPr>
        <w:pStyle w:val="Normal"/>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In response to these challenges, the change project focused on the introduction of a major trauma recognition aid designed to support clinical decision-making. </w:t>
      </w:r>
      <w:r w:rsidRPr="599066E5" w:rsidR="31407F2E">
        <w:rPr>
          <w:rFonts w:ascii="Arial Nova" w:hAnsi="Arial Nova" w:eastAsia="Arial Nova" w:cs="Arial Nova"/>
          <w:noProof w:val="0"/>
          <w:sz w:val="24"/>
          <w:szCs w:val="24"/>
          <w:lang w:val="en-GB"/>
        </w:rPr>
        <w:t>A central component</w:t>
      </w:r>
      <w:r w:rsidRPr="599066E5" w:rsidR="31407F2E">
        <w:rPr>
          <w:rFonts w:ascii="Arial Nova" w:hAnsi="Arial Nova" w:eastAsia="Arial Nova" w:cs="Arial Nova"/>
          <w:noProof w:val="0"/>
          <w:sz w:val="24"/>
          <w:szCs w:val="24"/>
          <w:lang w:val="en-GB"/>
        </w:rPr>
        <w:t xml:space="preserve"> of this project was the use of a staff survey to explore clinician experience, confidence, and attitudes towards trauma recognition and decision support tools.</w:t>
      </w:r>
    </w:p>
    <w:p w:rsidR="31407F2E" w:rsidP="599066E5" w:rsidRDefault="31407F2E" w14:paraId="7BF898DD" w14:textId="05FA8110">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The survey was distributed across a range of clinical roles, including Emergency Medical Technicians, Paramedics, and Advanced Paramedic Practitioners, ensuring representation across </w:t>
      </w:r>
      <w:r w:rsidRPr="599066E5" w:rsidR="31407F2E">
        <w:rPr>
          <w:rFonts w:ascii="Arial Nova" w:hAnsi="Arial Nova" w:eastAsia="Arial Nova" w:cs="Arial Nova"/>
          <w:noProof w:val="0"/>
          <w:sz w:val="24"/>
          <w:szCs w:val="24"/>
          <w:lang w:val="en-GB"/>
        </w:rPr>
        <w:t>different levels</w:t>
      </w:r>
      <w:r w:rsidRPr="599066E5" w:rsidR="31407F2E">
        <w:rPr>
          <w:rFonts w:ascii="Arial Nova" w:hAnsi="Arial Nova" w:eastAsia="Arial Nova" w:cs="Arial Nova"/>
          <w:noProof w:val="0"/>
          <w:sz w:val="24"/>
          <w:szCs w:val="24"/>
          <w:lang w:val="en-GB"/>
        </w:rPr>
        <w:t xml:space="preserve"> of experience and scope of practice. Findings </w:t>
      </w:r>
      <w:r w:rsidRPr="599066E5" w:rsidR="31407F2E">
        <w:rPr>
          <w:rFonts w:ascii="Arial Nova" w:hAnsi="Arial Nova" w:eastAsia="Arial Nova" w:cs="Arial Nova"/>
          <w:noProof w:val="0"/>
          <w:sz w:val="24"/>
          <w:szCs w:val="24"/>
          <w:lang w:val="en-GB"/>
        </w:rPr>
        <w:t>demonstrated</w:t>
      </w:r>
      <w:r w:rsidRPr="599066E5" w:rsidR="31407F2E">
        <w:rPr>
          <w:rFonts w:ascii="Arial Nova" w:hAnsi="Arial Nova" w:eastAsia="Arial Nova" w:cs="Arial Nova"/>
          <w:noProof w:val="0"/>
          <w:sz w:val="24"/>
          <w:szCs w:val="24"/>
          <w:lang w:val="en-GB"/>
        </w:rPr>
        <w:t xml:space="preserve"> that while clinicians </w:t>
      </w:r>
      <w:r w:rsidRPr="599066E5" w:rsidR="31407F2E">
        <w:rPr>
          <w:rFonts w:ascii="Arial Nova" w:hAnsi="Arial Nova" w:eastAsia="Arial Nova" w:cs="Arial Nova"/>
          <w:noProof w:val="0"/>
          <w:sz w:val="24"/>
          <w:szCs w:val="24"/>
          <w:lang w:val="en-GB"/>
        </w:rPr>
        <w:t>possessed</w:t>
      </w:r>
      <w:r w:rsidRPr="599066E5" w:rsidR="31407F2E">
        <w:rPr>
          <w:rFonts w:ascii="Arial Nova" w:hAnsi="Arial Nova" w:eastAsia="Arial Nova" w:cs="Arial Nova"/>
          <w:noProof w:val="0"/>
          <w:sz w:val="24"/>
          <w:szCs w:val="24"/>
          <w:lang w:val="en-GB"/>
        </w:rPr>
        <w:t xml:space="preserve"> a strong theoretical understanding of major trauma, confidence in applying this knowledge in practice was variable. This was particularly </w:t>
      </w:r>
      <w:r w:rsidRPr="599066E5" w:rsidR="31407F2E">
        <w:rPr>
          <w:rFonts w:ascii="Arial Nova" w:hAnsi="Arial Nova" w:eastAsia="Arial Nova" w:cs="Arial Nova"/>
          <w:noProof w:val="0"/>
          <w:sz w:val="24"/>
          <w:szCs w:val="24"/>
          <w:lang w:val="en-GB"/>
        </w:rPr>
        <w:t>evident</w:t>
      </w:r>
      <w:r w:rsidRPr="599066E5" w:rsidR="31407F2E">
        <w:rPr>
          <w:rFonts w:ascii="Arial Nova" w:hAnsi="Arial Nova" w:eastAsia="Arial Nova" w:cs="Arial Nova"/>
          <w:noProof w:val="0"/>
          <w:sz w:val="24"/>
          <w:szCs w:val="24"/>
          <w:lang w:val="en-GB"/>
        </w:rPr>
        <w:t xml:space="preserve"> in cases involving elderly patients and low-energy mechanisms, where presentations are often subtle and ambiguous.</w:t>
      </w:r>
    </w:p>
    <w:p w:rsidR="31407F2E" w:rsidP="599066E5" w:rsidRDefault="31407F2E" w14:paraId="37E96B9F" w14:textId="1F095389">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A key theme </w:t>
      </w:r>
      <w:r w:rsidRPr="599066E5" w:rsidR="31407F2E">
        <w:rPr>
          <w:rFonts w:ascii="Arial Nova" w:hAnsi="Arial Nova" w:eastAsia="Arial Nova" w:cs="Arial Nova"/>
          <w:noProof w:val="0"/>
          <w:sz w:val="24"/>
          <w:szCs w:val="24"/>
          <w:lang w:val="en-GB"/>
        </w:rPr>
        <w:t>emerging</w:t>
      </w:r>
      <w:r w:rsidRPr="599066E5" w:rsidR="31407F2E">
        <w:rPr>
          <w:rFonts w:ascii="Arial Nova" w:hAnsi="Arial Nova" w:eastAsia="Arial Nova" w:cs="Arial Nova"/>
          <w:noProof w:val="0"/>
          <w:sz w:val="24"/>
          <w:szCs w:val="24"/>
          <w:lang w:val="en-GB"/>
        </w:rPr>
        <w:t xml:space="preserve"> from the survey was the variability in decision-making across clinicians. Respondents acknowledged that thresholds for escalation differed depending on experience, confidence, and individual interpretation of risk. Importantly, this variability was not framed as a deficit in knowledge but </w:t>
      </w:r>
      <w:r w:rsidRPr="599066E5" w:rsidR="31407F2E">
        <w:rPr>
          <w:rFonts w:ascii="Arial Nova" w:hAnsi="Arial Nova" w:eastAsia="Arial Nova" w:cs="Arial Nova"/>
          <w:noProof w:val="0"/>
          <w:sz w:val="24"/>
          <w:szCs w:val="24"/>
          <w:lang w:val="en-GB"/>
        </w:rPr>
        <w:t>as a consequence of</w:t>
      </w:r>
      <w:r w:rsidRPr="599066E5" w:rsidR="31407F2E">
        <w:rPr>
          <w:rFonts w:ascii="Arial Nova" w:hAnsi="Arial Nova" w:eastAsia="Arial Nova" w:cs="Arial Nova"/>
          <w:noProof w:val="0"/>
          <w:sz w:val="24"/>
          <w:szCs w:val="24"/>
          <w:lang w:val="en-GB"/>
        </w:rPr>
        <w:t xml:space="preserve"> the complexity and uncertainty inherent in pre-hospital care. This distinction is critical, as it reframes the problem from one of competence to one of system support.</w:t>
      </w:r>
    </w:p>
    <w:p w:rsidR="31407F2E" w:rsidP="599066E5" w:rsidRDefault="31407F2E" w14:paraId="5C275346" w14:textId="74707B79">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Operational pressures were also identified as a </w:t>
      </w:r>
      <w:r w:rsidRPr="599066E5" w:rsidR="31407F2E">
        <w:rPr>
          <w:rFonts w:ascii="Arial Nova" w:hAnsi="Arial Nova" w:eastAsia="Arial Nova" w:cs="Arial Nova"/>
          <w:noProof w:val="0"/>
          <w:sz w:val="24"/>
          <w:szCs w:val="24"/>
          <w:lang w:val="en-GB"/>
        </w:rPr>
        <w:t>significant influence</w:t>
      </w:r>
      <w:r w:rsidRPr="599066E5" w:rsidR="31407F2E">
        <w:rPr>
          <w:rFonts w:ascii="Arial Nova" w:hAnsi="Arial Nova" w:eastAsia="Arial Nova" w:cs="Arial Nova"/>
          <w:noProof w:val="0"/>
          <w:sz w:val="24"/>
          <w:szCs w:val="24"/>
          <w:lang w:val="en-GB"/>
        </w:rPr>
        <w:t xml:space="preserve"> on decision-making. Clinicians reported that workload, time constraints, and system demand </w:t>
      </w:r>
      <w:r w:rsidRPr="599066E5" w:rsidR="31407F2E">
        <w:rPr>
          <w:rFonts w:ascii="Arial Nova" w:hAnsi="Arial Nova" w:eastAsia="Arial Nova" w:cs="Arial Nova"/>
          <w:noProof w:val="0"/>
          <w:sz w:val="24"/>
          <w:szCs w:val="24"/>
          <w:lang w:val="en-GB"/>
        </w:rPr>
        <w:t>impacted</w:t>
      </w:r>
      <w:r w:rsidRPr="599066E5" w:rsidR="31407F2E">
        <w:rPr>
          <w:rFonts w:ascii="Arial Nova" w:hAnsi="Arial Nova" w:eastAsia="Arial Nova" w:cs="Arial Nova"/>
          <w:noProof w:val="0"/>
          <w:sz w:val="24"/>
          <w:szCs w:val="24"/>
          <w:lang w:val="en-GB"/>
        </w:rPr>
        <w:t xml:space="preserve"> their ability to undertake comprehensive assessments, often </w:t>
      </w:r>
      <w:r w:rsidRPr="599066E5" w:rsidR="31407F2E">
        <w:rPr>
          <w:rFonts w:ascii="Arial Nova" w:hAnsi="Arial Nova" w:eastAsia="Arial Nova" w:cs="Arial Nova"/>
          <w:noProof w:val="0"/>
          <w:sz w:val="24"/>
          <w:szCs w:val="24"/>
          <w:lang w:val="en-GB"/>
        </w:rPr>
        <w:t>necessitating</w:t>
      </w:r>
      <w:r w:rsidRPr="599066E5" w:rsidR="31407F2E">
        <w:rPr>
          <w:rFonts w:ascii="Arial Nova" w:hAnsi="Arial Nova" w:eastAsia="Arial Nova" w:cs="Arial Nova"/>
          <w:noProof w:val="0"/>
          <w:sz w:val="24"/>
          <w:szCs w:val="24"/>
          <w:lang w:val="en-GB"/>
        </w:rPr>
        <w:t xml:space="preserve"> rapid decision-making (O’Hara et al., 2015). This reinforces the relationship between organisational context and clinical practice, highlighting the need for interventions that are both clinically relevant and operationally </w:t>
      </w:r>
      <w:r w:rsidRPr="599066E5" w:rsidR="31407F2E">
        <w:rPr>
          <w:rFonts w:ascii="Arial Nova" w:hAnsi="Arial Nova" w:eastAsia="Arial Nova" w:cs="Arial Nova"/>
          <w:noProof w:val="0"/>
          <w:sz w:val="24"/>
          <w:szCs w:val="24"/>
          <w:lang w:val="en-GB"/>
        </w:rPr>
        <w:t>feasible</w:t>
      </w:r>
      <w:r w:rsidRPr="599066E5" w:rsidR="31407F2E">
        <w:rPr>
          <w:rFonts w:ascii="Arial Nova" w:hAnsi="Arial Nova" w:eastAsia="Arial Nova" w:cs="Arial Nova"/>
          <w:noProof w:val="0"/>
          <w:sz w:val="24"/>
          <w:szCs w:val="24"/>
          <w:lang w:val="en-GB"/>
        </w:rPr>
        <w:t>.</w:t>
      </w:r>
    </w:p>
    <w:p w:rsidR="31407F2E" w:rsidP="599066E5" w:rsidRDefault="31407F2E" w14:paraId="51A6232D" w14:textId="46341901">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In relation to the proposed intervention, the survey </w:t>
      </w:r>
      <w:r w:rsidRPr="599066E5" w:rsidR="31407F2E">
        <w:rPr>
          <w:rFonts w:ascii="Arial Nova" w:hAnsi="Arial Nova" w:eastAsia="Arial Nova" w:cs="Arial Nova"/>
          <w:noProof w:val="0"/>
          <w:sz w:val="24"/>
          <w:szCs w:val="24"/>
          <w:lang w:val="en-GB"/>
        </w:rPr>
        <w:t>demonstrated</w:t>
      </w:r>
      <w:r w:rsidRPr="599066E5" w:rsidR="31407F2E">
        <w:rPr>
          <w:rFonts w:ascii="Arial Nova" w:hAnsi="Arial Nova" w:eastAsia="Arial Nova" w:cs="Arial Nova"/>
          <w:noProof w:val="0"/>
          <w:sz w:val="24"/>
          <w:szCs w:val="24"/>
          <w:lang w:val="en-GB"/>
        </w:rPr>
        <w:t xml:space="preserve"> </w:t>
      </w:r>
      <w:r w:rsidRPr="599066E5" w:rsidR="31407F2E">
        <w:rPr>
          <w:rFonts w:ascii="Arial Nova" w:hAnsi="Arial Nova" w:eastAsia="Arial Nova" w:cs="Arial Nova"/>
          <w:noProof w:val="0"/>
          <w:sz w:val="24"/>
          <w:szCs w:val="24"/>
          <w:lang w:val="en-GB"/>
        </w:rPr>
        <w:t>strong support</w:t>
      </w:r>
      <w:r w:rsidRPr="599066E5" w:rsidR="31407F2E">
        <w:rPr>
          <w:rFonts w:ascii="Arial Nova" w:hAnsi="Arial Nova" w:eastAsia="Arial Nova" w:cs="Arial Nova"/>
          <w:noProof w:val="0"/>
          <w:sz w:val="24"/>
          <w:szCs w:val="24"/>
          <w:lang w:val="en-GB"/>
        </w:rPr>
        <w:t xml:space="preserve"> for the introduction of a trauma recognition aid. Clinicians emphasised the importance of simplicity, usability, and the need for the tool to support rather than replace clinical judgement. This highlights the importance of aligning interventions with clinician values and operational realities, as tools perceived as burdensome or restrictive are unlikely to be adopted in practice.</w:t>
      </w:r>
    </w:p>
    <w:p w:rsidR="31407F2E" w:rsidP="599066E5" w:rsidRDefault="31407F2E" w14:paraId="21585C03" w14:textId="404FB772">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From a methodological perspective, the survey is limited by its reliance on self-reported data, which may be subject to social desirability bias and may not accurately reflect actual practice (Boaden et al., 2008). Furthermore, the survey does not fully capture the complexity of real-world decision-making, where environmental factors, team dynamics, and patient behaviour all influence clinical judgement. However, its value lies in its ability to engage clinicians, </w:t>
      </w:r>
      <w:r w:rsidRPr="599066E5" w:rsidR="31407F2E">
        <w:rPr>
          <w:rFonts w:ascii="Arial Nova" w:hAnsi="Arial Nova" w:eastAsia="Arial Nova" w:cs="Arial Nova"/>
          <w:noProof w:val="0"/>
          <w:sz w:val="24"/>
          <w:szCs w:val="24"/>
          <w:lang w:val="en-GB"/>
        </w:rPr>
        <w:t>facilitate</w:t>
      </w:r>
      <w:r w:rsidRPr="599066E5" w:rsidR="31407F2E">
        <w:rPr>
          <w:rFonts w:ascii="Arial Nova" w:hAnsi="Arial Nova" w:eastAsia="Arial Nova" w:cs="Arial Nova"/>
          <w:noProof w:val="0"/>
          <w:sz w:val="24"/>
          <w:szCs w:val="24"/>
          <w:lang w:val="en-GB"/>
        </w:rPr>
        <w:t xml:space="preserve"> reflection, and support the development of a shared understanding of the problem (Langley et al., 2009).</w:t>
      </w:r>
    </w:p>
    <w:p w:rsidR="298ADDE9" w:rsidP="599066E5" w:rsidRDefault="298ADDE9" w14:paraId="0AF227D5" w14:textId="3F13E95B">
      <w:pPr>
        <w:spacing w:before="240" w:beforeAutospacing="off" w:after="240" w:afterAutospacing="off"/>
        <w:rPr>
          <w:rFonts w:ascii="Arial Nova" w:hAnsi="Arial Nova" w:eastAsia="Arial Nova" w:cs="Arial Nova"/>
          <w:noProof w:val="0"/>
          <w:sz w:val="24"/>
          <w:szCs w:val="24"/>
          <w:lang w:val="en-GB"/>
        </w:rPr>
      </w:pPr>
      <w:r w:rsidRPr="599066E5" w:rsidR="298ADDE9">
        <w:rPr>
          <w:rFonts w:ascii="Arial Nova" w:hAnsi="Arial Nova" w:eastAsia="Arial Nova" w:cs="Arial Nova"/>
          <w:noProof w:val="0"/>
          <w:sz w:val="24"/>
          <w:szCs w:val="24"/>
          <w:lang w:val="en-GB"/>
        </w:rPr>
        <w:t xml:space="preserve">While the staff survey </w:t>
      </w:r>
      <w:r w:rsidRPr="599066E5" w:rsidR="298ADDE9">
        <w:rPr>
          <w:rFonts w:ascii="Arial Nova" w:hAnsi="Arial Nova" w:eastAsia="Arial Nova" w:cs="Arial Nova"/>
          <w:noProof w:val="0"/>
          <w:sz w:val="24"/>
          <w:szCs w:val="24"/>
          <w:lang w:val="en-GB"/>
        </w:rPr>
        <w:t>provided</w:t>
      </w:r>
      <w:r w:rsidRPr="599066E5" w:rsidR="298ADDE9">
        <w:rPr>
          <w:rFonts w:ascii="Arial Nova" w:hAnsi="Arial Nova" w:eastAsia="Arial Nova" w:cs="Arial Nova"/>
          <w:noProof w:val="0"/>
          <w:sz w:val="24"/>
          <w:szCs w:val="24"/>
          <w:lang w:val="en-GB"/>
        </w:rPr>
        <w:t xml:space="preserve"> valuable insight into clinician experience, it is important to critically examine its role within the change process. Surveys are commonly used within healthcare to capture frontline perspectives; however, they are inherently limited in their ability to fully </w:t>
      </w:r>
      <w:r w:rsidRPr="599066E5" w:rsidR="298ADDE9">
        <w:rPr>
          <w:rFonts w:ascii="Arial Nova" w:hAnsi="Arial Nova" w:eastAsia="Arial Nova" w:cs="Arial Nova"/>
          <w:noProof w:val="0"/>
          <w:sz w:val="24"/>
          <w:szCs w:val="24"/>
          <w:lang w:val="en-GB"/>
        </w:rPr>
        <w:t>represent</w:t>
      </w:r>
      <w:r w:rsidRPr="599066E5" w:rsidR="298ADDE9">
        <w:rPr>
          <w:rFonts w:ascii="Arial Nova" w:hAnsi="Arial Nova" w:eastAsia="Arial Nova" w:cs="Arial Nova"/>
          <w:noProof w:val="0"/>
          <w:sz w:val="24"/>
          <w:szCs w:val="24"/>
          <w:lang w:val="en-GB"/>
        </w:rPr>
        <w:t xml:space="preserve"> the complexity of clinical practice. In this context, the survey captures </w:t>
      </w:r>
      <w:r w:rsidRPr="599066E5" w:rsidR="298ADDE9">
        <w:rPr>
          <w:rFonts w:ascii="Arial Nova" w:hAnsi="Arial Nova" w:eastAsia="Arial Nova" w:cs="Arial Nova"/>
          <w:noProof w:val="0"/>
          <w:sz w:val="24"/>
          <w:szCs w:val="24"/>
          <w:lang w:val="en-GB"/>
        </w:rPr>
        <w:t>perceptions</w:t>
      </w:r>
      <w:r w:rsidRPr="599066E5" w:rsidR="298ADDE9">
        <w:rPr>
          <w:rFonts w:ascii="Arial Nova" w:hAnsi="Arial Nova" w:eastAsia="Arial Nova" w:cs="Arial Nova"/>
          <w:noProof w:val="0"/>
          <w:sz w:val="24"/>
          <w:szCs w:val="24"/>
          <w:lang w:val="en-GB"/>
        </w:rPr>
        <w:t xml:space="preserve"> of confidence and experience rather than objective measures of clinical performance. As such, there may be discrepancies between perceived competence and actual decision-making behaviour (Bowling, 2014).</w:t>
      </w:r>
    </w:p>
    <w:p w:rsidR="298ADDE9" w:rsidP="599066E5" w:rsidRDefault="298ADDE9" w14:paraId="12443DEB" w14:textId="103C3734">
      <w:pPr>
        <w:spacing w:before="240" w:beforeAutospacing="off" w:after="240" w:afterAutospacing="off"/>
        <w:rPr>
          <w:rFonts w:ascii="Arial Nova" w:hAnsi="Arial Nova" w:eastAsia="Arial Nova" w:cs="Arial Nova"/>
          <w:noProof w:val="0"/>
          <w:sz w:val="24"/>
          <w:szCs w:val="24"/>
          <w:lang w:val="en-GB"/>
        </w:rPr>
      </w:pPr>
      <w:r w:rsidRPr="599066E5" w:rsidR="298ADDE9">
        <w:rPr>
          <w:rFonts w:ascii="Arial Nova" w:hAnsi="Arial Nova" w:eastAsia="Arial Nova" w:cs="Arial Nova"/>
          <w:noProof w:val="0"/>
          <w:sz w:val="24"/>
          <w:szCs w:val="24"/>
          <w:lang w:val="en-GB"/>
        </w:rPr>
        <w:t xml:space="preserve">Furthermore, response bias must be considered. Clinicians who chose to engage with the survey may have had a particular interest in trauma or decision-making, potentially skewing the findings. Similarly, those who lack confidence may be either more or less likely to respond, depending on their </w:t>
      </w:r>
      <w:r w:rsidRPr="599066E5" w:rsidR="298ADDE9">
        <w:rPr>
          <w:rFonts w:ascii="Arial Nova" w:hAnsi="Arial Nova" w:eastAsia="Arial Nova" w:cs="Arial Nova"/>
          <w:noProof w:val="0"/>
          <w:sz w:val="24"/>
          <w:szCs w:val="24"/>
          <w:lang w:val="en-GB"/>
        </w:rPr>
        <w:t>perception</w:t>
      </w:r>
      <w:r w:rsidRPr="599066E5" w:rsidR="298ADDE9">
        <w:rPr>
          <w:rFonts w:ascii="Arial Nova" w:hAnsi="Arial Nova" w:eastAsia="Arial Nova" w:cs="Arial Nova"/>
          <w:noProof w:val="0"/>
          <w:sz w:val="24"/>
          <w:szCs w:val="24"/>
          <w:lang w:val="en-GB"/>
        </w:rPr>
        <w:t xml:space="preserve"> of the survey’s purpose. This introduces uncertainty </w:t>
      </w:r>
      <w:r w:rsidRPr="599066E5" w:rsidR="298ADDE9">
        <w:rPr>
          <w:rFonts w:ascii="Arial Nova" w:hAnsi="Arial Nova" w:eastAsia="Arial Nova" w:cs="Arial Nova"/>
          <w:noProof w:val="0"/>
          <w:sz w:val="24"/>
          <w:szCs w:val="24"/>
          <w:lang w:val="en-GB"/>
        </w:rPr>
        <w:t>regarding</w:t>
      </w:r>
      <w:r w:rsidRPr="599066E5" w:rsidR="298ADDE9">
        <w:rPr>
          <w:rFonts w:ascii="Arial Nova" w:hAnsi="Arial Nova" w:eastAsia="Arial Nova" w:cs="Arial Nova"/>
          <w:noProof w:val="0"/>
          <w:sz w:val="24"/>
          <w:szCs w:val="24"/>
          <w:lang w:val="en-GB"/>
        </w:rPr>
        <w:t xml:space="preserve"> the representativeness of the data and limits the generalisability of the findings.</w:t>
      </w:r>
    </w:p>
    <w:p w:rsidR="298ADDE9" w:rsidP="599066E5" w:rsidRDefault="298ADDE9" w14:paraId="777E9442" w14:textId="2B2C133B">
      <w:pPr>
        <w:spacing w:before="240" w:beforeAutospacing="off" w:after="240" w:afterAutospacing="off"/>
        <w:rPr>
          <w:rFonts w:ascii="Arial Nova" w:hAnsi="Arial Nova" w:eastAsia="Arial Nova" w:cs="Arial Nova"/>
          <w:noProof w:val="0"/>
          <w:sz w:val="24"/>
          <w:szCs w:val="24"/>
          <w:lang w:val="en-GB"/>
        </w:rPr>
      </w:pPr>
      <w:r w:rsidRPr="599066E5" w:rsidR="298ADDE9">
        <w:rPr>
          <w:rFonts w:ascii="Arial Nova" w:hAnsi="Arial Nova" w:eastAsia="Arial Nova" w:cs="Arial Nova"/>
          <w:noProof w:val="0"/>
          <w:sz w:val="24"/>
          <w:szCs w:val="24"/>
          <w:lang w:val="en-GB"/>
        </w:rPr>
        <w:t>Despite these limitations, the survey plays a critical role in the change process beyond data collection. It acts as a mechanism for engagement, giving clinicians a voice and fostering a sense of ownership over the proposed intervention. This aligns with principles of participatory change, where involvement of stakeholders is associated with improved implementation outcomes (Bate and Robert, 2006). Within ambulance services, where professional autonomy is highly valued, such engagement is particularly important.</w:t>
      </w:r>
    </w:p>
    <w:p w:rsidR="298ADDE9" w:rsidP="599066E5" w:rsidRDefault="298ADDE9" w14:paraId="07B594C7" w14:textId="6A3F6C3F">
      <w:pPr>
        <w:spacing w:before="240" w:beforeAutospacing="off" w:after="240" w:afterAutospacing="off"/>
        <w:rPr>
          <w:rFonts w:ascii="Arial Nova" w:hAnsi="Arial Nova" w:eastAsia="Arial Nova" w:cs="Arial Nova"/>
          <w:noProof w:val="0"/>
          <w:sz w:val="24"/>
          <w:szCs w:val="24"/>
          <w:lang w:val="en-GB"/>
        </w:rPr>
      </w:pPr>
      <w:r w:rsidRPr="599066E5" w:rsidR="298ADDE9">
        <w:rPr>
          <w:rFonts w:ascii="Arial Nova" w:hAnsi="Arial Nova" w:eastAsia="Arial Nova" w:cs="Arial Nova"/>
          <w:noProof w:val="0"/>
          <w:sz w:val="24"/>
          <w:szCs w:val="24"/>
          <w:lang w:val="en-GB"/>
        </w:rPr>
        <w:t xml:space="preserve">The survey also contributes to the development of a shared narrative </w:t>
      </w:r>
      <w:r w:rsidRPr="599066E5" w:rsidR="298ADDE9">
        <w:rPr>
          <w:rFonts w:ascii="Arial Nova" w:hAnsi="Arial Nova" w:eastAsia="Arial Nova" w:cs="Arial Nova"/>
          <w:noProof w:val="0"/>
          <w:sz w:val="24"/>
          <w:szCs w:val="24"/>
          <w:lang w:val="en-GB"/>
        </w:rPr>
        <w:t>regarding</w:t>
      </w:r>
      <w:r w:rsidRPr="599066E5" w:rsidR="298ADDE9">
        <w:rPr>
          <w:rFonts w:ascii="Arial Nova" w:hAnsi="Arial Nova" w:eastAsia="Arial Nova" w:cs="Arial Nova"/>
          <w:noProof w:val="0"/>
          <w:sz w:val="24"/>
          <w:szCs w:val="24"/>
          <w:lang w:val="en-GB"/>
        </w:rPr>
        <w:t xml:space="preserve"> the need for change. By highlighting variability and uncertainty, it helps to create a collective understanding of the problem, which is essential in overcoming resistance. This aligns with Kotter’s (1996) emphasis on creating urgency; however, in this context, urgency is grounded in frontline experience rather than imposed from a managerial perspective.</w:t>
      </w:r>
    </w:p>
    <w:p w:rsidR="298ADDE9" w:rsidP="599066E5" w:rsidRDefault="298ADDE9" w14:paraId="34D0364C" w14:textId="2B8D2E63">
      <w:pPr>
        <w:spacing w:before="240" w:beforeAutospacing="off" w:after="240" w:afterAutospacing="off"/>
        <w:rPr>
          <w:rFonts w:ascii="Arial Nova" w:hAnsi="Arial Nova" w:eastAsia="Arial Nova" w:cs="Arial Nova"/>
          <w:noProof w:val="0"/>
          <w:sz w:val="24"/>
          <w:szCs w:val="24"/>
          <w:lang w:val="en-GB"/>
        </w:rPr>
      </w:pPr>
      <w:r w:rsidRPr="599066E5" w:rsidR="298ADDE9">
        <w:rPr>
          <w:rFonts w:ascii="Arial Nova" w:hAnsi="Arial Nova" w:eastAsia="Arial Nova" w:cs="Arial Nova"/>
          <w:noProof w:val="0"/>
          <w:sz w:val="24"/>
          <w:szCs w:val="24"/>
          <w:lang w:val="en-GB"/>
        </w:rPr>
        <w:t>In evaluating the survey, it</w:t>
      </w:r>
      <w:r w:rsidRPr="599066E5" w:rsidR="298ADDE9">
        <w:rPr>
          <w:rFonts w:ascii="Arial Nova" w:hAnsi="Arial Nova" w:eastAsia="Arial Nova" w:cs="Arial Nova"/>
          <w:noProof w:val="0"/>
          <w:sz w:val="24"/>
          <w:szCs w:val="24"/>
          <w:lang w:val="en-GB"/>
        </w:rPr>
        <w:t xml:space="preserve"> can therefore be argued that its greatest value lies not in the data itself, but in its role as a catalyst for engagement and reflection. It provides a foundation upon which change can be built, supporting both the rationale for the intervention and the approach to implementation</w:t>
      </w:r>
      <w:r w:rsidRPr="599066E5" w:rsidR="2F066332">
        <w:rPr>
          <w:rFonts w:ascii="Arial Nova" w:hAnsi="Arial Nova" w:eastAsia="Arial Nova" w:cs="Arial Nova"/>
          <w:noProof w:val="0"/>
          <w:sz w:val="24"/>
          <w:szCs w:val="24"/>
          <w:lang w:val="en-GB"/>
        </w:rPr>
        <w:t>.</w:t>
      </w:r>
    </w:p>
    <w:p w:rsidR="2F066332" w:rsidP="599066E5" w:rsidRDefault="2F066332" w14:paraId="398D02AA" w14:textId="1C339A2B">
      <w:pPr>
        <w:spacing w:before="240" w:beforeAutospacing="off" w:after="240" w:afterAutospacing="off"/>
        <w:rPr>
          <w:rFonts w:ascii="Arial Nova" w:hAnsi="Arial Nova" w:eastAsia="Arial Nova" w:cs="Arial Nova"/>
          <w:noProof w:val="0"/>
          <w:sz w:val="24"/>
          <w:szCs w:val="24"/>
          <w:lang w:val="en-GB"/>
        </w:rPr>
      </w:pPr>
      <w:r w:rsidRPr="599066E5" w:rsidR="2F066332">
        <w:rPr>
          <w:rFonts w:ascii="Arial Nova" w:hAnsi="Arial Nova" w:eastAsia="Arial Nova" w:cs="Arial Nova"/>
          <w:noProof w:val="0"/>
          <w:sz w:val="24"/>
          <w:szCs w:val="24"/>
          <w:lang w:val="en-GB"/>
        </w:rPr>
        <w:t xml:space="preserve">An </w:t>
      </w:r>
      <w:r w:rsidRPr="599066E5" w:rsidR="2F066332">
        <w:rPr>
          <w:rFonts w:ascii="Arial Nova" w:hAnsi="Arial Nova" w:eastAsia="Arial Nova" w:cs="Arial Nova"/>
          <w:noProof w:val="0"/>
          <w:sz w:val="24"/>
          <w:szCs w:val="24"/>
          <w:lang w:val="en-GB"/>
        </w:rPr>
        <w:t>additional</w:t>
      </w:r>
      <w:r w:rsidRPr="599066E5" w:rsidR="2F066332">
        <w:rPr>
          <w:rFonts w:ascii="Arial Nova" w:hAnsi="Arial Nova" w:eastAsia="Arial Nova" w:cs="Arial Nova"/>
          <w:noProof w:val="0"/>
          <w:sz w:val="24"/>
          <w:szCs w:val="24"/>
          <w:lang w:val="en-GB"/>
        </w:rPr>
        <w:t xml:space="preserve"> consideration in evaluating the survey findings is the distinction between knowledge and confidence. While clinicians </w:t>
      </w:r>
      <w:r w:rsidRPr="599066E5" w:rsidR="2F066332">
        <w:rPr>
          <w:rFonts w:ascii="Arial Nova" w:hAnsi="Arial Nova" w:eastAsia="Arial Nova" w:cs="Arial Nova"/>
          <w:noProof w:val="0"/>
          <w:sz w:val="24"/>
          <w:szCs w:val="24"/>
          <w:lang w:val="en-GB"/>
        </w:rPr>
        <w:t>demonstrated</w:t>
      </w:r>
      <w:r w:rsidRPr="599066E5" w:rsidR="2F066332">
        <w:rPr>
          <w:rFonts w:ascii="Arial Nova" w:hAnsi="Arial Nova" w:eastAsia="Arial Nova" w:cs="Arial Nova"/>
          <w:noProof w:val="0"/>
          <w:sz w:val="24"/>
          <w:szCs w:val="24"/>
          <w:lang w:val="en-GB"/>
        </w:rPr>
        <w:t xml:space="preserve"> a strong understanding of major trauma, this did not consistently translate into confidence in decision-making. This gap highlights the importance of experiential learning and exposure in developing clinical competence. Within WAST, opportunities for exposure to major trauma may vary significantly depending on location, role, and experience, contributing to variability in confidence and decision-making.</w:t>
      </w:r>
    </w:p>
    <w:p w:rsidR="2F066332" w:rsidP="599066E5" w:rsidRDefault="2F066332" w14:paraId="25FB85CF" w14:textId="6907F2CC">
      <w:pPr>
        <w:spacing w:before="240" w:beforeAutospacing="off" w:after="240" w:afterAutospacing="off"/>
        <w:rPr>
          <w:rFonts w:ascii="Arial Nova" w:hAnsi="Arial Nova" w:eastAsia="Arial Nova" w:cs="Arial Nova"/>
          <w:noProof w:val="0"/>
          <w:sz w:val="24"/>
          <w:szCs w:val="24"/>
          <w:lang w:val="en-GB"/>
        </w:rPr>
      </w:pPr>
      <w:r w:rsidRPr="599066E5" w:rsidR="2F066332">
        <w:rPr>
          <w:rFonts w:ascii="Arial Nova" w:hAnsi="Arial Nova" w:eastAsia="Arial Nova" w:cs="Arial Nova"/>
          <w:noProof w:val="0"/>
          <w:sz w:val="24"/>
          <w:szCs w:val="24"/>
          <w:lang w:val="en-GB"/>
        </w:rPr>
        <w:t xml:space="preserve">The survey also provides insight into the emotional aspects of decision-making. Clinicians reported uncertainty and concern </w:t>
      </w:r>
      <w:r w:rsidRPr="599066E5" w:rsidR="2F066332">
        <w:rPr>
          <w:rFonts w:ascii="Arial Nova" w:hAnsi="Arial Nova" w:eastAsia="Arial Nova" w:cs="Arial Nova"/>
          <w:noProof w:val="0"/>
          <w:sz w:val="24"/>
          <w:szCs w:val="24"/>
          <w:lang w:val="en-GB"/>
        </w:rPr>
        <w:t>regarding</w:t>
      </w:r>
      <w:r w:rsidRPr="599066E5" w:rsidR="2F066332">
        <w:rPr>
          <w:rFonts w:ascii="Arial Nova" w:hAnsi="Arial Nova" w:eastAsia="Arial Nova" w:cs="Arial Nova"/>
          <w:noProof w:val="0"/>
          <w:sz w:val="24"/>
          <w:szCs w:val="24"/>
          <w:lang w:val="en-GB"/>
        </w:rPr>
        <w:t xml:space="preserve"> the potential consequences of under-recognising major trauma, particularly in vulnerable patient groups. This emotional dimension may influence decision-making, leading to either risk-averse or risk-tolerant behaviours depending on individual </w:t>
      </w:r>
      <w:r w:rsidRPr="599066E5" w:rsidR="2F066332">
        <w:rPr>
          <w:rFonts w:ascii="Arial Nova" w:hAnsi="Arial Nova" w:eastAsia="Arial Nova" w:cs="Arial Nova"/>
          <w:noProof w:val="0"/>
          <w:sz w:val="24"/>
          <w:szCs w:val="24"/>
          <w:lang w:val="en-GB"/>
        </w:rPr>
        <w:t>perception</w:t>
      </w:r>
      <w:r w:rsidRPr="599066E5" w:rsidR="2F066332">
        <w:rPr>
          <w:rFonts w:ascii="Arial Nova" w:hAnsi="Arial Nova" w:eastAsia="Arial Nova" w:cs="Arial Nova"/>
          <w:noProof w:val="0"/>
          <w:sz w:val="24"/>
          <w:szCs w:val="24"/>
          <w:lang w:val="en-GB"/>
        </w:rPr>
        <w:t xml:space="preserve">. Recognising this emotional </w:t>
      </w:r>
      <w:r w:rsidRPr="599066E5" w:rsidR="2F066332">
        <w:rPr>
          <w:rFonts w:ascii="Arial Nova" w:hAnsi="Arial Nova" w:eastAsia="Arial Nova" w:cs="Arial Nova"/>
          <w:noProof w:val="0"/>
          <w:sz w:val="24"/>
          <w:szCs w:val="24"/>
          <w:lang w:val="en-GB"/>
        </w:rPr>
        <w:t>component</w:t>
      </w:r>
      <w:r w:rsidRPr="599066E5" w:rsidR="2F066332">
        <w:rPr>
          <w:rFonts w:ascii="Arial Nova" w:hAnsi="Arial Nova" w:eastAsia="Arial Nova" w:cs="Arial Nova"/>
          <w:noProof w:val="0"/>
          <w:sz w:val="24"/>
          <w:szCs w:val="24"/>
          <w:lang w:val="en-GB"/>
        </w:rPr>
        <w:t xml:space="preserve"> is important in understanding variability and designing interventions that support clinicians not only cognitively but also psychologically.</w:t>
      </w:r>
    </w:p>
    <w:p w:rsidR="2F066332" w:rsidP="599066E5" w:rsidRDefault="2F066332" w14:paraId="5C517FAB" w14:textId="07A386CF">
      <w:pPr>
        <w:spacing w:before="240" w:beforeAutospacing="off" w:after="240" w:afterAutospacing="off"/>
        <w:rPr>
          <w:rFonts w:ascii="Arial Nova" w:hAnsi="Arial Nova" w:eastAsia="Arial Nova" w:cs="Arial Nova"/>
          <w:noProof w:val="0"/>
          <w:sz w:val="24"/>
          <w:szCs w:val="24"/>
          <w:lang w:val="en-GB"/>
        </w:rPr>
      </w:pPr>
      <w:r w:rsidRPr="599066E5" w:rsidR="2F066332">
        <w:rPr>
          <w:rFonts w:ascii="Arial Nova" w:hAnsi="Arial Nova" w:eastAsia="Arial Nova" w:cs="Arial Nova"/>
          <w:noProof w:val="0"/>
          <w:sz w:val="24"/>
          <w:szCs w:val="24"/>
          <w:lang w:val="en-GB"/>
        </w:rPr>
        <w:t>Additionally, the survey highlights the importance of organisational support in enabling effective decision-making. Clinicians expressed a need for tools and guidance that support their judgement without undermining their professional autonomy. This reflects a broader expectation within healthcare that organisations should provide the necessary resources and frameworks to support safe practice, particularly in complex and uncertain environments.</w:t>
      </w:r>
    </w:p>
    <w:p w:rsidR="31407F2E" w:rsidP="599066E5" w:rsidRDefault="31407F2E" w14:paraId="6B644E14" w14:textId="05665034">
      <w:pPr>
        <w:pStyle w:val="Normal"/>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The trauma recognition aid was developed in response to these findings, with the aim of providing a structured framework to support clinical decision-making. The tool incorporates key domains including mechanism of injury, physiological indicators, patient vulnerability, and clinician concern. The inclusion of vulnerability factors reflects a shift towards a more holistic understanding of trauma, recognising that severity cannot be </w:t>
      </w:r>
      <w:r w:rsidRPr="599066E5" w:rsidR="31407F2E">
        <w:rPr>
          <w:rFonts w:ascii="Arial Nova" w:hAnsi="Arial Nova" w:eastAsia="Arial Nova" w:cs="Arial Nova"/>
          <w:noProof w:val="0"/>
          <w:sz w:val="24"/>
          <w:szCs w:val="24"/>
          <w:lang w:val="en-GB"/>
        </w:rPr>
        <w:t>determined</w:t>
      </w:r>
      <w:r w:rsidRPr="599066E5" w:rsidR="31407F2E">
        <w:rPr>
          <w:rFonts w:ascii="Arial Nova" w:hAnsi="Arial Nova" w:eastAsia="Arial Nova" w:cs="Arial Nova"/>
          <w:noProof w:val="0"/>
          <w:sz w:val="24"/>
          <w:szCs w:val="24"/>
          <w:lang w:val="en-GB"/>
        </w:rPr>
        <w:t xml:space="preserve"> solely by mechanism (NICE, 2016).</w:t>
      </w:r>
    </w:p>
    <w:p w:rsidR="31407F2E" w:rsidP="599066E5" w:rsidRDefault="31407F2E" w14:paraId="34526F0E" w14:textId="5CD78A85">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The design of the tool prioritises usability, ensuring that it can be easily integrated into practice without increasing cognitive burden. From a theoretical perspective, the recognition aid can be understood as a cognitive support tool, promoting analytical thinking and reducing reliance on intuition (Kahneman, 2011). By prompting clinicians to consider a broader range of factors, it has the potential to mitigate cognitive bias and improve consistency in decision-making.</w:t>
      </w:r>
    </w:p>
    <w:p w:rsidR="31407F2E" w:rsidP="599066E5" w:rsidRDefault="31407F2E" w14:paraId="17B1367A" w14:textId="148955A5">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However, the introduction of decision support tools is not without challenges. There is a risk that less experienced clinicians may become overly reliant on the tool, potentially limiting the development of independent clinical reasoning. Conversely, more experienced practitioners may resist its use if perceived as restrictive or unnecessary. This highlights the importance of positioning the recognition aid as a supportive framework that enhances, rather than replaces, clinical judgement.</w:t>
      </w:r>
    </w:p>
    <w:p w:rsidR="31407F2E" w:rsidP="599066E5" w:rsidRDefault="31407F2E" w14:paraId="75197AD6" w14:textId="42BD05F5">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The implementation of the change was informed by </w:t>
      </w:r>
      <w:r w:rsidRPr="599066E5" w:rsidR="31407F2E">
        <w:rPr>
          <w:rFonts w:ascii="Arial Nova" w:hAnsi="Arial Nova" w:eastAsia="Arial Nova" w:cs="Arial Nova"/>
          <w:noProof w:val="0"/>
          <w:sz w:val="24"/>
          <w:szCs w:val="24"/>
          <w:lang w:val="en-GB"/>
        </w:rPr>
        <w:t>established</w:t>
      </w:r>
      <w:r w:rsidRPr="599066E5" w:rsidR="31407F2E">
        <w:rPr>
          <w:rFonts w:ascii="Arial Nova" w:hAnsi="Arial Nova" w:eastAsia="Arial Nova" w:cs="Arial Nova"/>
          <w:noProof w:val="0"/>
          <w:sz w:val="24"/>
          <w:szCs w:val="24"/>
          <w:lang w:val="en-GB"/>
        </w:rPr>
        <w:t xml:space="preserve"> change theories, including Kotter’s (1996) eight-step model, Lewin’s (1951) three-stage model, and the ADKAR framework (Hiatt, 2006). Kotter’s model emphasises the importance of creating urgency, building a guiding coalition, and embedding change within organisational culture. Within this project, the staff survey contributed to the creation of urgency by highlighting variability in practice and clinician uncertainty.</w:t>
      </w:r>
    </w:p>
    <w:p w:rsidR="31407F2E" w:rsidP="599066E5" w:rsidRDefault="31407F2E" w14:paraId="4110C613" w14:textId="3D996C61">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However, the linear structure of Kotter’s model does not fully reflect the complexity of ambulance services, where change is often iterative and influenced by external pressures. Lewin’s model similarly assumes stability that is rarely present within healthcare systems. In contrast, the ADKAR model offers a more flexible approach, focusing on individual behaviour and recognising that change occurs through engagement at the clinician level. This is particularly relevant within pre-hospital care, where clinicians </w:t>
      </w:r>
      <w:r w:rsidRPr="599066E5" w:rsidR="31407F2E">
        <w:rPr>
          <w:rFonts w:ascii="Arial Nova" w:hAnsi="Arial Nova" w:eastAsia="Arial Nova" w:cs="Arial Nova"/>
          <w:noProof w:val="0"/>
          <w:sz w:val="24"/>
          <w:szCs w:val="24"/>
          <w:lang w:val="en-GB"/>
        </w:rPr>
        <w:t>operate</w:t>
      </w:r>
      <w:r w:rsidRPr="599066E5" w:rsidR="31407F2E">
        <w:rPr>
          <w:rFonts w:ascii="Arial Nova" w:hAnsi="Arial Nova" w:eastAsia="Arial Nova" w:cs="Arial Nova"/>
          <w:noProof w:val="0"/>
          <w:sz w:val="24"/>
          <w:szCs w:val="24"/>
          <w:lang w:val="en-GB"/>
        </w:rPr>
        <w:t xml:space="preserve"> with a high degree of autonomy.</w:t>
      </w:r>
    </w:p>
    <w:p w:rsidR="570B7B28" w:rsidP="599066E5" w:rsidRDefault="570B7B28" w14:paraId="38E24750" w14:textId="7F8F62BF">
      <w:pPr>
        <w:spacing w:before="240" w:beforeAutospacing="off" w:after="240" w:afterAutospacing="off"/>
        <w:rPr>
          <w:rFonts w:ascii="Arial Nova" w:hAnsi="Arial Nova" w:eastAsia="Arial Nova" w:cs="Arial Nova"/>
          <w:noProof w:val="0"/>
          <w:sz w:val="24"/>
          <w:szCs w:val="24"/>
          <w:lang w:val="en-GB"/>
        </w:rPr>
      </w:pPr>
      <w:r w:rsidRPr="599066E5" w:rsidR="570B7B28">
        <w:rPr>
          <w:rFonts w:ascii="Arial Nova" w:hAnsi="Arial Nova" w:eastAsia="Arial Nova" w:cs="Arial Nova"/>
          <w:noProof w:val="0"/>
          <w:sz w:val="24"/>
          <w:szCs w:val="24"/>
          <w:lang w:val="en-GB"/>
        </w:rPr>
        <w:t>While the application of change theory provides a structured framework for implementation, it is important to critically evaluate the extent to which these models reflect the realities of practice within WAST. Traditional models such as Kotter (1996) and Lewin (1951) are often criticised for their linear and prescriptive nature, which may not align with the dynamic and unpredictable environment of ambulance services.</w:t>
      </w:r>
    </w:p>
    <w:p w:rsidR="570B7B28" w:rsidP="599066E5" w:rsidRDefault="570B7B28" w14:paraId="60BCA70C" w14:textId="26B91C11">
      <w:pPr>
        <w:spacing w:before="240" w:beforeAutospacing="off" w:after="240" w:afterAutospacing="off"/>
        <w:rPr>
          <w:rFonts w:ascii="Arial Nova" w:hAnsi="Arial Nova" w:eastAsia="Arial Nova" w:cs="Arial Nova"/>
          <w:noProof w:val="0"/>
          <w:sz w:val="24"/>
          <w:szCs w:val="24"/>
          <w:lang w:val="en-GB"/>
        </w:rPr>
      </w:pPr>
      <w:r w:rsidRPr="599066E5" w:rsidR="570B7B28">
        <w:rPr>
          <w:rFonts w:ascii="Arial Nova" w:hAnsi="Arial Nova" w:eastAsia="Arial Nova" w:cs="Arial Nova"/>
          <w:noProof w:val="0"/>
          <w:sz w:val="24"/>
          <w:szCs w:val="24"/>
          <w:lang w:val="en-GB"/>
        </w:rPr>
        <w:t>In contrast, contemporary perspectives on change emphasise complexity and adaptability. Complexity theory suggests that organisations are not static systems but dynamic and constantly evolving, shaped by interactions between individuals, teams, and external pressures (Plsek and Greenhalgh, 2001). Within this framework, change is not a linear process but an emergent phenomenon, influenced by multiple factors that cannot be fully controlled or predicted.</w:t>
      </w:r>
    </w:p>
    <w:p w:rsidR="570B7B28" w:rsidP="599066E5" w:rsidRDefault="570B7B28" w14:paraId="7EC584B4" w14:textId="11247E05">
      <w:pPr>
        <w:spacing w:before="240" w:beforeAutospacing="off" w:after="240" w:afterAutospacing="off"/>
        <w:rPr>
          <w:rFonts w:ascii="Arial Nova" w:hAnsi="Arial Nova" w:eastAsia="Arial Nova" w:cs="Arial Nova"/>
          <w:noProof w:val="0"/>
          <w:sz w:val="24"/>
          <w:szCs w:val="24"/>
          <w:lang w:val="en-GB"/>
        </w:rPr>
      </w:pPr>
      <w:r w:rsidRPr="599066E5" w:rsidR="570B7B28">
        <w:rPr>
          <w:rFonts w:ascii="Arial Nova" w:hAnsi="Arial Nova" w:eastAsia="Arial Nova" w:cs="Arial Nova"/>
          <w:noProof w:val="0"/>
          <w:sz w:val="24"/>
          <w:szCs w:val="24"/>
          <w:lang w:val="en-GB"/>
        </w:rPr>
        <w:t>Applying this perspective to WAST highlights the limitations of traditional models. The implementation of a trauma recognition aid is not a discrete event but part of an ongoing process of adaptation within the organisation. External factors such as demand, policy changes, and system pressures will continue to influence how the intervention is used and sustained. This reinforces the need for flexibility in both implementation and evaluation.</w:t>
      </w:r>
    </w:p>
    <w:p w:rsidR="570B7B28" w:rsidP="599066E5" w:rsidRDefault="570B7B28" w14:paraId="1F3EF439" w14:textId="3CEA836C">
      <w:pPr>
        <w:spacing w:before="240" w:beforeAutospacing="off" w:after="240" w:afterAutospacing="off"/>
        <w:rPr>
          <w:rFonts w:ascii="Arial Nova" w:hAnsi="Arial Nova" w:eastAsia="Arial Nova" w:cs="Arial Nova"/>
          <w:noProof w:val="0"/>
          <w:sz w:val="24"/>
          <w:szCs w:val="24"/>
          <w:lang w:val="en-GB"/>
        </w:rPr>
      </w:pPr>
      <w:r w:rsidRPr="599066E5" w:rsidR="570B7B28">
        <w:rPr>
          <w:rFonts w:ascii="Arial Nova" w:hAnsi="Arial Nova" w:eastAsia="Arial Nova" w:cs="Arial Nova"/>
          <w:noProof w:val="0"/>
          <w:sz w:val="24"/>
          <w:szCs w:val="24"/>
          <w:lang w:val="en-GB"/>
        </w:rPr>
        <w:t>The concept of adaptive leadership is also relevant, emphasising the need for leaders to respond to changing circumstances rather than relying on predefined strategies (Heifetz et al., 2009). Within WAST, this may involve adjusting the approach to implementation based on feedback, operational pressures, and emerging challenges. This contrasts with more traditional models of leadership, which emphasise control and predictability.</w:t>
      </w:r>
    </w:p>
    <w:p w:rsidR="570B7B28" w:rsidP="599066E5" w:rsidRDefault="570B7B28" w14:paraId="65519CBE" w14:textId="51C55C0C">
      <w:pPr>
        <w:spacing w:before="240" w:beforeAutospacing="off" w:after="240" w:afterAutospacing="off"/>
        <w:rPr>
          <w:rFonts w:ascii="Arial Nova" w:hAnsi="Arial Nova" w:eastAsia="Arial Nova" w:cs="Arial Nova"/>
          <w:noProof w:val="0"/>
          <w:sz w:val="24"/>
          <w:szCs w:val="24"/>
          <w:lang w:val="en-GB"/>
        </w:rPr>
      </w:pPr>
      <w:r w:rsidRPr="599066E5" w:rsidR="570B7B28">
        <w:rPr>
          <w:rFonts w:ascii="Arial Nova" w:hAnsi="Arial Nova" w:eastAsia="Arial Nova" w:cs="Arial Nova"/>
          <w:noProof w:val="0"/>
          <w:sz w:val="24"/>
          <w:szCs w:val="24"/>
          <w:lang w:val="en-GB"/>
        </w:rPr>
        <w:t xml:space="preserve">In this context, the integration of multiple theoretical perspectives may be more </w:t>
      </w:r>
      <w:r w:rsidRPr="599066E5" w:rsidR="570B7B28">
        <w:rPr>
          <w:rFonts w:ascii="Arial Nova" w:hAnsi="Arial Nova" w:eastAsia="Arial Nova" w:cs="Arial Nova"/>
          <w:noProof w:val="0"/>
          <w:sz w:val="24"/>
          <w:szCs w:val="24"/>
          <w:lang w:val="en-GB"/>
        </w:rPr>
        <w:t>appropriate than</w:t>
      </w:r>
      <w:r w:rsidRPr="599066E5" w:rsidR="570B7B28">
        <w:rPr>
          <w:rFonts w:ascii="Arial Nova" w:hAnsi="Arial Nova" w:eastAsia="Arial Nova" w:cs="Arial Nova"/>
          <w:noProof w:val="0"/>
          <w:sz w:val="24"/>
          <w:szCs w:val="24"/>
          <w:lang w:val="en-GB"/>
        </w:rPr>
        <w:t xml:space="preserve"> reliance on a single model. Kotter provides a useful framework for engagement, ADKAR supports individual behaviour change, and complexity theory offers a lens through which to understand the broader system. Together, these perspectives provide a more comprehensive understanding of change within WAST.</w:t>
      </w:r>
    </w:p>
    <w:p w:rsidR="31407F2E" w:rsidP="599066E5" w:rsidRDefault="31407F2E" w14:paraId="489FBF6F" w14:textId="69A5BA01">
      <w:pPr>
        <w:pStyle w:val="Normal"/>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Organisational culture plays a critical role in shaping how change is implemented and sustained. </w:t>
      </w:r>
      <w:r w:rsidRPr="599066E5" w:rsidR="31407F2E">
        <w:rPr>
          <w:rFonts w:ascii="Arial Nova" w:hAnsi="Arial Nova" w:eastAsia="Arial Nova" w:cs="Arial Nova"/>
          <w:noProof w:val="0"/>
          <w:sz w:val="24"/>
          <w:szCs w:val="24"/>
          <w:lang w:val="en-GB"/>
        </w:rPr>
        <w:t>Using Schein’s (2010) framework, it</w:t>
      </w:r>
      <w:r w:rsidRPr="599066E5" w:rsidR="31407F2E">
        <w:rPr>
          <w:rFonts w:ascii="Arial Nova" w:hAnsi="Arial Nova" w:eastAsia="Arial Nova" w:cs="Arial Nova"/>
          <w:noProof w:val="0"/>
          <w:sz w:val="24"/>
          <w:szCs w:val="24"/>
          <w:lang w:val="en-GB"/>
        </w:rPr>
        <w:t xml:space="preserve"> is </w:t>
      </w:r>
      <w:r w:rsidRPr="599066E5" w:rsidR="31407F2E">
        <w:rPr>
          <w:rFonts w:ascii="Arial Nova" w:hAnsi="Arial Nova" w:eastAsia="Arial Nova" w:cs="Arial Nova"/>
          <w:noProof w:val="0"/>
          <w:sz w:val="24"/>
          <w:szCs w:val="24"/>
          <w:lang w:val="en-GB"/>
        </w:rPr>
        <w:t>evident</w:t>
      </w:r>
      <w:r w:rsidRPr="599066E5" w:rsidR="31407F2E">
        <w:rPr>
          <w:rFonts w:ascii="Arial Nova" w:hAnsi="Arial Nova" w:eastAsia="Arial Nova" w:cs="Arial Nova"/>
          <w:noProof w:val="0"/>
          <w:sz w:val="24"/>
          <w:szCs w:val="24"/>
          <w:lang w:val="en-GB"/>
        </w:rPr>
        <w:t xml:space="preserve"> that underlying assumptions within WAST include a reliance on experiential knowledge, professional autonomy, and rapid decision-making. While these values support adaptability, they may also create resistance to structured tools and standardisation.</w:t>
      </w:r>
    </w:p>
    <w:p w:rsidR="31407F2E" w:rsidP="599066E5" w:rsidRDefault="31407F2E" w14:paraId="05969B70" w14:textId="43743917">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Challenges to change within WAST include operational demand, workforce variation, and change fatigue. </w:t>
      </w:r>
      <w:r w:rsidRPr="599066E5" w:rsidR="31407F2E">
        <w:rPr>
          <w:rFonts w:ascii="Arial Nova" w:hAnsi="Arial Nova" w:eastAsia="Arial Nova" w:cs="Arial Nova"/>
          <w:noProof w:val="0"/>
          <w:sz w:val="24"/>
          <w:szCs w:val="24"/>
          <w:lang w:val="en-GB"/>
        </w:rPr>
        <w:t>High levels</w:t>
      </w:r>
      <w:r w:rsidRPr="599066E5" w:rsidR="31407F2E">
        <w:rPr>
          <w:rFonts w:ascii="Arial Nova" w:hAnsi="Arial Nova" w:eastAsia="Arial Nova" w:cs="Arial Nova"/>
          <w:noProof w:val="0"/>
          <w:sz w:val="24"/>
          <w:szCs w:val="24"/>
          <w:lang w:val="en-GB"/>
        </w:rPr>
        <w:t xml:space="preserve"> of demand limit opportunities for training and engagement, while workforce diversity results in variation in experience and confidence. Change fatigue may arise from repeated exposure to initiatives that are not sustained, leading to scepticism and reduced engagement.</w:t>
      </w:r>
    </w:p>
    <w:p w:rsidR="6F2FF514" w:rsidP="599066E5" w:rsidRDefault="6F2FF514" w14:paraId="177084F5" w14:textId="45B6AC69">
      <w:pPr>
        <w:spacing w:before="240" w:beforeAutospacing="off" w:after="240" w:afterAutospacing="off"/>
        <w:rPr>
          <w:rFonts w:ascii="Arial Nova" w:hAnsi="Arial Nova" w:eastAsia="Arial Nova" w:cs="Arial Nova"/>
          <w:noProof w:val="0"/>
          <w:sz w:val="24"/>
          <w:szCs w:val="24"/>
          <w:lang w:val="en-GB"/>
        </w:rPr>
      </w:pPr>
      <w:r w:rsidRPr="599066E5" w:rsidR="6F2FF514">
        <w:rPr>
          <w:rFonts w:ascii="Arial Nova" w:hAnsi="Arial Nova" w:eastAsia="Arial Nova" w:cs="Arial Nova"/>
          <w:noProof w:val="0"/>
          <w:sz w:val="24"/>
          <w:szCs w:val="24"/>
          <w:lang w:val="en-GB"/>
        </w:rPr>
        <w:t xml:space="preserve">Another important consideration in the application of change theory is the role of informal leadership within organisations. While formal leadership structures are important, much of the influence on practice within WAST occurs at the frontline level, where experienced clinicians shape behaviours, attitudes, and norms. These informal leaders play a critical role in </w:t>
      </w:r>
      <w:r w:rsidRPr="599066E5" w:rsidR="6F2FF514">
        <w:rPr>
          <w:rFonts w:ascii="Arial Nova" w:hAnsi="Arial Nova" w:eastAsia="Arial Nova" w:cs="Arial Nova"/>
          <w:noProof w:val="0"/>
          <w:sz w:val="24"/>
          <w:szCs w:val="24"/>
          <w:lang w:val="en-GB"/>
        </w:rPr>
        <w:t>determining</w:t>
      </w:r>
      <w:r w:rsidRPr="599066E5" w:rsidR="6F2FF514">
        <w:rPr>
          <w:rFonts w:ascii="Arial Nova" w:hAnsi="Arial Nova" w:eastAsia="Arial Nova" w:cs="Arial Nova"/>
          <w:noProof w:val="0"/>
          <w:sz w:val="24"/>
          <w:szCs w:val="24"/>
          <w:lang w:val="en-GB"/>
        </w:rPr>
        <w:t xml:space="preserve"> whether new interventions are accepted and integrated into practice.</w:t>
      </w:r>
    </w:p>
    <w:p w:rsidR="6F2FF514" w:rsidP="599066E5" w:rsidRDefault="6F2FF514" w14:paraId="6A71D89F" w14:textId="73C0AD7E">
      <w:pPr>
        <w:spacing w:before="240" w:beforeAutospacing="off" w:after="240" w:afterAutospacing="off"/>
        <w:rPr>
          <w:rFonts w:ascii="Arial Nova" w:hAnsi="Arial Nova" w:eastAsia="Arial Nova" w:cs="Arial Nova"/>
          <w:noProof w:val="0"/>
          <w:sz w:val="24"/>
          <w:szCs w:val="24"/>
          <w:lang w:val="en-GB"/>
        </w:rPr>
      </w:pPr>
      <w:r w:rsidRPr="599066E5" w:rsidR="6F2FF514">
        <w:rPr>
          <w:rFonts w:ascii="Arial Nova" w:hAnsi="Arial Nova" w:eastAsia="Arial Nova" w:cs="Arial Nova"/>
          <w:noProof w:val="0"/>
          <w:sz w:val="24"/>
          <w:szCs w:val="24"/>
          <w:lang w:val="en-GB"/>
        </w:rPr>
        <w:t xml:space="preserve">This highlights the importance of </w:t>
      </w:r>
      <w:r w:rsidRPr="599066E5" w:rsidR="6F2FF514">
        <w:rPr>
          <w:rFonts w:ascii="Arial Nova" w:hAnsi="Arial Nova" w:eastAsia="Arial Nova" w:cs="Arial Nova"/>
          <w:noProof w:val="0"/>
          <w:sz w:val="24"/>
          <w:szCs w:val="24"/>
          <w:lang w:val="en-GB"/>
        </w:rPr>
        <w:t>identifying</w:t>
      </w:r>
      <w:r w:rsidRPr="599066E5" w:rsidR="6F2FF514">
        <w:rPr>
          <w:rFonts w:ascii="Arial Nova" w:hAnsi="Arial Nova" w:eastAsia="Arial Nova" w:cs="Arial Nova"/>
          <w:noProof w:val="0"/>
          <w:sz w:val="24"/>
          <w:szCs w:val="24"/>
          <w:lang w:val="en-GB"/>
        </w:rPr>
        <w:t xml:space="preserve"> and engaging key influencers within the organisation during the implementation process. By involving respected clinicians in the development and promotion of the recognition aid, the project can </w:t>
      </w:r>
      <w:r w:rsidRPr="599066E5" w:rsidR="6F2FF514">
        <w:rPr>
          <w:rFonts w:ascii="Arial Nova" w:hAnsi="Arial Nova" w:eastAsia="Arial Nova" w:cs="Arial Nova"/>
          <w:noProof w:val="0"/>
          <w:sz w:val="24"/>
          <w:szCs w:val="24"/>
          <w:lang w:val="en-GB"/>
        </w:rPr>
        <w:t>leverage</w:t>
      </w:r>
      <w:r w:rsidRPr="599066E5" w:rsidR="6F2FF514">
        <w:rPr>
          <w:rFonts w:ascii="Arial Nova" w:hAnsi="Arial Nova" w:eastAsia="Arial Nova" w:cs="Arial Nova"/>
          <w:noProof w:val="0"/>
          <w:sz w:val="24"/>
          <w:szCs w:val="24"/>
          <w:lang w:val="en-GB"/>
        </w:rPr>
        <w:t xml:space="preserve"> existing social structures to support change. This aligns with social influence theory, which suggests that individuals are more likely to adopt new behaviours when they </w:t>
      </w:r>
      <w:r w:rsidRPr="599066E5" w:rsidR="6F2FF514">
        <w:rPr>
          <w:rFonts w:ascii="Arial Nova" w:hAnsi="Arial Nova" w:eastAsia="Arial Nova" w:cs="Arial Nova"/>
          <w:noProof w:val="0"/>
          <w:sz w:val="24"/>
          <w:szCs w:val="24"/>
          <w:lang w:val="en-GB"/>
        </w:rPr>
        <w:t>observe</w:t>
      </w:r>
      <w:r w:rsidRPr="599066E5" w:rsidR="6F2FF514">
        <w:rPr>
          <w:rFonts w:ascii="Arial Nova" w:hAnsi="Arial Nova" w:eastAsia="Arial Nova" w:cs="Arial Nova"/>
          <w:noProof w:val="0"/>
          <w:sz w:val="24"/>
          <w:szCs w:val="24"/>
          <w:lang w:val="en-GB"/>
        </w:rPr>
        <w:t xml:space="preserve"> them being modelled by peers.</w:t>
      </w:r>
    </w:p>
    <w:p w:rsidR="6F2FF514" w:rsidP="599066E5" w:rsidRDefault="6F2FF514" w14:paraId="79864196" w14:textId="0DACD103">
      <w:pPr>
        <w:spacing w:before="240" w:beforeAutospacing="off" w:after="240" w:afterAutospacing="off"/>
        <w:rPr>
          <w:rFonts w:ascii="Arial Nova" w:hAnsi="Arial Nova" w:eastAsia="Arial Nova" w:cs="Arial Nova"/>
          <w:noProof w:val="0"/>
          <w:sz w:val="24"/>
          <w:szCs w:val="24"/>
          <w:lang w:val="en-GB"/>
        </w:rPr>
      </w:pPr>
      <w:r w:rsidRPr="599066E5" w:rsidR="6F2FF514">
        <w:rPr>
          <w:rFonts w:ascii="Arial Nova" w:hAnsi="Arial Nova" w:eastAsia="Arial Nova" w:cs="Arial Nova"/>
          <w:noProof w:val="0"/>
          <w:sz w:val="24"/>
          <w:szCs w:val="24"/>
          <w:lang w:val="en-GB"/>
        </w:rPr>
        <w:t>Additionally, the sustainability of change is dependent on the extent to which it becomes embedded within routine practice. This requires ongoing reinforcement, feedback, and adaptation. Within WAST, where operational pressures may limit opportunities for formal training, informal learning and peer support play a significant role in sustaining change. This further reinforces the importance of considering both formal and informal mechanisms of influence in the implementation process.</w:t>
      </w:r>
    </w:p>
    <w:p w:rsidR="26BE37FB" w:rsidP="599066E5" w:rsidRDefault="26BE37FB" w14:paraId="484A0B1E" w14:textId="34A45662">
      <w:pPr>
        <w:pStyle w:val="Normal"/>
        <w:spacing w:before="240" w:beforeAutospacing="off" w:after="240" w:afterAutospacing="off"/>
        <w:rPr>
          <w:rFonts w:ascii="Arial Nova" w:hAnsi="Arial Nova" w:eastAsia="Arial Nova" w:cs="Arial Nova"/>
          <w:noProof w:val="0"/>
          <w:sz w:val="24"/>
          <w:szCs w:val="24"/>
          <w:lang w:val="en-GB"/>
        </w:rPr>
      </w:pPr>
      <w:r w:rsidRPr="599066E5" w:rsidR="26BE37FB">
        <w:rPr>
          <w:rFonts w:ascii="Arial Nova" w:hAnsi="Arial Nova" w:eastAsia="Arial Nova" w:cs="Arial Nova"/>
          <w:noProof w:val="0"/>
          <w:sz w:val="24"/>
          <w:szCs w:val="24"/>
          <w:lang w:val="en-GB"/>
        </w:rPr>
        <w:t xml:space="preserve">An </w:t>
      </w:r>
      <w:r w:rsidRPr="599066E5" w:rsidR="26BE37FB">
        <w:rPr>
          <w:rFonts w:ascii="Arial Nova" w:hAnsi="Arial Nova" w:eastAsia="Arial Nova" w:cs="Arial Nova"/>
          <w:noProof w:val="0"/>
          <w:sz w:val="24"/>
          <w:szCs w:val="24"/>
          <w:lang w:val="en-GB"/>
        </w:rPr>
        <w:t>additional</w:t>
      </w:r>
      <w:r w:rsidRPr="599066E5" w:rsidR="26BE37FB">
        <w:rPr>
          <w:rFonts w:ascii="Arial Nova" w:hAnsi="Arial Nova" w:eastAsia="Arial Nova" w:cs="Arial Nova"/>
          <w:noProof w:val="0"/>
          <w:sz w:val="24"/>
          <w:szCs w:val="24"/>
          <w:lang w:val="en-GB"/>
        </w:rPr>
        <w:t xml:space="preserve"> challenge within WAST relates to the balance between standardisation and professional autonomy. While the introduction of structured tools such as the trauma recognition aid aims to improve consistency, it may be perceived as limiting clinical judgement. This tension reflects a broader challenge within healthcare, where the need for standardisation must be balanced against the complexity and variability of individual patient presentations (Timmermans and Berg, 2003).</w:t>
      </w:r>
    </w:p>
    <w:p w:rsidR="26BE37FB" w:rsidP="599066E5" w:rsidRDefault="26BE37FB" w14:paraId="73EE5F9A" w14:textId="3DBF6C48">
      <w:pPr>
        <w:spacing w:before="240" w:beforeAutospacing="off" w:after="240" w:afterAutospacing="off"/>
        <w:rPr>
          <w:rFonts w:ascii="Arial Nova" w:hAnsi="Arial Nova" w:eastAsia="Arial Nova" w:cs="Arial Nova"/>
          <w:noProof w:val="0"/>
          <w:sz w:val="24"/>
          <w:szCs w:val="24"/>
          <w:lang w:val="en-GB"/>
        </w:rPr>
      </w:pPr>
      <w:r w:rsidRPr="599066E5" w:rsidR="26BE37FB">
        <w:rPr>
          <w:rFonts w:ascii="Arial Nova" w:hAnsi="Arial Nova" w:eastAsia="Arial Nova" w:cs="Arial Nova"/>
          <w:noProof w:val="0"/>
          <w:sz w:val="24"/>
          <w:szCs w:val="24"/>
          <w:lang w:val="en-GB"/>
        </w:rPr>
        <w:t>Within WAST, professional autonomy is highly valued, particularly among experienced clinicians who rely on experiential knowledge to guide decision-making. As such, the introduction of structured tools may be met with resistance if perceived as undermining this autonomy. This highlights the importance of framing the recognition aid as a supportive tool that enhances, rather than replaces, clinical judgement.</w:t>
      </w:r>
    </w:p>
    <w:p w:rsidR="26BE37FB" w:rsidP="599066E5" w:rsidRDefault="26BE37FB" w14:paraId="6E494700" w14:textId="0FD13159">
      <w:pPr>
        <w:spacing w:before="240" w:beforeAutospacing="off" w:after="240" w:afterAutospacing="off"/>
        <w:rPr>
          <w:rFonts w:ascii="Arial Nova" w:hAnsi="Arial Nova" w:eastAsia="Arial Nova" w:cs="Arial Nova"/>
          <w:noProof w:val="0"/>
          <w:sz w:val="24"/>
          <w:szCs w:val="24"/>
          <w:lang w:val="en-GB"/>
        </w:rPr>
      </w:pPr>
      <w:r w:rsidRPr="599066E5" w:rsidR="26BE37FB">
        <w:rPr>
          <w:rFonts w:ascii="Arial Nova" w:hAnsi="Arial Nova" w:eastAsia="Arial Nova" w:cs="Arial Nova"/>
          <w:noProof w:val="0"/>
          <w:sz w:val="24"/>
          <w:szCs w:val="24"/>
          <w:lang w:val="en-GB"/>
        </w:rPr>
        <w:t>Additionally, the dispersed nature of ambulance services presents logistical challenges for implementation. Clinicians work across multiple locations, often independently or in small teams, making consistent communication and training more difficult. This increases the risk of variation in how the intervention is understood and applied, reinforcing the importance of clear leadership and consistent messaging (Greenhalgh et al., 2004)</w:t>
      </w:r>
    </w:p>
    <w:p w:rsidR="31407F2E" w:rsidP="599066E5" w:rsidRDefault="31407F2E" w14:paraId="219D3CC9" w14:textId="53E19741">
      <w:pPr>
        <w:pStyle w:val="Normal"/>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Leadership is therefore essential in supporting the adoption of the recognition aid. Within WAST, the Senior Paramedic role is well</w:t>
      </w:r>
      <w:r w:rsidRPr="599066E5" w:rsidR="4C4758CB">
        <w:rPr>
          <w:rFonts w:ascii="Arial Nova" w:hAnsi="Arial Nova" w:eastAsia="Arial Nova" w:cs="Arial Nova"/>
          <w:noProof w:val="0"/>
          <w:sz w:val="24"/>
          <w:szCs w:val="24"/>
          <w:lang w:val="en-GB"/>
        </w:rPr>
        <w:t>-</w:t>
      </w:r>
      <w:r w:rsidRPr="599066E5" w:rsidR="31407F2E">
        <w:rPr>
          <w:rFonts w:ascii="Arial Nova" w:hAnsi="Arial Nova" w:eastAsia="Arial Nova" w:cs="Arial Nova"/>
          <w:noProof w:val="0"/>
          <w:sz w:val="24"/>
          <w:szCs w:val="24"/>
          <w:lang w:val="en-GB"/>
        </w:rPr>
        <w:t xml:space="preserve">positioned to influence practice, acting as a bridge between strategic </w:t>
      </w:r>
      <w:r w:rsidRPr="599066E5" w:rsidR="31407F2E">
        <w:rPr>
          <w:rFonts w:ascii="Arial Nova" w:hAnsi="Arial Nova" w:eastAsia="Arial Nova" w:cs="Arial Nova"/>
          <w:noProof w:val="0"/>
          <w:sz w:val="24"/>
          <w:szCs w:val="24"/>
          <w:lang w:val="en-GB"/>
        </w:rPr>
        <w:t>objectives</w:t>
      </w:r>
      <w:r w:rsidRPr="599066E5" w:rsidR="31407F2E">
        <w:rPr>
          <w:rFonts w:ascii="Arial Nova" w:hAnsi="Arial Nova" w:eastAsia="Arial Nova" w:cs="Arial Nova"/>
          <w:noProof w:val="0"/>
          <w:sz w:val="24"/>
          <w:szCs w:val="24"/>
          <w:lang w:val="en-GB"/>
        </w:rPr>
        <w:t xml:space="preserve"> and frontline delivery. However, leadership capacity is often constrained by operational demands, limiting opportunities for sustained engagement.</w:t>
      </w:r>
    </w:p>
    <w:p w:rsidR="31407F2E" w:rsidP="599066E5" w:rsidRDefault="31407F2E" w14:paraId="4EBD3E8B" w14:textId="1209D11E">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Governance and evaluation are essential components of the change process. Donabedian’s (1988) framework provides a structured approach to evaluating quality, encompassing structure, process, and outcomes. Within this project, evaluation should consider both clinical outcomes, such as improved recognition and </w:t>
      </w:r>
      <w:r w:rsidRPr="599066E5" w:rsidR="31407F2E">
        <w:rPr>
          <w:rFonts w:ascii="Arial Nova" w:hAnsi="Arial Nova" w:eastAsia="Arial Nova" w:cs="Arial Nova"/>
          <w:noProof w:val="0"/>
          <w:sz w:val="24"/>
          <w:szCs w:val="24"/>
          <w:lang w:val="en-GB"/>
        </w:rPr>
        <w:t>appropriate escalation</w:t>
      </w:r>
      <w:r w:rsidRPr="599066E5" w:rsidR="31407F2E">
        <w:rPr>
          <w:rFonts w:ascii="Arial Nova" w:hAnsi="Arial Nova" w:eastAsia="Arial Nova" w:cs="Arial Nova"/>
          <w:noProof w:val="0"/>
          <w:sz w:val="24"/>
          <w:szCs w:val="24"/>
          <w:lang w:val="en-GB"/>
        </w:rPr>
        <w:t>, and process measures, such as consistency of tool use.</w:t>
      </w:r>
    </w:p>
    <w:p w:rsidR="1959F7D2" w:rsidP="599066E5" w:rsidRDefault="1959F7D2" w14:paraId="5CB6F87C" w14:textId="28A40DA4">
      <w:pPr>
        <w:spacing w:before="240" w:beforeAutospacing="off" w:after="240" w:afterAutospacing="off"/>
        <w:rPr>
          <w:rFonts w:ascii="Arial Nova" w:hAnsi="Arial Nova" w:eastAsia="Arial Nova" w:cs="Arial Nova"/>
          <w:noProof w:val="0"/>
          <w:sz w:val="24"/>
          <w:szCs w:val="24"/>
          <w:lang w:val="en-GB"/>
        </w:rPr>
      </w:pPr>
      <w:r w:rsidRPr="599066E5" w:rsidR="1959F7D2">
        <w:rPr>
          <w:rFonts w:ascii="Arial Nova" w:hAnsi="Arial Nova" w:eastAsia="Arial Nova" w:cs="Arial Nova"/>
          <w:noProof w:val="0"/>
          <w:sz w:val="24"/>
          <w:szCs w:val="24"/>
          <w:lang w:val="en-GB"/>
        </w:rPr>
        <w:t xml:space="preserve">In strengthening the evaluation of the intervention, it is also important to consider the role of audit and feedback in driving improvement. Regular review of cases involving trauma recognition can </w:t>
      </w:r>
      <w:r w:rsidRPr="599066E5" w:rsidR="1959F7D2">
        <w:rPr>
          <w:rFonts w:ascii="Arial Nova" w:hAnsi="Arial Nova" w:eastAsia="Arial Nova" w:cs="Arial Nova"/>
          <w:noProof w:val="0"/>
          <w:sz w:val="24"/>
          <w:szCs w:val="24"/>
          <w:lang w:val="en-GB"/>
        </w:rPr>
        <w:t>provide</w:t>
      </w:r>
      <w:r w:rsidRPr="599066E5" w:rsidR="1959F7D2">
        <w:rPr>
          <w:rFonts w:ascii="Arial Nova" w:hAnsi="Arial Nova" w:eastAsia="Arial Nova" w:cs="Arial Nova"/>
          <w:noProof w:val="0"/>
          <w:sz w:val="24"/>
          <w:szCs w:val="24"/>
          <w:lang w:val="en-GB"/>
        </w:rPr>
        <w:t xml:space="preserve"> valuable insight into how the tool is being used in practice and </w:t>
      </w:r>
      <w:r w:rsidRPr="599066E5" w:rsidR="1959F7D2">
        <w:rPr>
          <w:rFonts w:ascii="Arial Nova" w:hAnsi="Arial Nova" w:eastAsia="Arial Nova" w:cs="Arial Nova"/>
          <w:noProof w:val="0"/>
          <w:sz w:val="24"/>
          <w:szCs w:val="24"/>
          <w:lang w:val="en-GB"/>
        </w:rPr>
        <w:t>identify</w:t>
      </w:r>
      <w:r w:rsidRPr="599066E5" w:rsidR="1959F7D2">
        <w:rPr>
          <w:rFonts w:ascii="Arial Nova" w:hAnsi="Arial Nova" w:eastAsia="Arial Nova" w:cs="Arial Nova"/>
          <w:noProof w:val="0"/>
          <w:sz w:val="24"/>
          <w:szCs w:val="24"/>
          <w:lang w:val="en-GB"/>
        </w:rPr>
        <w:t xml:space="preserve"> areas for further development. Audit and feedback mechanisms have been shown to support behaviour change and improve clinical performance when implemented effectively (Ivers et al., 2012).</w:t>
      </w:r>
    </w:p>
    <w:p w:rsidR="1959F7D2" w:rsidP="599066E5" w:rsidRDefault="1959F7D2" w14:paraId="5DF1B425" w14:textId="4678D081">
      <w:pPr>
        <w:spacing w:before="240" w:beforeAutospacing="off" w:after="240" w:afterAutospacing="off"/>
        <w:rPr>
          <w:rFonts w:ascii="Arial Nova" w:hAnsi="Arial Nova" w:eastAsia="Arial Nova" w:cs="Arial Nova"/>
          <w:noProof w:val="0"/>
          <w:sz w:val="24"/>
          <w:szCs w:val="24"/>
          <w:lang w:val="en-GB"/>
        </w:rPr>
      </w:pPr>
      <w:r w:rsidRPr="599066E5" w:rsidR="1959F7D2">
        <w:rPr>
          <w:rFonts w:ascii="Arial Nova" w:hAnsi="Arial Nova" w:eastAsia="Arial Nova" w:cs="Arial Nova"/>
          <w:noProof w:val="0"/>
          <w:sz w:val="24"/>
          <w:szCs w:val="24"/>
          <w:lang w:val="en-GB"/>
        </w:rPr>
        <w:t xml:space="preserve">Additionally, feedback from clinicians should be actively </w:t>
      </w:r>
      <w:r w:rsidRPr="599066E5" w:rsidR="1959F7D2">
        <w:rPr>
          <w:rFonts w:ascii="Arial Nova" w:hAnsi="Arial Nova" w:eastAsia="Arial Nova" w:cs="Arial Nova"/>
          <w:noProof w:val="0"/>
          <w:sz w:val="24"/>
          <w:szCs w:val="24"/>
          <w:lang w:val="en-GB"/>
        </w:rPr>
        <w:t>sought</w:t>
      </w:r>
      <w:r w:rsidRPr="599066E5" w:rsidR="1959F7D2">
        <w:rPr>
          <w:rFonts w:ascii="Arial Nova" w:hAnsi="Arial Nova" w:eastAsia="Arial Nova" w:cs="Arial Nova"/>
          <w:noProof w:val="0"/>
          <w:sz w:val="24"/>
          <w:szCs w:val="24"/>
          <w:lang w:val="en-GB"/>
        </w:rPr>
        <w:t xml:space="preserve"> as part of the evaluation process. This not only provides insight into usability and acceptability but also reinforces engagement and ownership. By creating opportunities for feedback and reflection, the organisation can support a culture of learning and continuous improvement, which is essential for sustaining change within complex healthcare systems.</w:t>
      </w:r>
    </w:p>
    <w:p w:rsidR="31407F2E" w:rsidP="599066E5" w:rsidRDefault="31407F2E" w14:paraId="0A3E79B4" w14:textId="2403C45E">
      <w:pPr>
        <w:pStyle w:val="Normal"/>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Vincent (2010) emphasises the importance of system-level approaches to patient safety, recognising that variability in practice is often influenced by organisational factors rather than individual performance alone. This reinforces the need to view the recognition aid as part of a broader system of support rather than a standalone solution.</w:t>
      </w:r>
    </w:p>
    <w:p w:rsidR="31407F2E" w:rsidP="599066E5" w:rsidRDefault="31407F2E" w14:paraId="339DDE8B" w14:textId="0D0E732C">
      <w:pPr>
        <w:spacing w:before="240" w:beforeAutospacing="off" w:after="240" w:afterAutospacing="off"/>
        <w:rPr>
          <w:rFonts w:ascii="Arial Nova" w:hAnsi="Arial Nova" w:eastAsia="Arial Nova" w:cs="Arial Nova"/>
          <w:noProof w:val="0"/>
          <w:sz w:val="24"/>
          <w:szCs w:val="24"/>
          <w:lang w:val="en-GB"/>
        </w:rPr>
      </w:pPr>
      <w:r w:rsidRPr="599066E5" w:rsidR="31407F2E">
        <w:rPr>
          <w:rFonts w:ascii="Arial Nova" w:hAnsi="Arial Nova" w:eastAsia="Arial Nova" w:cs="Arial Nova"/>
          <w:noProof w:val="0"/>
          <w:sz w:val="24"/>
          <w:szCs w:val="24"/>
          <w:lang w:val="en-GB"/>
        </w:rPr>
        <w:t xml:space="preserve">Sustainability requires ongoing leadership, reinforcement, and alignment with organisational priorities. Embedding the tool within training, guidelines, and routine practice will support its continued use. Without this, there is a risk that the intervention will not be </w:t>
      </w:r>
      <w:r w:rsidRPr="599066E5" w:rsidR="31407F2E">
        <w:rPr>
          <w:rFonts w:ascii="Arial Nova" w:hAnsi="Arial Nova" w:eastAsia="Arial Nova" w:cs="Arial Nova"/>
          <w:noProof w:val="0"/>
          <w:sz w:val="24"/>
          <w:szCs w:val="24"/>
          <w:lang w:val="en-GB"/>
        </w:rPr>
        <w:t>maintained</w:t>
      </w:r>
      <w:r w:rsidRPr="599066E5" w:rsidR="31407F2E">
        <w:rPr>
          <w:rFonts w:ascii="Arial Nova" w:hAnsi="Arial Nova" w:eastAsia="Arial Nova" w:cs="Arial Nova"/>
          <w:noProof w:val="0"/>
          <w:sz w:val="24"/>
          <w:szCs w:val="24"/>
          <w:lang w:val="en-GB"/>
        </w:rPr>
        <w:t xml:space="preserve"> over time.</w:t>
      </w:r>
    </w:p>
    <w:p w:rsidR="7E4F3439" w:rsidP="599066E5" w:rsidRDefault="7E4F3439" w14:paraId="3C263BA9" w14:textId="5D3D07DD">
      <w:pPr>
        <w:spacing w:before="240" w:beforeAutospacing="off" w:after="240" w:afterAutospacing="off"/>
        <w:rPr>
          <w:rFonts w:ascii="Arial Nova" w:hAnsi="Arial Nova" w:eastAsia="Arial Nova" w:cs="Arial Nova"/>
          <w:noProof w:val="0"/>
          <w:sz w:val="24"/>
          <w:szCs w:val="24"/>
          <w:lang w:val="en-GB"/>
        </w:rPr>
      </w:pPr>
      <w:r w:rsidRPr="599066E5" w:rsidR="7E4F3439">
        <w:rPr>
          <w:rFonts w:ascii="Arial Nova" w:hAnsi="Arial Nova" w:eastAsia="Arial Nova" w:cs="Arial Nova"/>
          <w:noProof w:val="0"/>
          <w:sz w:val="24"/>
          <w:szCs w:val="24"/>
          <w:lang w:val="en-GB"/>
        </w:rPr>
        <w:t>A further consideration is the potential unintended consequences of implementing the recognition aid. While the tool is designed to improve recognition and consistency, it may also influence patterns of conveyance and escalation, potentially increasing demand on already pressured services. This highlights the importance of evaluating not only clinical outcomes but also system impact, ensuring that improvements in one area do not create unintended challenges elsewhere.</w:t>
      </w:r>
    </w:p>
    <w:p w:rsidR="7E4F3439" w:rsidP="599066E5" w:rsidRDefault="7E4F3439" w14:paraId="724E384E" w14:textId="5B5B1600">
      <w:pPr>
        <w:spacing w:before="240" w:beforeAutospacing="off" w:after="240" w:afterAutospacing="off"/>
        <w:rPr>
          <w:rFonts w:ascii="Arial Nova" w:hAnsi="Arial Nova" w:eastAsia="Arial Nova" w:cs="Arial Nova"/>
          <w:noProof w:val="0"/>
          <w:sz w:val="24"/>
          <w:szCs w:val="24"/>
          <w:lang w:val="en-GB"/>
        </w:rPr>
      </w:pPr>
      <w:r w:rsidRPr="599066E5" w:rsidR="7E4F3439">
        <w:rPr>
          <w:rFonts w:ascii="Arial Nova" w:hAnsi="Arial Nova" w:eastAsia="Arial Nova" w:cs="Arial Nova"/>
          <w:noProof w:val="0"/>
          <w:sz w:val="24"/>
          <w:szCs w:val="24"/>
          <w:lang w:val="en-GB"/>
        </w:rPr>
        <w:t xml:space="preserve">It is also important to consider how the tool interacts with existing guidelines and protocols. Ensuring alignment with JRCALC and other national frameworks is essential to avoid confusion and </w:t>
      </w:r>
      <w:r w:rsidRPr="599066E5" w:rsidR="7E4F3439">
        <w:rPr>
          <w:rFonts w:ascii="Arial Nova" w:hAnsi="Arial Nova" w:eastAsia="Arial Nova" w:cs="Arial Nova"/>
          <w:noProof w:val="0"/>
          <w:sz w:val="24"/>
          <w:szCs w:val="24"/>
          <w:lang w:val="en-GB"/>
        </w:rPr>
        <w:t>maintain</w:t>
      </w:r>
      <w:r w:rsidRPr="599066E5" w:rsidR="7E4F3439">
        <w:rPr>
          <w:rFonts w:ascii="Arial Nova" w:hAnsi="Arial Nova" w:eastAsia="Arial Nova" w:cs="Arial Nova"/>
          <w:noProof w:val="0"/>
          <w:sz w:val="24"/>
          <w:szCs w:val="24"/>
          <w:lang w:val="en-GB"/>
        </w:rPr>
        <w:t xml:space="preserve"> consistency in practice. This reinforces the need for integration rather than duplication, ensuring that the recognition aid complements existing systems rather than adding complexity</w:t>
      </w:r>
    </w:p>
    <w:p w:rsidR="31407F2E" w:rsidP="599066E5" w:rsidRDefault="31407F2E" w14:paraId="49058F1B" w14:textId="345A38D3">
      <w:pPr>
        <w:pStyle w:val="Normal"/>
        <w:spacing w:before="240" w:beforeAutospacing="off" w:after="240" w:afterAutospacing="off"/>
        <w:rPr>
          <w:rFonts w:ascii="Aptos" w:hAnsi="Aptos" w:eastAsia="Aptos" w:cs="Aptos"/>
          <w:noProof w:val="0"/>
          <w:sz w:val="24"/>
          <w:szCs w:val="24"/>
          <w:lang w:val="en-GB"/>
        </w:rPr>
      </w:pPr>
      <w:r w:rsidRPr="599066E5" w:rsidR="31407F2E">
        <w:rPr>
          <w:rFonts w:ascii="Arial Nova" w:hAnsi="Arial Nova" w:eastAsia="Arial Nova" w:cs="Arial Nova"/>
          <w:noProof w:val="0"/>
          <w:sz w:val="24"/>
          <w:szCs w:val="24"/>
          <w:lang w:val="en-GB"/>
        </w:rPr>
        <w:t xml:space="preserve">In conclusion, the introduction of a major trauma recognition aid within WAST </w:t>
      </w:r>
      <w:r w:rsidRPr="599066E5" w:rsidR="31407F2E">
        <w:rPr>
          <w:rFonts w:ascii="Arial Nova" w:hAnsi="Arial Nova" w:eastAsia="Arial Nova" w:cs="Arial Nova"/>
          <w:noProof w:val="0"/>
          <w:sz w:val="24"/>
          <w:szCs w:val="24"/>
          <w:lang w:val="en-GB"/>
        </w:rPr>
        <w:t>represents</w:t>
      </w:r>
      <w:r w:rsidRPr="599066E5" w:rsidR="31407F2E">
        <w:rPr>
          <w:rFonts w:ascii="Arial Nova" w:hAnsi="Arial Nova" w:eastAsia="Arial Nova" w:cs="Arial Nova"/>
          <w:noProof w:val="0"/>
          <w:sz w:val="24"/>
          <w:szCs w:val="24"/>
          <w:lang w:val="en-GB"/>
        </w:rPr>
        <w:t xml:space="preserve"> a targeted and evidence-informed response to variability in clinical decision-making. The project highlights the complexity of implementing change within a dynamic healthcare environment, where organisational culture, operational pressures, and cognitive factors all influence practice. While the recognition aid offers a practical solution, its success is dependent on effective implementation, leadership, and ongoing evaluation. As such, it should be viewed not as a standalone intervention, but as part of a broader strategy to support high-quality, patient-centred care within WAS</w:t>
      </w:r>
      <w:r w:rsidRPr="599066E5" w:rsidR="6ED64833">
        <w:rPr>
          <w:rFonts w:ascii="Arial Nova" w:hAnsi="Arial Nova" w:eastAsia="Arial Nova" w:cs="Arial Nova"/>
          <w:noProof w:val="0"/>
          <w:sz w:val="24"/>
          <w:szCs w:val="24"/>
          <w:lang w:val="en-GB"/>
        </w:rPr>
        <w:t>T</w:t>
      </w:r>
      <w:r w:rsidRPr="599066E5" w:rsidR="6ED64833">
        <w:rPr>
          <w:rFonts w:ascii="Aptos" w:hAnsi="Aptos" w:eastAsia="Aptos" w:cs="Aptos"/>
          <w:noProof w:val="0"/>
          <w:sz w:val="24"/>
          <w:szCs w:val="24"/>
          <w:lang w:val="en-GB"/>
        </w:rPr>
        <w:t>.</w:t>
      </w:r>
    </w:p>
    <w:p w:rsidR="599066E5" w:rsidP="599066E5" w:rsidRDefault="599066E5" w14:paraId="2D1EDD90" w14:textId="67F4783C">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456E0B16" w14:textId="2E7474D3">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446975F4" w14:textId="3FBF00D3">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61580D12" w14:textId="346BEE43">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5A74D19A" w14:textId="2A565461">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1DE7EB1A" w14:textId="159F137D">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71F1757C" w14:textId="728331AC">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0C18A286" w14:textId="4B850D65">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0CB87A1A" w14:textId="2AE1B423">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2A3DFAA2" w14:textId="2A7D156B">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6855C1D8" w14:textId="735C208F">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4F07DE71" w14:textId="1868C6CD">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4C02E7D7" w14:textId="361EB1B4">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5321BD11" w14:textId="6A1418C7">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6DDE5002" w14:textId="1B9B1140">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0E7A0DA6" w14:textId="1842967C">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14C456E1" w14:textId="13371258">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4420379B" w14:textId="51473614">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70457F05" w14:textId="06C78787">
      <w:pPr>
        <w:spacing w:before="240" w:beforeAutospacing="off" w:after="240" w:afterAutospacing="off"/>
        <w:rPr>
          <w:rFonts w:ascii="Arial Nova" w:hAnsi="Arial Nova" w:eastAsia="Arial Nova" w:cs="Arial Nova"/>
          <w:noProof w:val="0"/>
          <w:sz w:val="24"/>
          <w:szCs w:val="24"/>
          <w:lang w:val="en-GB"/>
        </w:rPr>
      </w:pPr>
    </w:p>
    <w:p w:rsidR="599066E5" w:rsidP="599066E5" w:rsidRDefault="599066E5" w14:paraId="367F3A25" w14:textId="37ED13AA">
      <w:pPr>
        <w:spacing w:before="240" w:beforeAutospacing="off" w:after="240" w:afterAutospacing="off"/>
        <w:rPr>
          <w:rFonts w:ascii="Arial Nova" w:hAnsi="Arial Nova" w:eastAsia="Arial Nova" w:cs="Arial Nova"/>
          <w:noProof w:val="0"/>
          <w:sz w:val="24"/>
          <w:szCs w:val="24"/>
          <w:lang w:val="en-GB"/>
        </w:rPr>
      </w:pPr>
    </w:p>
    <w:p w:rsidR="46CB36B0" w:rsidP="599066E5" w:rsidRDefault="46CB36B0" w14:paraId="0E5A110A" w14:textId="3046FAE2">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599066E5" w:rsidR="46CB36B0">
        <w:rPr>
          <w:rFonts w:ascii="Aptos" w:hAnsi="Aptos" w:eastAsia="Aptos" w:cs="Aptos"/>
          <w:b w:val="1"/>
          <w:bCs w:val="1"/>
          <w:i w:val="0"/>
          <w:iCs w:val="0"/>
          <w:caps w:val="0"/>
          <w:smallCaps w:val="0"/>
          <w:noProof w:val="0"/>
          <w:color w:val="000000" w:themeColor="text1" w:themeTint="FF" w:themeShade="FF"/>
          <w:sz w:val="24"/>
          <w:szCs w:val="24"/>
          <w:lang w:val="en-GB"/>
        </w:rPr>
        <w:t>References</w:t>
      </w:r>
    </w:p>
    <w:p w:rsidR="46CB36B0" w:rsidP="599066E5" w:rsidRDefault="46CB36B0" w14:paraId="07A05F71" w14:textId="337C77C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Bate, P. and Robert, G. (2006)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Experience-based design: from redesigning the system around the patient to co-designing services with the patient</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Quality and Safety in Health Care, 15(5), pp.307–310.</w:t>
      </w:r>
    </w:p>
    <w:p w:rsidR="46CB36B0" w:rsidP="599066E5" w:rsidRDefault="46CB36B0" w14:paraId="3193313E" w14:textId="1362E09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Boaden, R., Harvey, G., Moxham, C. and Proudlove, N. (2008)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Quality improvement: theory and practice in healthcare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Coventry: NHS Institute for Innovation and Improvement.</w:t>
      </w:r>
    </w:p>
    <w:p w:rsidR="46CB36B0" w:rsidP="599066E5" w:rsidRDefault="46CB36B0" w14:paraId="4BBAE85E" w14:textId="1A02F91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Bowling, A. (2014)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Research methods in health: investigating health and health services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4th edn. Maidenhead: Open University Press.</w:t>
      </w:r>
    </w:p>
    <w:p w:rsidR="46CB36B0" w:rsidP="599066E5" w:rsidRDefault="46CB36B0" w14:paraId="33489A0D" w14:textId="632516E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Caterino, J.M., Raubenolt, A. and Cudnik, M.T. (2011)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Modification of Glasgow Coma Scale criteria for injured older adults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Annals of Emergency Medicine, 58(2), pp.165–170.</w:t>
      </w:r>
    </w:p>
    <w:p w:rsidR="46CB36B0" w:rsidP="599066E5" w:rsidRDefault="46CB36B0" w14:paraId="56B5D7DF" w14:textId="33DE554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Croskerry, P. (2003)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importance of cognitive errors in diagnosis and strategies to minimise them</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Academic Medicine, 78(8), pp.775–780.</w:t>
      </w:r>
    </w:p>
    <w:p w:rsidR="46CB36B0" w:rsidP="599066E5" w:rsidRDefault="46CB36B0" w14:paraId="13094038" w14:textId="4885238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Croskerry, P. (2009)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 universal model of diagnostic reasoning</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Academic Medicine, 84(8), pp.1022–1028.</w:t>
      </w:r>
    </w:p>
    <w:p w:rsidR="46CB36B0" w:rsidP="599066E5" w:rsidRDefault="46CB36B0" w14:paraId="6E998855" w14:textId="0E1AF2E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Donabedian, A. (1988)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quality of care: how can it be assessed?</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 Journal of the American Medical Association, 260(12), pp.1743–1748.</w:t>
      </w:r>
    </w:p>
    <w:p w:rsidR="46CB36B0" w:rsidP="599066E5" w:rsidRDefault="46CB36B0" w14:paraId="1274BBE5" w14:textId="6C9745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Edmondson, A.C. (2004)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Psychological safety, trust, and learning in organizations: a group-level lens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In: Kramer, R.M. and Cook, K.S. (eds.) Trust and distrust in organizations. New York: Russell Sage Foundation, pp.239–272.</w:t>
      </w:r>
    </w:p>
    <w:p w:rsidR="46CB36B0" w:rsidP="599066E5" w:rsidRDefault="46CB36B0" w14:paraId="4D9A0F49" w14:textId="66387B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Greenhalgh, T., Robert, G., Macfarlane, F., Bate, P. and Kyriakidou, O. (2004)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Diffusion of innovations in service organizations: systematic review and recommendations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The Milbank Quarterly, 82(4), pp.581–629.</w:t>
      </w:r>
    </w:p>
    <w:p w:rsidR="46CB36B0" w:rsidP="599066E5" w:rsidRDefault="46CB36B0" w14:paraId="2D7C861D" w14:textId="67BB57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Heifetz, R., Grashow, A. and Linsky, M. (2009)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practice of adaptive leadership</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Boston: Harvard Business Press.</w:t>
      </w:r>
    </w:p>
    <w:p w:rsidR="46CB36B0" w:rsidP="599066E5" w:rsidRDefault="46CB36B0" w14:paraId="607A41A5" w14:textId="7507A54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Hiatt, J. (2006)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ADKAR: a model for change in business, government and our community</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Loveland: Prosci Research.</w:t>
      </w:r>
    </w:p>
    <w:p w:rsidR="46CB36B0" w:rsidP="599066E5" w:rsidRDefault="46CB36B0" w14:paraId="26FC7698" w14:textId="4A6FE43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Hutchins, E. (1995)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Cognition in the wild</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Cambridge, MA: MIT Press.</w:t>
      </w:r>
    </w:p>
    <w:p w:rsidR="46CB36B0" w:rsidP="599066E5" w:rsidRDefault="46CB36B0" w14:paraId="210E578B" w14:textId="6898A45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Ivers, N., Jamtvedt, G., Flottorp, S., Young, J.M., Odgaard-Jensen, J., French, S.D., O’Brien, M.A., Johansen, M., Grimshaw, J. and Oxman, A.D. (2012)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Audit and feedback: effects on professional practice and healthcare outcomes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Cochrane Database of Systematic Reviews, Issue 6.</w:t>
      </w:r>
    </w:p>
    <w:p w:rsidR="46CB36B0" w:rsidP="599066E5" w:rsidRDefault="46CB36B0" w14:paraId="480B4A14" w14:textId="4303B7D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Kahneman, D. (2011)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Thinking, fast and slow</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London: Penguin.</w:t>
      </w:r>
    </w:p>
    <w:p w:rsidR="46CB36B0" w:rsidP="599066E5" w:rsidRDefault="46CB36B0" w14:paraId="456EBCF1" w14:textId="1BD5F3F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Kehoe, A., Smith, J.E., Edwards, A., Yates, D. and Lecky, F. (2015)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changing face of major trauma in the UK</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Emergency Medicine Journal, 32(12), pp.911–915.</w:t>
      </w:r>
    </w:p>
    <w:p w:rsidR="46CB36B0" w:rsidP="599066E5" w:rsidRDefault="46CB36B0" w14:paraId="30530DA4" w14:textId="002C125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Kotter, J.P. (1996)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Leading change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Boston: Harvard Business School Press.</w:t>
      </w:r>
    </w:p>
    <w:p w:rsidR="46CB36B0" w:rsidP="599066E5" w:rsidRDefault="46CB36B0" w14:paraId="5727C388" w14:textId="7B977EB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Langley, G.J., Moen, R., Nolan, K.M., Nolan, T.W., Norman, C.L. and Provost, L.P. (2009)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improvement guide: a practical approach to enhancing organizational performance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2nd edn. San Francisco: Jossey-Bass.</w:t>
      </w:r>
    </w:p>
    <w:p w:rsidR="46CB36B0" w:rsidP="599066E5" w:rsidRDefault="46CB36B0" w14:paraId="6DCEF250" w14:textId="799E27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Lewin, K. (1951)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Field theory in social science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New York: Harper &amp; Row.</w:t>
      </w:r>
    </w:p>
    <w:p w:rsidR="46CB36B0" w:rsidP="599066E5" w:rsidRDefault="46CB36B0" w14:paraId="1CD1FBAC" w14:textId="3A4A876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NHS Leadership Academy (2013)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Healthcare leadership model</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London: NHS Leadership Academy.</w:t>
      </w:r>
    </w:p>
    <w:p w:rsidR="46CB36B0" w:rsidP="599066E5" w:rsidRDefault="46CB36B0" w14:paraId="472BE96A" w14:textId="7770D5D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NICE (2016)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Major trauma: assessment and initial management (NG39)</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London: National Institute for Health and Care Excellence.</w:t>
      </w:r>
    </w:p>
    <w:p w:rsidR="46CB36B0" w:rsidP="599066E5" w:rsidRDefault="46CB36B0" w14:paraId="5FCAE360" w14:textId="270C785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Norman, G., Monteiro, S. and Sherbino, J. (2017)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Is clinical cognition binary or continuous?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 Academic Medicine, 92(6), pp.778–782.</w:t>
      </w:r>
    </w:p>
    <w:p w:rsidR="46CB36B0" w:rsidP="599066E5" w:rsidRDefault="46CB36B0" w14:paraId="19D54FFB" w14:textId="28F1A89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O’Hara, R., Johnson, M., Hirst, E., Weyman, A., Shaw, D., Mortimer, P., Newman, C., Storey, M., Mason, S. and Siriwardena, A.N. (2015)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 qualitative study of decision-making and safety in ambulance service transitions</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Health Services and Delivery Research, 3(47).</w:t>
      </w:r>
    </w:p>
    <w:p w:rsidR="46CB36B0" w:rsidP="599066E5" w:rsidRDefault="46CB36B0" w14:paraId="1FDC0297" w14:textId="35CC313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Plsek, P.E. and Greenhalgh, T. (2001)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Complexity science: the challenge of complexity in health care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BMJ, 323(7313), pp.625–628.</w:t>
      </w:r>
    </w:p>
    <w:p w:rsidR="46CB36B0" w:rsidP="599066E5" w:rsidRDefault="46CB36B0" w14:paraId="519EC7E5" w14:textId="0C16EFA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Senedd Research (2017)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ambulance services clinical response model</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Cardiff: National Assembly for Wales.</w:t>
      </w:r>
    </w:p>
    <w:p w:rsidR="46CB36B0" w:rsidP="599066E5" w:rsidRDefault="46CB36B0" w14:paraId="62B25552" w14:textId="0D0C790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Timmermans, S. and Berg, M. (2003)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The gold standard: the challenge of evidence-based medicine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Philadelphia: Temple University Press.</w:t>
      </w:r>
    </w:p>
    <w:p w:rsidR="46CB36B0" w:rsidP="599066E5" w:rsidRDefault="46CB36B0" w14:paraId="7D5881A6" w14:textId="2AC0AA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Vincent, C. (2010)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Patient safety</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2nd edn. Oxford: Wiley-Blackwell.</w:t>
      </w:r>
    </w:p>
    <w:p w:rsidR="46CB36B0" w:rsidP="599066E5" w:rsidRDefault="46CB36B0" w14:paraId="694CCA01" w14:textId="47CB53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(2018)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 Healthier Wales: our plan for health and social care</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Cardiff: Welsh Government.</w:t>
      </w:r>
    </w:p>
    <w:p w:rsidR="46CB36B0" w:rsidP="599066E5" w:rsidRDefault="46CB36B0" w14:paraId="2ABF18C1" w14:textId="122D8B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(2020) </w:t>
      </w:r>
      <w:r w:rsidRPr="599066E5" w:rsidR="46CB36B0">
        <w:rPr>
          <w:rFonts w:ascii="Aptos" w:hAnsi="Aptos" w:eastAsia="Aptos" w:cs="Aptos"/>
          <w:b w:val="0"/>
          <w:bCs w:val="0"/>
          <w:i w:val="1"/>
          <w:iCs w:val="1"/>
          <w:caps w:val="0"/>
          <w:smallCaps w:val="0"/>
          <w:noProof w:val="0"/>
          <w:color w:val="000000" w:themeColor="text1" w:themeTint="FF" w:themeShade="FF"/>
          <w:sz w:val="24"/>
          <w:szCs w:val="24"/>
          <w:lang w:val="en-GB"/>
        </w:rPr>
        <w:t>Ambulance services performance framework</w:t>
      </w:r>
      <w:r w:rsidRPr="599066E5" w:rsidR="46CB36B0">
        <w:rPr>
          <w:rFonts w:ascii="Aptos" w:hAnsi="Aptos" w:eastAsia="Aptos" w:cs="Aptos"/>
          <w:b w:val="0"/>
          <w:bCs w:val="0"/>
          <w:i w:val="0"/>
          <w:iCs w:val="0"/>
          <w:caps w:val="0"/>
          <w:smallCaps w:val="0"/>
          <w:noProof w:val="0"/>
          <w:color w:val="000000" w:themeColor="text1" w:themeTint="FF" w:themeShade="FF"/>
          <w:sz w:val="24"/>
          <w:szCs w:val="24"/>
          <w:lang w:val="en-GB"/>
        </w:rPr>
        <w:t>. Cardiff: Welsh Government.</w:t>
      </w:r>
    </w:p>
    <w:p w:rsidR="599066E5" w:rsidP="599066E5" w:rsidRDefault="599066E5" w14:paraId="7F954068" w14:textId="5961546A">
      <w:pPr>
        <w:spacing w:before="240" w:beforeAutospacing="off" w:after="240" w:afterAutospacing="off"/>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4b7b2fbc857441fb"/>
      <w:footerReference w:type="default" r:id="R64b107caf17445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9066E5" w:rsidTr="599066E5" w14:paraId="2EDCF84A">
      <w:trPr>
        <w:trHeight w:val="300"/>
      </w:trPr>
      <w:tc>
        <w:tcPr>
          <w:tcW w:w="3005" w:type="dxa"/>
          <w:tcMar/>
        </w:tcPr>
        <w:p w:rsidR="599066E5" w:rsidP="599066E5" w:rsidRDefault="599066E5" w14:paraId="483F4402" w14:textId="5E1715A1">
          <w:pPr>
            <w:pStyle w:val="Header"/>
            <w:bidi w:val="0"/>
            <w:ind w:left="-115"/>
            <w:jc w:val="left"/>
            <w:rPr>
              <w:b w:val="1"/>
              <w:bCs w:val="1"/>
              <w:i w:val="1"/>
              <w:iCs w:val="1"/>
            </w:rPr>
          </w:pPr>
          <w:r w:rsidRPr="599066E5" w:rsidR="599066E5">
            <w:rPr>
              <w:b w:val="1"/>
              <w:bCs w:val="1"/>
              <w:i w:val="1"/>
              <w:iCs w:val="1"/>
            </w:rPr>
            <w:t>Student number: 2244757</w:t>
          </w:r>
        </w:p>
      </w:tc>
      <w:tc>
        <w:tcPr>
          <w:tcW w:w="3005" w:type="dxa"/>
          <w:tcMar/>
        </w:tcPr>
        <w:p w:rsidR="599066E5" w:rsidP="599066E5" w:rsidRDefault="599066E5" w14:paraId="490FD157" w14:textId="73CD224A">
          <w:pPr>
            <w:pStyle w:val="Header"/>
            <w:bidi w:val="0"/>
            <w:jc w:val="center"/>
          </w:pPr>
        </w:p>
      </w:tc>
      <w:tc>
        <w:tcPr>
          <w:tcW w:w="3005" w:type="dxa"/>
          <w:tcMar/>
        </w:tcPr>
        <w:p w:rsidR="599066E5" w:rsidP="599066E5" w:rsidRDefault="599066E5" w14:paraId="108C27BD" w14:textId="17F004E5">
          <w:pPr>
            <w:pStyle w:val="Header"/>
            <w:bidi w:val="0"/>
            <w:ind w:right="-115"/>
            <w:jc w:val="right"/>
            <w:rPr>
              <w:b w:val="0"/>
              <w:bCs w:val="0"/>
              <w:i w:val="1"/>
              <w:iCs w:val="1"/>
            </w:rPr>
          </w:pPr>
          <w:r w:rsidRPr="599066E5">
            <w:rPr>
              <w:b w:val="0"/>
              <w:bCs w:val="0"/>
              <w:i w:val="1"/>
              <w:iCs w:val="1"/>
            </w:rPr>
            <w:fldChar w:fldCharType="begin"/>
          </w:r>
          <w:r>
            <w:instrText xml:space="preserve">PAGE</w:instrText>
          </w:r>
          <w:r>
            <w:fldChar w:fldCharType="separate"/>
          </w:r>
          <w:r w:rsidRPr="599066E5">
            <w:rPr>
              <w:b w:val="0"/>
              <w:bCs w:val="0"/>
              <w:i w:val="1"/>
              <w:iCs w:val="1"/>
            </w:rPr>
            <w:fldChar w:fldCharType="end"/>
          </w:r>
          <w:r w:rsidRPr="599066E5" w:rsidR="599066E5">
            <w:rPr>
              <w:b w:val="0"/>
              <w:bCs w:val="0"/>
              <w:i w:val="1"/>
              <w:iCs w:val="1"/>
            </w:rPr>
            <w:t xml:space="preserve"> of </w:t>
          </w:r>
          <w:r w:rsidRPr="599066E5">
            <w:rPr>
              <w:b w:val="0"/>
              <w:bCs w:val="0"/>
              <w:i w:val="1"/>
              <w:iCs w:val="1"/>
            </w:rPr>
            <w:fldChar w:fldCharType="begin"/>
          </w:r>
          <w:r>
            <w:instrText xml:space="preserve">NUMPAGES</w:instrText>
          </w:r>
          <w:r>
            <w:fldChar w:fldCharType="separate"/>
          </w:r>
          <w:r w:rsidRPr="599066E5">
            <w:rPr>
              <w:b w:val="0"/>
              <w:bCs w:val="0"/>
              <w:i w:val="1"/>
              <w:iCs w:val="1"/>
            </w:rPr>
            <w:fldChar w:fldCharType="end"/>
          </w:r>
        </w:p>
      </w:tc>
    </w:tr>
  </w:tbl>
  <w:p w:rsidR="599066E5" w:rsidP="599066E5" w:rsidRDefault="599066E5" w14:paraId="4008E2BF" w14:textId="0CB254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5655"/>
      <w:gridCol w:w="355"/>
      <w:gridCol w:w="3005"/>
    </w:tblGrid>
    <w:tr w:rsidR="599066E5" w:rsidTr="599066E5" w14:paraId="7D6E12E1">
      <w:trPr>
        <w:trHeight w:val="300"/>
      </w:trPr>
      <w:tc>
        <w:tcPr>
          <w:tcW w:w="5655" w:type="dxa"/>
          <w:tcMar/>
        </w:tcPr>
        <w:p w:rsidR="599066E5" w:rsidP="599066E5" w:rsidRDefault="599066E5" w14:paraId="710D2CD9" w14:textId="6B97683C">
          <w:pPr>
            <w:pStyle w:val="Header"/>
            <w:bidi w:val="0"/>
            <w:ind w:left="-115"/>
            <w:jc w:val="left"/>
            <w:rPr>
              <w:b w:val="1"/>
              <w:bCs w:val="1"/>
              <w:i w:val="1"/>
              <w:iCs w:val="1"/>
            </w:rPr>
          </w:pPr>
          <w:r w:rsidRPr="599066E5" w:rsidR="599066E5">
            <w:rPr>
              <w:b w:val="1"/>
              <w:bCs w:val="1"/>
              <w:i w:val="1"/>
              <w:iCs w:val="1"/>
            </w:rPr>
            <w:t>Leadership and Change BMPF7309D</w:t>
          </w:r>
        </w:p>
      </w:tc>
      <w:tc>
        <w:tcPr>
          <w:tcW w:w="355" w:type="dxa"/>
          <w:tcMar/>
        </w:tcPr>
        <w:p w:rsidR="599066E5" w:rsidP="599066E5" w:rsidRDefault="599066E5" w14:paraId="4218A0AC" w14:textId="7CD0988E">
          <w:pPr>
            <w:pStyle w:val="Header"/>
            <w:bidi w:val="0"/>
            <w:jc w:val="center"/>
          </w:pPr>
        </w:p>
      </w:tc>
      <w:tc>
        <w:tcPr>
          <w:tcW w:w="3005" w:type="dxa"/>
          <w:tcMar/>
        </w:tcPr>
        <w:p w:rsidR="599066E5" w:rsidP="599066E5" w:rsidRDefault="599066E5" w14:paraId="2447811F" w14:textId="5D8AEF95">
          <w:pPr>
            <w:pStyle w:val="Header"/>
            <w:bidi w:val="0"/>
            <w:ind w:right="-115"/>
            <w:jc w:val="right"/>
          </w:pPr>
        </w:p>
      </w:tc>
    </w:tr>
  </w:tbl>
  <w:p w:rsidR="599066E5" w:rsidP="599066E5" w:rsidRDefault="599066E5" w14:paraId="00B7FC3A" w14:textId="55BD2155">
    <w:pPr>
      <w:pStyle w:val="Header"/>
      <w:bidi w:val="0"/>
    </w:pPr>
  </w:p>
</w:hdr>
</file>

<file path=word/numbering.xml><?xml version="1.0" encoding="utf-8"?>
<w:numbering xmlns:w="http://schemas.openxmlformats.org/wordprocessingml/2006/main">
  <w:abstractNum xmlns:w="http://schemas.openxmlformats.org/wordprocessingml/2006/main" w:abstractNumId="1">
    <w:nsid w:val="405af2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27C3AC"/>
    <w:rsid w:val="096F97B7"/>
    <w:rsid w:val="0BA50A1D"/>
    <w:rsid w:val="0D4049FF"/>
    <w:rsid w:val="125CC562"/>
    <w:rsid w:val="12ACAD67"/>
    <w:rsid w:val="131D3341"/>
    <w:rsid w:val="1340D1EC"/>
    <w:rsid w:val="1729F8ED"/>
    <w:rsid w:val="175CB33E"/>
    <w:rsid w:val="182020CF"/>
    <w:rsid w:val="18F8B122"/>
    <w:rsid w:val="1959F7D2"/>
    <w:rsid w:val="1A213828"/>
    <w:rsid w:val="204DAF01"/>
    <w:rsid w:val="2081BF06"/>
    <w:rsid w:val="20C19F92"/>
    <w:rsid w:val="214D8BB2"/>
    <w:rsid w:val="2524B44E"/>
    <w:rsid w:val="262B5423"/>
    <w:rsid w:val="26BE37FB"/>
    <w:rsid w:val="26CFDC81"/>
    <w:rsid w:val="28582F1F"/>
    <w:rsid w:val="298ADDE9"/>
    <w:rsid w:val="2B167E02"/>
    <w:rsid w:val="2E7D78A2"/>
    <w:rsid w:val="2F066332"/>
    <w:rsid w:val="30209358"/>
    <w:rsid w:val="31407F2E"/>
    <w:rsid w:val="35A4906E"/>
    <w:rsid w:val="37257C4C"/>
    <w:rsid w:val="3C281969"/>
    <w:rsid w:val="3CFC7A62"/>
    <w:rsid w:val="40480A90"/>
    <w:rsid w:val="45AD711B"/>
    <w:rsid w:val="46CB36B0"/>
    <w:rsid w:val="479FAC65"/>
    <w:rsid w:val="47BE87AF"/>
    <w:rsid w:val="487AB55F"/>
    <w:rsid w:val="48EAC6A0"/>
    <w:rsid w:val="4AAB377F"/>
    <w:rsid w:val="4B27C3AC"/>
    <w:rsid w:val="4B9194C8"/>
    <w:rsid w:val="4C4758CB"/>
    <w:rsid w:val="4CABD913"/>
    <w:rsid w:val="524847B6"/>
    <w:rsid w:val="551DBD49"/>
    <w:rsid w:val="55941C26"/>
    <w:rsid w:val="570B7B28"/>
    <w:rsid w:val="5922C7EB"/>
    <w:rsid w:val="599066E5"/>
    <w:rsid w:val="5B481A70"/>
    <w:rsid w:val="5D19BCFB"/>
    <w:rsid w:val="5E637EFA"/>
    <w:rsid w:val="5FDA8C62"/>
    <w:rsid w:val="60CD14CF"/>
    <w:rsid w:val="60FF6D82"/>
    <w:rsid w:val="61DE4470"/>
    <w:rsid w:val="64D3EADE"/>
    <w:rsid w:val="695B2631"/>
    <w:rsid w:val="6A6278A5"/>
    <w:rsid w:val="6E169866"/>
    <w:rsid w:val="6ED64833"/>
    <w:rsid w:val="6F2FF514"/>
    <w:rsid w:val="6FD8F429"/>
    <w:rsid w:val="72A5B8FC"/>
    <w:rsid w:val="75428CC3"/>
    <w:rsid w:val="75E01E08"/>
    <w:rsid w:val="7B412CB2"/>
    <w:rsid w:val="7C0C8AA9"/>
    <w:rsid w:val="7CC3C823"/>
    <w:rsid w:val="7DCEA286"/>
    <w:rsid w:val="7E4F3439"/>
    <w:rsid w:val="7E9E9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8E76A"/>
  <w15:chartTrackingRefBased/>
  <w15:docId w15:val="{D80B094E-6AC8-4D32-9E3E-627C119976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99066E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99066E5"/>
    <w:pPr>
      <w:spacing/>
      <w:ind w:left="720"/>
      <w:contextualSpacing/>
    </w:pPr>
  </w:style>
  <w:style w:type="paragraph" w:styleId="Header">
    <w:uiPriority w:val="99"/>
    <w:name w:val="header"/>
    <w:basedOn w:val="Normal"/>
    <w:unhideWhenUsed/>
    <w:rsid w:val="599066E5"/>
    <w:pPr>
      <w:tabs>
        <w:tab w:val="center" w:leader="none" w:pos="4680"/>
        <w:tab w:val="right" w:leader="none" w:pos="9360"/>
      </w:tabs>
      <w:spacing w:after="0" w:line="240" w:lineRule="auto"/>
    </w:pPr>
  </w:style>
  <w:style w:type="paragraph" w:styleId="Footer">
    <w:uiPriority w:val="99"/>
    <w:name w:val="footer"/>
    <w:basedOn w:val="Normal"/>
    <w:unhideWhenUsed/>
    <w:rsid w:val="599066E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b7b2fbc857441fb" /><Relationship Type="http://schemas.openxmlformats.org/officeDocument/2006/relationships/footer" Target="/word/footer.xml" Id="R64b107caf174450d" /><Relationship Type="http://schemas.openxmlformats.org/officeDocument/2006/relationships/numbering" Target="/word/numbering.xml" Id="Rb5cc7cff38704d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Keedwell  (Welsh Ambulance Service NHS Trust - 020 Neath (CW)</dc:creator>
  <keywords/>
  <dc:description/>
  <lastModifiedBy>Kelly Keedwell  (Welsh Ambulance Service NHS Trust - 020 Neath (CW)</lastModifiedBy>
  <revision>2</revision>
  <dcterms:created xsi:type="dcterms:W3CDTF">2026-04-15T14:42:27.5224867Z</dcterms:created>
  <dcterms:modified xsi:type="dcterms:W3CDTF">2026-04-15T17:48:49.0072620Z</dcterms:modified>
</coreProperties>
</file>