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194DF0" w14:textId="77777777" w:rsidR="005D2344" w:rsidRPr="00086EF1" w:rsidRDefault="005D2344" w:rsidP="005D2344">
      <w:pPr>
        <w:pStyle w:val="Heading1"/>
      </w:pPr>
      <w:bookmarkStart w:id="0" w:name="_Toc491775960"/>
      <w:bookmarkStart w:id="1" w:name="_Toc492030961"/>
      <w:r w:rsidRPr="00086EF1">
        <w:t>APPENDIX 5: Good and bad critical reflection</w:t>
      </w:r>
      <w:bookmarkEnd w:id="0"/>
      <w:bookmarkEnd w:id="1"/>
    </w:p>
    <w:p w14:paraId="6ACFCA06" w14:textId="77777777" w:rsidR="005D2344" w:rsidRPr="00F40A64" w:rsidRDefault="005D2344" w:rsidP="005D2344"/>
    <w:p w14:paraId="40864037" w14:textId="77777777" w:rsidR="005D2344" w:rsidRPr="00B819F1" w:rsidRDefault="005D2344" w:rsidP="005D2344">
      <w:pPr>
        <w:rPr>
          <w:sz w:val="18"/>
          <w:szCs w:val="18"/>
        </w:rPr>
      </w:pPr>
      <w:r w:rsidRPr="00B819F1">
        <w:rPr>
          <w:sz w:val="18"/>
          <w:szCs w:val="18"/>
        </w:rPr>
        <w:t>(Taken from: Cottrell, S. 2011. Critical Thinking Skills. 2</w:t>
      </w:r>
      <w:r w:rsidRPr="00B819F1">
        <w:rPr>
          <w:sz w:val="18"/>
          <w:szCs w:val="18"/>
          <w:vertAlign w:val="superscript"/>
        </w:rPr>
        <w:t>nd</w:t>
      </w:r>
      <w:r w:rsidRPr="00B819F1">
        <w:rPr>
          <w:sz w:val="18"/>
          <w:szCs w:val="18"/>
        </w:rPr>
        <w:t xml:space="preserve"> Ed. Palgrave, Hampshire.) </w:t>
      </w:r>
    </w:p>
    <w:p w14:paraId="795A5784" w14:textId="77777777" w:rsidR="005D2344" w:rsidRPr="00B819F1" w:rsidRDefault="005D2344" w:rsidP="005D2344"/>
    <w:tbl>
      <w:tblPr>
        <w:tblStyle w:val="TableGrid"/>
        <w:tblW w:w="8897" w:type="dxa"/>
        <w:tblLook w:val="04A0" w:firstRow="1" w:lastRow="0" w:firstColumn="1" w:lastColumn="0" w:noHBand="0" w:noVBand="1"/>
      </w:tblPr>
      <w:tblGrid>
        <w:gridCol w:w="1951"/>
        <w:gridCol w:w="3544"/>
        <w:gridCol w:w="3402"/>
      </w:tblGrid>
      <w:tr w:rsidR="005D2344" w:rsidRPr="00B819F1" w14:paraId="61B4F572" w14:textId="77777777" w:rsidTr="00C778F1">
        <w:trPr>
          <w:trHeight w:val="450"/>
        </w:trPr>
        <w:tc>
          <w:tcPr>
            <w:tcW w:w="1951" w:type="dxa"/>
            <w:shd w:val="clear" w:color="auto" w:fill="auto"/>
          </w:tcPr>
          <w:p w14:paraId="19DC657B" w14:textId="77777777" w:rsidR="005D2344" w:rsidRPr="00B819F1" w:rsidRDefault="005D2344" w:rsidP="00C778F1">
            <w:pPr>
              <w:rPr>
                <w:b/>
                <w:sz w:val="24"/>
              </w:rPr>
            </w:pPr>
            <w:r w:rsidRPr="00B819F1">
              <w:rPr>
                <w:b/>
                <w:sz w:val="24"/>
              </w:rPr>
              <w:t>Aspect</w:t>
            </w:r>
          </w:p>
        </w:tc>
        <w:tc>
          <w:tcPr>
            <w:tcW w:w="3544" w:type="dxa"/>
            <w:shd w:val="clear" w:color="auto" w:fill="auto"/>
          </w:tcPr>
          <w:p w14:paraId="372DE358" w14:textId="77777777" w:rsidR="005D2344" w:rsidRPr="00B819F1" w:rsidRDefault="005D2344" w:rsidP="00C778F1">
            <w:pPr>
              <w:rPr>
                <w:b/>
                <w:sz w:val="24"/>
              </w:rPr>
            </w:pPr>
            <w:r w:rsidRPr="00B819F1">
              <w:rPr>
                <w:b/>
                <w:sz w:val="24"/>
              </w:rPr>
              <w:t>Good critical reflection</w:t>
            </w:r>
          </w:p>
        </w:tc>
        <w:tc>
          <w:tcPr>
            <w:tcW w:w="3402" w:type="dxa"/>
            <w:shd w:val="clear" w:color="auto" w:fill="auto"/>
          </w:tcPr>
          <w:p w14:paraId="767781A1" w14:textId="77777777" w:rsidR="005D2344" w:rsidRPr="00B819F1" w:rsidRDefault="005D2344" w:rsidP="00C778F1">
            <w:pPr>
              <w:rPr>
                <w:b/>
                <w:sz w:val="24"/>
              </w:rPr>
            </w:pPr>
            <w:r w:rsidRPr="00B819F1">
              <w:rPr>
                <w:b/>
                <w:sz w:val="24"/>
              </w:rPr>
              <w:t>Poor critical reflection</w:t>
            </w:r>
          </w:p>
        </w:tc>
      </w:tr>
      <w:tr w:rsidR="005D2344" w:rsidRPr="00B819F1" w14:paraId="07F968D2" w14:textId="77777777" w:rsidTr="00C778F1">
        <w:tc>
          <w:tcPr>
            <w:tcW w:w="1951" w:type="dxa"/>
            <w:shd w:val="clear" w:color="auto" w:fill="auto"/>
          </w:tcPr>
          <w:p w14:paraId="76390F45" w14:textId="77777777" w:rsidR="005D2344" w:rsidRPr="00B819F1" w:rsidRDefault="005D2344" w:rsidP="00C778F1">
            <w:pPr>
              <w:rPr>
                <w:rFonts w:ascii="Arial" w:hAnsi="Arial"/>
              </w:rPr>
            </w:pPr>
            <w:r w:rsidRPr="00B819F1">
              <w:rPr>
                <w:rFonts w:ascii="Arial" w:hAnsi="Arial"/>
              </w:rPr>
              <w:t>Experience</w:t>
            </w:r>
          </w:p>
        </w:tc>
        <w:tc>
          <w:tcPr>
            <w:tcW w:w="3544" w:type="dxa"/>
            <w:shd w:val="clear" w:color="auto" w:fill="auto"/>
          </w:tcPr>
          <w:p w14:paraId="060BC9C0" w14:textId="77777777" w:rsidR="005D2344" w:rsidRPr="00B819F1" w:rsidRDefault="005D2344" w:rsidP="00C778F1">
            <w:r w:rsidRPr="00B819F1">
              <w:t>Draws on personal, group or workplace experience as a means of testing out theory or learning new lessons, looking at experiences with a critical eye.</w:t>
            </w:r>
          </w:p>
        </w:tc>
        <w:tc>
          <w:tcPr>
            <w:tcW w:w="3402" w:type="dxa"/>
            <w:shd w:val="clear" w:color="auto" w:fill="auto"/>
          </w:tcPr>
          <w:p w14:paraId="0D476BA6" w14:textId="77777777" w:rsidR="005D2344" w:rsidRPr="00B819F1" w:rsidRDefault="005D2344" w:rsidP="00C778F1">
            <w:r w:rsidRPr="00B819F1">
              <w:t xml:space="preserve">Assumes ‘experience’ is an end in itself; that one’s own experience is typical of others’ without good evidence that this is so; that experience equates to ‘insight’, without bringing a critical eye to it. </w:t>
            </w:r>
          </w:p>
        </w:tc>
      </w:tr>
      <w:tr w:rsidR="005D2344" w:rsidRPr="00B819F1" w14:paraId="0B9997E9" w14:textId="77777777" w:rsidTr="00C778F1">
        <w:tc>
          <w:tcPr>
            <w:tcW w:w="1951" w:type="dxa"/>
            <w:shd w:val="clear" w:color="auto" w:fill="auto"/>
          </w:tcPr>
          <w:p w14:paraId="0636E588" w14:textId="77777777" w:rsidR="005D2344" w:rsidRPr="00B819F1" w:rsidRDefault="005D2344" w:rsidP="00C778F1">
            <w:pPr>
              <w:rPr>
                <w:rFonts w:ascii="Arial" w:hAnsi="Arial"/>
              </w:rPr>
            </w:pPr>
            <w:r w:rsidRPr="00B819F1">
              <w:rPr>
                <w:rFonts w:ascii="Arial" w:hAnsi="Arial"/>
              </w:rPr>
              <w:t>Personal responsibility</w:t>
            </w:r>
          </w:p>
        </w:tc>
        <w:tc>
          <w:tcPr>
            <w:tcW w:w="3544" w:type="dxa"/>
            <w:shd w:val="clear" w:color="auto" w:fill="auto"/>
          </w:tcPr>
          <w:p w14:paraId="03105073" w14:textId="77777777" w:rsidR="005D2344" w:rsidRPr="00B819F1" w:rsidRDefault="005D2344" w:rsidP="00C778F1">
            <w:r w:rsidRPr="00B819F1">
              <w:t>The best critical reflection demonstrates integrity both in focussing on one’s personal role, such as the assumptions brought to a situation or actions taken or omitted, and in taking responsibility for the consequences of these.</w:t>
            </w:r>
          </w:p>
        </w:tc>
        <w:tc>
          <w:tcPr>
            <w:tcW w:w="3402" w:type="dxa"/>
            <w:shd w:val="clear" w:color="auto" w:fill="auto"/>
          </w:tcPr>
          <w:p w14:paraId="23EB0E8A" w14:textId="77777777" w:rsidR="005D2344" w:rsidRPr="00B819F1" w:rsidRDefault="005D2344" w:rsidP="00C778F1">
            <w:r w:rsidRPr="00B819F1">
              <w:t xml:space="preserve">Poor critical reflection finds ways of deflecting blame onto other people or the context itself for the way events unfolded. Alternatively, personal responsibility is addressed in a superficial way, so that the relation of action and consequence is not considered in depth. It is also poor practice to assume personal responsibility and guilt for matters that are not simply down to oneself. </w:t>
            </w:r>
          </w:p>
        </w:tc>
      </w:tr>
      <w:tr w:rsidR="005D2344" w:rsidRPr="00B819F1" w14:paraId="568D7F58" w14:textId="77777777" w:rsidTr="00C778F1">
        <w:tc>
          <w:tcPr>
            <w:tcW w:w="1951" w:type="dxa"/>
            <w:shd w:val="clear" w:color="auto" w:fill="auto"/>
          </w:tcPr>
          <w:p w14:paraId="1E656C9C" w14:textId="77777777" w:rsidR="005D2344" w:rsidRPr="00B819F1" w:rsidRDefault="005D2344" w:rsidP="00C778F1">
            <w:pPr>
              <w:rPr>
                <w:rFonts w:ascii="Arial" w:hAnsi="Arial"/>
              </w:rPr>
            </w:pPr>
            <w:r w:rsidRPr="00B819F1">
              <w:rPr>
                <w:rFonts w:ascii="Arial" w:hAnsi="Arial"/>
              </w:rPr>
              <w:t>Focus</w:t>
            </w:r>
          </w:p>
        </w:tc>
        <w:tc>
          <w:tcPr>
            <w:tcW w:w="3544" w:type="dxa"/>
            <w:shd w:val="clear" w:color="auto" w:fill="auto"/>
          </w:tcPr>
          <w:p w14:paraId="34046188" w14:textId="77777777" w:rsidR="005D2344" w:rsidRPr="00B819F1" w:rsidRDefault="005D2344" w:rsidP="00C778F1">
            <w:r w:rsidRPr="00B819F1">
              <w:t xml:space="preserve">Selects a focus such as a </w:t>
            </w:r>
            <w:proofErr w:type="gramStart"/>
            <w:r w:rsidRPr="00B819F1">
              <w:t>particular time-period</w:t>
            </w:r>
            <w:proofErr w:type="gramEnd"/>
            <w:r w:rsidRPr="00B819F1">
              <w:t>, set of events, specific kids of incident or examples of interactions.</w:t>
            </w:r>
          </w:p>
        </w:tc>
        <w:tc>
          <w:tcPr>
            <w:tcW w:w="3402" w:type="dxa"/>
            <w:shd w:val="clear" w:color="auto" w:fill="auto"/>
          </w:tcPr>
          <w:p w14:paraId="271E757A" w14:textId="77777777" w:rsidR="005D2344" w:rsidRPr="00B819F1" w:rsidRDefault="005D2344" w:rsidP="00C778F1">
            <w:r w:rsidRPr="00B819F1">
              <w:t>Rambles around or covers too many dimensions so it isn’t clear what the focus of the reflection is.</w:t>
            </w:r>
          </w:p>
        </w:tc>
      </w:tr>
      <w:tr w:rsidR="005D2344" w:rsidRPr="00B819F1" w14:paraId="37E9DFF1" w14:textId="77777777" w:rsidTr="00C778F1">
        <w:tc>
          <w:tcPr>
            <w:tcW w:w="1951" w:type="dxa"/>
            <w:shd w:val="clear" w:color="auto" w:fill="auto"/>
          </w:tcPr>
          <w:p w14:paraId="0D5B2B63" w14:textId="77777777" w:rsidR="005D2344" w:rsidRPr="00B819F1" w:rsidRDefault="005D2344" w:rsidP="00C778F1">
            <w:pPr>
              <w:rPr>
                <w:rFonts w:ascii="Arial" w:hAnsi="Arial"/>
              </w:rPr>
            </w:pPr>
            <w:r w:rsidRPr="00B819F1">
              <w:rPr>
                <w:rFonts w:ascii="Arial" w:hAnsi="Arial"/>
              </w:rPr>
              <w:t>Scale</w:t>
            </w:r>
          </w:p>
        </w:tc>
        <w:tc>
          <w:tcPr>
            <w:tcW w:w="3544" w:type="dxa"/>
            <w:shd w:val="clear" w:color="auto" w:fill="auto"/>
          </w:tcPr>
          <w:p w14:paraId="7D9C3553" w14:textId="77777777" w:rsidR="005D2344" w:rsidRPr="00B819F1" w:rsidRDefault="005D2344" w:rsidP="00C778F1">
            <w:r w:rsidRPr="00B819F1">
              <w:t xml:space="preserve">The focus is broad enough to offer challenge and meaningful insights but can be reasonably explored in the timescale and word limit. </w:t>
            </w:r>
          </w:p>
        </w:tc>
        <w:tc>
          <w:tcPr>
            <w:tcW w:w="3402" w:type="dxa"/>
            <w:shd w:val="clear" w:color="auto" w:fill="auto"/>
          </w:tcPr>
          <w:p w14:paraId="6CB6B27A" w14:textId="77777777" w:rsidR="005D2344" w:rsidRPr="00B819F1" w:rsidRDefault="005D2344" w:rsidP="00C778F1">
            <w:r w:rsidRPr="00B819F1">
              <w:t xml:space="preserve">Is either too narrow to provide the insights needed or too broad to look at things in any depth. </w:t>
            </w:r>
          </w:p>
        </w:tc>
      </w:tr>
      <w:tr w:rsidR="005D2344" w:rsidRPr="00B819F1" w14:paraId="2222E4CA" w14:textId="77777777" w:rsidTr="00C778F1">
        <w:tc>
          <w:tcPr>
            <w:tcW w:w="1951" w:type="dxa"/>
            <w:shd w:val="clear" w:color="auto" w:fill="auto"/>
          </w:tcPr>
          <w:p w14:paraId="2240F080" w14:textId="77777777" w:rsidR="005D2344" w:rsidRPr="00B819F1" w:rsidRDefault="005D2344" w:rsidP="00C778F1">
            <w:pPr>
              <w:rPr>
                <w:rFonts w:ascii="Arial" w:hAnsi="Arial"/>
              </w:rPr>
            </w:pPr>
            <w:r w:rsidRPr="00B819F1">
              <w:rPr>
                <w:rFonts w:ascii="Arial" w:hAnsi="Arial"/>
              </w:rPr>
              <w:t>Direction</w:t>
            </w:r>
          </w:p>
        </w:tc>
        <w:tc>
          <w:tcPr>
            <w:tcW w:w="3544" w:type="dxa"/>
            <w:shd w:val="clear" w:color="auto" w:fill="auto"/>
          </w:tcPr>
          <w:p w14:paraId="30573112" w14:textId="77777777" w:rsidR="005D2344" w:rsidRPr="00B819F1" w:rsidRDefault="005D2344" w:rsidP="00C778F1">
            <w:proofErr w:type="gramStart"/>
            <w:r w:rsidRPr="00B819F1">
              <w:t>However</w:t>
            </w:r>
            <w:proofErr w:type="gramEnd"/>
            <w:r w:rsidRPr="00B819F1">
              <w:t xml:space="preserve"> it may start, good critical reflection beings to take direction as the person starts to identify, and then focus on, selected themes for closer attention.</w:t>
            </w:r>
          </w:p>
        </w:tc>
        <w:tc>
          <w:tcPr>
            <w:tcW w:w="3402" w:type="dxa"/>
            <w:shd w:val="clear" w:color="auto" w:fill="auto"/>
          </w:tcPr>
          <w:p w14:paraId="1C025FD3" w14:textId="77777777" w:rsidR="005D2344" w:rsidRPr="00B819F1" w:rsidRDefault="005D2344" w:rsidP="00C778F1">
            <w:r w:rsidRPr="00B819F1">
              <w:t>Rambles or hops about rather than finding a direction.</w:t>
            </w:r>
          </w:p>
        </w:tc>
      </w:tr>
      <w:tr w:rsidR="005D2344" w:rsidRPr="00B819F1" w14:paraId="387469C3" w14:textId="77777777" w:rsidTr="00C778F1">
        <w:tc>
          <w:tcPr>
            <w:tcW w:w="1951" w:type="dxa"/>
            <w:shd w:val="clear" w:color="auto" w:fill="auto"/>
          </w:tcPr>
          <w:p w14:paraId="2FAFE9A2" w14:textId="77777777" w:rsidR="005D2344" w:rsidRPr="00B819F1" w:rsidRDefault="005D2344" w:rsidP="00C778F1">
            <w:pPr>
              <w:rPr>
                <w:rFonts w:ascii="Arial" w:hAnsi="Arial"/>
              </w:rPr>
            </w:pPr>
            <w:r w:rsidRPr="00B819F1">
              <w:rPr>
                <w:rFonts w:ascii="Arial" w:hAnsi="Arial"/>
              </w:rPr>
              <w:t>Depth</w:t>
            </w:r>
          </w:p>
        </w:tc>
        <w:tc>
          <w:tcPr>
            <w:tcW w:w="3544" w:type="dxa"/>
            <w:shd w:val="clear" w:color="auto" w:fill="auto"/>
          </w:tcPr>
          <w:p w14:paraId="0AA2B3F0" w14:textId="77777777" w:rsidR="005D2344" w:rsidRPr="00B819F1" w:rsidRDefault="005D2344" w:rsidP="00C778F1">
            <w:r w:rsidRPr="00B819F1">
              <w:t xml:space="preserve">Delves below the surface: it picks up on initial thoughts and insights, analysing these further with the aim </w:t>
            </w:r>
            <w:r w:rsidRPr="00B819F1">
              <w:lastRenderedPageBreak/>
              <w:t>of gaining deeper insights or broader applications.</w:t>
            </w:r>
          </w:p>
        </w:tc>
        <w:tc>
          <w:tcPr>
            <w:tcW w:w="3402" w:type="dxa"/>
            <w:shd w:val="clear" w:color="auto" w:fill="auto"/>
          </w:tcPr>
          <w:p w14:paraId="1EDDA7A0" w14:textId="77777777" w:rsidR="005D2344" w:rsidRPr="00B819F1" w:rsidRDefault="005D2344" w:rsidP="00C778F1">
            <w:r w:rsidRPr="00B819F1">
              <w:lastRenderedPageBreak/>
              <w:t xml:space="preserve">Is superficial. It doesn’t demonstrate any interest in burrowing beneath the surface to understand more. </w:t>
            </w:r>
          </w:p>
        </w:tc>
      </w:tr>
      <w:tr w:rsidR="005D2344" w:rsidRPr="00B819F1" w14:paraId="451741ED" w14:textId="77777777" w:rsidTr="00C778F1">
        <w:tc>
          <w:tcPr>
            <w:tcW w:w="1951" w:type="dxa"/>
            <w:shd w:val="clear" w:color="auto" w:fill="auto"/>
          </w:tcPr>
          <w:p w14:paraId="650A2000" w14:textId="77777777" w:rsidR="005D2344" w:rsidRPr="00B819F1" w:rsidRDefault="005D2344" w:rsidP="00C778F1">
            <w:pPr>
              <w:rPr>
                <w:rFonts w:ascii="Arial" w:hAnsi="Arial"/>
              </w:rPr>
            </w:pPr>
            <w:r w:rsidRPr="00B819F1">
              <w:rPr>
                <w:rFonts w:ascii="Arial" w:hAnsi="Arial"/>
              </w:rPr>
              <w:t>Challenge</w:t>
            </w:r>
          </w:p>
        </w:tc>
        <w:tc>
          <w:tcPr>
            <w:tcW w:w="3544" w:type="dxa"/>
            <w:shd w:val="clear" w:color="auto" w:fill="auto"/>
          </w:tcPr>
          <w:p w14:paraId="507A88C0" w14:textId="77777777" w:rsidR="005D2344" w:rsidRPr="00B819F1" w:rsidRDefault="005D2344" w:rsidP="00C778F1">
            <w:r w:rsidRPr="00B819F1">
              <w:t>Usually tackles a difficult area or enters difficult terrain, such as matters that are personally difficult, or issues that are complex and don’t lent themselves to easy answers</w:t>
            </w:r>
          </w:p>
        </w:tc>
        <w:tc>
          <w:tcPr>
            <w:tcW w:w="3402" w:type="dxa"/>
            <w:shd w:val="clear" w:color="auto" w:fill="auto"/>
          </w:tcPr>
          <w:p w14:paraId="07DD050C" w14:textId="77777777" w:rsidR="005D2344" w:rsidRPr="00B819F1" w:rsidRDefault="005D2344" w:rsidP="00C778F1">
            <w:r w:rsidRPr="00B819F1">
              <w:t xml:space="preserve">Tends to stay within safe territory or deals with difficult issues in a superficial way or doesn’t seem to take the person forward in their understanding. </w:t>
            </w:r>
          </w:p>
        </w:tc>
      </w:tr>
      <w:tr w:rsidR="005D2344" w:rsidRPr="00B819F1" w14:paraId="589BFCFA" w14:textId="77777777" w:rsidTr="00C778F1">
        <w:tc>
          <w:tcPr>
            <w:tcW w:w="1951" w:type="dxa"/>
            <w:shd w:val="clear" w:color="auto" w:fill="auto"/>
          </w:tcPr>
          <w:p w14:paraId="2848ED27" w14:textId="77777777" w:rsidR="005D2344" w:rsidRPr="00B819F1" w:rsidRDefault="005D2344" w:rsidP="00C778F1">
            <w:pPr>
              <w:rPr>
                <w:rFonts w:ascii="Arial" w:hAnsi="Arial"/>
              </w:rPr>
            </w:pPr>
            <w:r w:rsidRPr="00B819F1">
              <w:rPr>
                <w:rFonts w:ascii="Arial" w:hAnsi="Arial"/>
              </w:rPr>
              <w:t>Theory</w:t>
            </w:r>
          </w:p>
        </w:tc>
        <w:tc>
          <w:tcPr>
            <w:tcW w:w="3544" w:type="dxa"/>
            <w:shd w:val="clear" w:color="auto" w:fill="auto"/>
          </w:tcPr>
          <w:p w14:paraId="10BEB2A9" w14:textId="77777777" w:rsidR="005D2344" w:rsidRPr="00B819F1" w:rsidRDefault="005D2344" w:rsidP="00C778F1">
            <w:r w:rsidRPr="00B819F1">
              <w:t xml:space="preserve">Draws on relevant theoretical standpoints, research, or established professional practice in ways that demonstrate how these have helped understanding. Where relevant, it relates the </w:t>
            </w:r>
            <w:proofErr w:type="gramStart"/>
            <w:r w:rsidRPr="00B819F1">
              <w:t>particular incident</w:t>
            </w:r>
            <w:proofErr w:type="gramEnd"/>
            <w:r w:rsidRPr="00B819F1">
              <w:t xml:space="preserve"> to broader social and political issues. </w:t>
            </w:r>
          </w:p>
        </w:tc>
        <w:tc>
          <w:tcPr>
            <w:tcW w:w="3402" w:type="dxa"/>
            <w:shd w:val="clear" w:color="auto" w:fill="auto"/>
          </w:tcPr>
          <w:p w14:paraId="7ED8A76D" w14:textId="77777777" w:rsidR="005D2344" w:rsidRPr="00B819F1" w:rsidRDefault="005D2344" w:rsidP="00C778F1">
            <w:r w:rsidRPr="00B819F1">
              <w:t xml:space="preserve">Draws only on the person’s own ideas experiences and </w:t>
            </w:r>
            <w:proofErr w:type="gramStart"/>
            <w:r w:rsidRPr="00B819F1">
              <w:t>anecdotes, or</w:t>
            </w:r>
            <w:proofErr w:type="gramEnd"/>
            <w:r w:rsidRPr="00B819F1">
              <w:t xml:space="preserve"> makes superficial passing references to theory and research. </w:t>
            </w:r>
          </w:p>
        </w:tc>
      </w:tr>
      <w:tr w:rsidR="005D2344" w:rsidRPr="00B819F1" w14:paraId="221E48FC" w14:textId="77777777" w:rsidTr="00C778F1">
        <w:tc>
          <w:tcPr>
            <w:tcW w:w="1951" w:type="dxa"/>
            <w:shd w:val="clear" w:color="auto" w:fill="auto"/>
          </w:tcPr>
          <w:p w14:paraId="7344F0BD" w14:textId="77777777" w:rsidR="005D2344" w:rsidRPr="00B819F1" w:rsidRDefault="005D2344" w:rsidP="00C778F1">
            <w:pPr>
              <w:rPr>
                <w:rFonts w:ascii="Arial" w:hAnsi="Arial"/>
              </w:rPr>
            </w:pPr>
            <w:r w:rsidRPr="00B819F1">
              <w:rPr>
                <w:rFonts w:ascii="Arial" w:hAnsi="Arial"/>
              </w:rPr>
              <w:t>Critically</w:t>
            </w:r>
          </w:p>
        </w:tc>
        <w:tc>
          <w:tcPr>
            <w:tcW w:w="3544" w:type="dxa"/>
            <w:shd w:val="clear" w:color="auto" w:fill="auto"/>
          </w:tcPr>
          <w:p w14:paraId="36D46E68" w14:textId="77777777" w:rsidR="005D2344" w:rsidRPr="00B819F1" w:rsidRDefault="005D2344" w:rsidP="00C778F1">
            <w:r w:rsidRPr="00B819F1">
              <w:t xml:space="preserve">Brings a searching, critical eye to the focus of the reflection, to emerging insights, and to any theories or sources of information. This critically is used to take the person forward in their understanding of the core emerging issues, such as by challenging their own ideas and actions, or showing how their experiences supports or challenges existing knowledge. </w:t>
            </w:r>
          </w:p>
        </w:tc>
        <w:tc>
          <w:tcPr>
            <w:tcW w:w="3402" w:type="dxa"/>
            <w:shd w:val="clear" w:color="auto" w:fill="auto"/>
          </w:tcPr>
          <w:p w14:paraId="0E9C6D6B" w14:textId="77777777" w:rsidR="005D2344" w:rsidRPr="00B819F1" w:rsidRDefault="005D2344" w:rsidP="00C778F1">
            <w:r w:rsidRPr="00B819F1">
              <w:t>Is preoccupied mainly with describing situations, content or events. May include critical analysis but this doesn’t seem to be used in a way that really develops an understanding of the core emerging issues.</w:t>
            </w:r>
          </w:p>
        </w:tc>
      </w:tr>
      <w:tr w:rsidR="005D2344" w:rsidRPr="00B819F1" w14:paraId="1963FB7A" w14:textId="77777777" w:rsidTr="00C778F1">
        <w:tc>
          <w:tcPr>
            <w:tcW w:w="1951" w:type="dxa"/>
            <w:shd w:val="clear" w:color="auto" w:fill="auto"/>
          </w:tcPr>
          <w:p w14:paraId="7EE2BE57" w14:textId="77777777" w:rsidR="005D2344" w:rsidRPr="00B819F1" w:rsidRDefault="005D2344" w:rsidP="00C778F1">
            <w:pPr>
              <w:rPr>
                <w:rFonts w:ascii="Arial" w:hAnsi="Arial"/>
              </w:rPr>
            </w:pPr>
            <w:r w:rsidRPr="00B819F1">
              <w:rPr>
                <w:rFonts w:ascii="Arial" w:hAnsi="Arial"/>
              </w:rPr>
              <w:t>Insight</w:t>
            </w:r>
          </w:p>
        </w:tc>
        <w:tc>
          <w:tcPr>
            <w:tcW w:w="3544" w:type="dxa"/>
            <w:shd w:val="clear" w:color="auto" w:fill="auto"/>
          </w:tcPr>
          <w:p w14:paraId="5BAD04CB" w14:textId="77777777" w:rsidR="005D2344" w:rsidRPr="00B819F1" w:rsidRDefault="005D2344" w:rsidP="00C778F1">
            <w:r w:rsidRPr="00B819F1">
              <w:t xml:space="preserve">The reflection takes the person forward in their understanding, such that they can make more sense of their situation, work or study, manage better within it, do things differently, apply understandings to new contexts etc. </w:t>
            </w:r>
          </w:p>
        </w:tc>
        <w:tc>
          <w:tcPr>
            <w:tcW w:w="3402" w:type="dxa"/>
            <w:shd w:val="clear" w:color="auto" w:fill="auto"/>
          </w:tcPr>
          <w:p w14:paraId="179DBCE2" w14:textId="77777777" w:rsidR="005D2344" w:rsidRPr="00B819F1" w:rsidRDefault="005D2344" w:rsidP="00C778F1">
            <w:r w:rsidRPr="00B819F1">
              <w:t>The reflection gives little indication that the person has moved forward in their understanding of the context or issue, or self-knowledge.</w:t>
            </w:r>
          </w:p>
        </w:tc>
      </w:tr>
      <w:tr w:rsidR="005D2344" w:rsidRPr="00B819F1" w14:paraId="3A326CC2" w14:textId="77777777" w:rsidTr="00C778F1">
        <w:tc>
          <w:tcPr>
            <w:tcW w:w="1951" w:type="dxa"/>
            <w:shd w:val="clear" w:color="auto" w:fill="auto"/>
          </w:tcPr>
          <w:p w14:paraId="2BB334D7" w14:textId="77777777" w:rsidR="005D2344" w:rsidRPr="00B819F1" w:rsidRDefault="005D2344" w:rsidP="00C778F1">
            <w:pPr>
              <w:rPr>
                <w:rFonts w:ascii="Arial" w:hAnsi="Arial"/>
              </w:rPr>
            </w:pPr>
            <w:proofErr w:type="gramStart"/>
            <w:r w:rsidRPr="00B819F1">
              <w:rPr>
                <w:rFonts w:ascii="Arial" w:hAnsi="Arial"/>
              </w:rPr>
              <w:t>End-points</w:t>
            </w:r>
            <w:proofErr w:type="gramEnd"/>
          </w:p>
        </w:tc>
        <w:tc>
          <w:tcPr>
            <w:tcW w:w="3544" w:type="dxa"/>
            <w:shd w:val="clear" w:color="auto" w:fill="auto"/>
          </w:tcPr>
          <w:p w14:paraId="14FED474" w14:textId="77777777" w:rsidR="005D2344" w:rsidRPr="00B819F1" w:rsidRDefault="005D2344" w:rsidP="00C778F1">
            <w:r w:rsidRPr="00B819F1">
              <w:t xml:space="preserve">The process of reflection may take the person in many different directions. However, by the end, they have stood back, drawn out the key messages of what they have learnt, and summarised these as conclusions or recommendations. </w:t>
            </w:r>
          </w:p>
        </w:tc>
        <w:tc>
          <w:tcPr>
            <w:tcW w:w="3402" w:type="dxa"/>
            <w:shd w:val="clear" w:color="auto" w:fill="auto"/>
          </w:tcPr>
          <w:p w14:paraId="0F293066" w14:textId="77777777" w:rsidR="005D2344" w:rsidRPr="00B819F1" w:rsidRDefault="005D2344" w:rsidP="00C778F1">
            <w:r w:rsidRPr="00B819F1">
              <w:t xml:space="preserve">The reflection reads more as description of a process or rambling free association. The lessons learned are not drawn out clearly as conclusions or recommendations. </w:t>
            </w:r>
          </w:p>
        </w:tc>
      </w:tr>
      <w:tr w:rsidR="005D2344" w:rsidRPr="00B819F1" w14:paraId="160C27D7" w14:textId="77777777" w:rsidTr="00C778F1">
        <w:tc>
          <w:tcPr>
            <w:tcW w:w="1951" w:type="dxa"/>
            <w:shd w:val="clear" w:color="auto" w:fill="auto"/>
          </w:tcPr>
          <w:p w14:paraId="3B830EB1" w14:textId="77777777" w:rsidR="005D2344" w:rsidRPr="00B819F1" w:rsidRDefault="005D2344" w:rsidP="00C778F1">
            <w:pPr>
              <w:rPr>
                <w:rFonts w:ascii="Arial" w:hAnsi="Arial"/>
              </w:rPr>
            </w:pPr>
            <w:r w:rsidRPr="00B819F1">
              <w:rPr>
                <w:rFonts w:ascii="Arial" w:hAnsi="Arial"/>
              </w:rPr>
              <w:t>Audience</w:t>
            </w:r>
          </w:p>
        </w:tc>
        <w:tc>
          <w:tcPr>
            <w:tcW w:w="3544" w:type="dxa"/>
            <w:shd w:val="clear" w:color="auto" w:fill="auto"/>
          </w:tcPr>
          <w:p w14:paraId="2DD76954" w14:textId="77777777" w:rsidR="005D2344" w:rsidRPr="00B819F1" w:rsidRDefault="005D2344" w:rsidP="00C778F1">
            <w:r w:rsidRPr="00B819F1">
              <w:t xml:space="preserve">If this is to be used in academic, work or public contexts, the writing up of reflection demonstrates a sound understanding of ethical considerations and stylistic or </w:t>
            </w:r>
            <w:r w:rsidRPr="00B819F1">
              <w:lastRenderedPageBreak/>
              <w:t xml:space="preserve">academic contentions that may apply. Issues of confidentiality have been addressed appropriately. </w:t>
            </w:r>
          </w:p>
        </w:tc>
        <w:tc>
          <w:tcPr>
            <w:tcW w:w="3402" w:type="dxa"/>
            <w:shd w:val="clear" w:color="auto" w:fill="auto"/>
          </w:tcPr>
          <w:p w14:paraId="3BF08ADE" w14:textId="77777777" w:rsidR="005D2344" w:rsidRPr="00B819F1" w:rsidRDefault="005D2344" w:rsidP="00C778F1">
            <w:r w:rsidRPr="00B819F1">
              <w:lastRenderedPageBreak/>
              <w:t xml:space="preserve">The reflection is handed in or made public without all due care being taken to ensure that confidentiality and other data protection issues area addressed; no thought is given </w:t>
            </w:r>
            <w:r w:rsidRPr="00B819F1">
              <w:lastRenderedPageBreak/>
              <w:t xml:space="preserve">to how to make the reflection manageable for others to read. </w:t>
            </w:r>
          </w:p>
        </w:tc>
      </w:tr>
    </w:tbl>
    <w:p w14:paraId="1D0B535A" w14:textId="723A4CFB" w:rsidR="00371559" w:rsidRDefault="00371559">
      <w:bookmarkStart w:id="2" w:name="_GoBack"/>
      <w:bookmarkEnd w:id="2"/>
    </w:p>
    <w:sectPr w:rsidR="00371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344"/>
    <w:rsid w:val="00371559"/>
    <w:rsid w:val="005D2344"/>
    <w:rsid w:val="00C11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7DF5A"/>
  <w15:chartTrackingRefBased/>
  <w15:docId w15:val="{F78DCC45-9441-49F8-BD2C-4A7804B61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D2344"/>
    <w:rPr>
      <w:rFonts w:eastAsiaTheme="minorEastAsia"/>
    </w:rPr>
  </w:style>
  <w:style w:type="paragraph" w:styleId="Heading1">
    <w:name w:val="heading 1"/>
    <w:basedOn w:val="Normal"/>
    <w:next w:val="Normal"/>
    <w:link w:val="Heading1Char"/>
    <w:uiPriority w:val="9"/>
    <w:qFormat/>
    <w:rsid w:val="005D2344"/>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344"/>
    <w:rPr>
      <w:rFonts w:asciiTheme="majorHAnsi" w:eastAsiaTheme="majorEastAsia" w:hAnsiTheme="majorHAnsi" w:cstheme="majorBidi"/>
      <w:color w:val="1F3864" w:themeColor="accent1" w:themeShade="80"/>
      <w:sz w:val="36"/>
      <w:szCs w:val="36"/>
    </w:rPr>
  </w:style>
  <w:style w:type="table" w:styleId="TableGrid">
    <w:name w:val="Table Grid"/>
    <w:basedOn w:val="TableNormal"/>
    <w:uiPriority w:val="59"/>
    <w:rsid w:val="005D2344"/>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714</Words>
  <Characters>4075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Loxdale</dc:creator>
  <cp:keywords/>
  <dc:description/>
  <cp:lastModifiedBy>Sarah Loxdale</cp:lastModifiedBy>
  <cp:revision>1</cp:revision>
  <dcterms:created xsi:type="dcterms:W3CDTF">2019-10-18T09:31:00Z</dcterms:created>
  <dcterms:modified xsi:type="dcterms:W3CDTF">2019-10-18T09:32:00Z</dcterms:modified>
</cp:coreProperties>
</file>