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9C4D9FD" w:rsidP="70B00F32" w:rsidRDefault="29C4D9FD" w14:paraId="5020DC94" w14:textId="033F9ED6">
      <w:pPr>
        <w:pStyle w:val="Normal"/>
      </w:pPr>
      <w:r w:rsidRPr="70B00F32" w:rsidR="29C4D9FD">
        <w:rPr>
          <w:rFonts w:ascii="Calibri" w:hAnsi="Calibri" w:eastAsia="Calibri" w:cs="Calibri"/>
          <w:b w:val="0"/>
          <w:bCs w:val="0"/>
          <w:color w:val="auto"/>
          <w:sz w:val="32"/>
          <w:szCs w:val="32"/>
          <w:u w:val="none"/>
        </w:rPr>
        <w:t xml:space="preserve">Module- Project management </w:t>
      </w:r>
    </w:p>
    <w:p w:rsidR="29C4D9FD" w:rsidP="70B00F32" w:rsidRDefault="29C4D9FD" w14:paraId="1FBF65E0" w14:textId="26E8D96A">
      <w:pPr>
        <w:pStyle w:val="Normal"/>
      </w:pPr>
      <w:r w:rsidRPr="70B00F32" w:rsidR="29C4D9FD">
        <w:rPr>
          <w:rFonts w:ascii="Calibri" w:hAnsi="Calibri" w:eastAsia="Calibri" w:cs="Calibri"/>
          <w:b w:val="0"/>
          <w:bCs w:val="0"/>
          <w:color w:val="auto"/>
          <w:sz w:val="32"/>
          <w:szCs w:val="32"/>
          <w:u w:val="none"/>
        </w:rPr>
        <w:t>LCLM5003</w:t>
      </w:r>
    </w:p>
    <w:p w:rsidR="29C4D9FD" w:rsidP="70B00F32" w:rsidRDefault="29C4D9FD" w14:paraId="7C94D491" w14:textId="0B0D36E6">
      <w:pPr>
        <w:pStyle w:val="Normal"/>
      </w:pPr>
      <w:r w:rsidRPr="70B00F32" w:rsidR="29C4D9FD">
        <w:rPr>
          <w:rFonts w:ascii="Calibri" w:hAnsi="Calibri" w:eastAsia="Calibri" w:cs="Calibri"/>
          <w:b w:val="0"/>
          <w:bCs w:val="0"/>
          <w:color w:val="auto"/>
          <w:sz w:val="32"/>
          <w:szCs w:val="32"/>
          <w:u w:val="none"/>
        </w:rPr>
        <w:t>Kareem Sani</w:t>
      </w:r>
    </w:p>
    <w:p w:rsidR="1F9664F1" w:rsidP="70B00F32" w:rsidRDefault="1F9664F1" w14:paraId="4B334F47" w14:textId="607AC33D">
      <w:pPr>
        <w:pStyle w:val="Normal"/>
        <w:rPr>
          <w:rFonts w:ascii="Calibri" w:hAnsi="Calibri" w:eastAsia="Calibri" w:cs="Calibri"/>
          <w:b w:val="1"/>
          <w:bCs w:val="1"/>
          <w:i w:val="0"/>
          <w:iCs w:val="0"/>
          <w:strike w:val="0"/>
          <w:dstrike w:val="0"/>
          <w:noProof w:val="0"/>
          <w:color w:val="auto"/>
          <w:sz w:val="32"/>
          <w:szCs w:val="32"/>
          <w:u w:val="single"/>
          <w:lang w:val="en-GB"/>
        </w:rPr>
      </w:pPr>
      <w:r w:rsidRPr="70B00F32" w:rsidR="1F9664F1">
        <w:rPr>
          <w:rFonts w:ascii="Calibri" w:hAnsi="Calibri" w:eastAsia="Calibri" w:cs="Calibri"/>
          <w:b w:val="1"/>
          <w:bCs w:val="1"/>
          <w:color w:val="auto"/>
          <w:sz w:val="32"/>
          <w:szCs w:val="32"/>
          <w:u w:val="single"/>
        </w:rPr>
        <w:t xml:space="preserve">Part A- </w:t>
      </w:r>
      <w:r w:rsidRPr="70B00F32" w:rsidR="1F9664F1">
        <w:rPr>
          <w:rFonts w:ascii="Calibri" w:hAnsi="Calibri" w:eastAsia="Calibri" w:cs="Calibri"/>
          <w:b w:val="1"/>
          <w:bCs w:val="1"/>
          <w:i w:val="0"/>
          <w:iCs w:val="0"/>
          <w:strike w:val="0"/>
          <w:dstrike w:val="0"/>
          <w:noProof w:val="0"/>
          <w:color w:val="auto"/>
          <w:sz w:val="32"/>
          <w:szCs w:val="32"/>
          <w:u w:val="single"/>
          <w:lang w:val="en-GB"/>
        </w:rPr>
        <w:t>Project proposal poster</w:t>
      </w:r>
    </w:p>
    <w:p w:rsidR="32F4EE77" w:rsidP="70B00F32" w:rsidRDefault="32F4EE77" w14:paraId="24BDE94F" w14:textId="72B12C0C">
      <w:pPr>
        <w:rPr>
          <w:color w:val="auto"/>
        </w:rPr>
      </w:pPr>
      <w:r w:rsidR="32F4EE77">
        <w:drawing>
          <wp:inline wp14:editId="2675B34D" wp14:anchorId="31C2842F">
            <wp:extent cx="5943600" cy="2733675"/>
            <wp:effectExtent l="0" t="0" r="0" b="0"/>
            <wp:docPr id="15010683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1068358" name="Picture 1501068358"/>
                    <pic:cNvPicPr/>
                  </pic:nvPicPr>
                  <pic:blipFill>
                    <a:blip xmlns:r="http://schemas.openxmlformats.org/officeDocument/2006/relationships" r:embed="rId583938693">
                      <a:extLst>
                        <a:ext uri="{28A0092B-C50C-407E-A947-70E740481C1C}">
                          <a14:useLocalDpi xmlns:a14="http://schemas.microsoft.com/office/drawing/2010/main"/>
                        </a:ext>
                      </a:extLst>
                    </a:blip>
                    <a:stretch>
                      <a:fillRect/>
                    </a:stretch>
                  </pic:blipFill>
                  <pic:spPr>
                    <a:xfrm>
                      <a:off x="0" y="0"/>
                      <a:ext cx="5943600" cy="2733675"/>
                    </a:xfrm>
                    <a:prstGeom prst="rect">
                      <a:avLst/>
                    </a:prstGeom>
                  </pic:spPr>
                </pic:pic>
              </a:graphicData>
            </a:graphic>
          </wp:inline>
        </w:drawing>
      </w:r>
    </w:p>
    <w:p w:rsidR="70B00F32" w:rsidP="70B00F32" w:rsidRDefault="70B00F32" w14:paraId="08CF3697" w14:textId="66154779">
      <w:pPr>
        <w:rPr>
          <w:color w:val="auto"/>
        </w:rPr>
      </w:pPr>
    </w:p>
    <w:p w:rsidR="70B00F32" w:rsidP="70B00F32" w:rsidRDefault="70B00F32" w14:paraId="3CA3D103" w14:textId="1DCD1B41">
      <w:pPr>
        <w:pStyle w:val="Normal"/>
        <w:rPr>
          <w:color w:val="auto"/>
        </w:rPr>
      </w:pPr>
    </w:p>
    <w:p w:rsidR="70B00F32" w:rsidP="70B00F32" w:rsidRDefault="70B00F32" w14:paraId="05BB1F70" w14:textId="323E30F7">
      <w:pPr>
        <w:rPr>
          <w:color w:val="auto"/>
        </w:rPr>
      </w:pPr>
    </w:p>
    <w:p w:rsidR="6117C4F8" w:rsidP="70B00F32" w:rsidRDefault="6117C4F8" w14:paraId="107D11A9" w14:textId="50B53846">
      <w:pPr>
        <w:pStyle w:val="Heading2"/>
        <w:spacing w:before="299" w:beforeAutospacing="off" w:after="299" w:afterAutospacing="off"/>
        <w:rPr>
          <w:rFonts w:ascii="Calibri" w:hAnsi="Calibri" w:eastAsia="Calibri" w:cs="Calibri"/>
          <w:b w:val="1"/>
          <w:bCs w:val="1"/>
          <w:noProof w:val="0"/>
          <w:color w:val="auto"/>
          <w:sz w:val="36"/>
          <w:szCs w:val="36"/>
          <w:u w:val="single"/>
          <w:lang w:val="en-GB"/>
        </w:rPr>
      </w:pPr>
      <w:r w:rsidRPr="70B00F32" w:rsidR="562A9D2D">
        <w:rPr>
          <w:rFonts w:ascii="Calibri" w:hAnsi="Calibri" w:eastAsia="Calibri" w:cs="Calibri"/>
          <w:b w:val="1"/>
          <w:bCs w:val="1"/>
          <w:noProof w:val="0"/>
          <w:color w:val="auto"/>
          <w:sz w:val="36"/>
          <w:szCs w:val="36"/>
          <w:u w:val="single"/>
          <w:lang w:val="en-GB"/>
        </w:rPr>
        <w:t>Part B – Critical Reflection on Feedback</w:t>
      </w:r>
    </w:p>
    <w:p w:rsidR="6117C4F8" w:rsidP="55CF9DD7" w:rsidRDefault="6117C4F8" w14:paraId="7B5E9FFE" w14:textId="6EA2E72C">
      <w:pPr>
        <w:pStyle w:val="Heading3"/>
        <w:spacing w:before="281" w:beforeAutospacing="off" w:after="281" w:afterAutospacing="off"/>
        <w:rPr>
          <w:rFonts w:ascii="Calibri" w:hAnsi="Calibri" w:eastAsia="Calibri" w:cs="Calibri"/>
          <w:b w:val="1"/>
          <w:bCs w:val="1"/>
          <w:noProof w:val="0"/>
          <w:color w:val="auto"/>
          <w:sz w:val="28"/>
          <w:szCs w:val="28"/>
          <w:lang w:val="en-GB"/>
        </w:rPr>
      </w:pPr>
      <w:r w:rsidRPr="70B00F32" w:rsidR="562A9D2D">
        <w:rPr>
          <w:rFonts w:ascii="Calibri" w:hAnsi="Calibri" w:eastAsia="Calibri" w:cs="Calibri"/>
          <w:b w:val="1"/>
          <w:bCs w:val="1"/>
          <w:noProof w:val="0"/>
          <w:color w:val="auto"/>
          <w:sz w:val="28"/>
          <w:szCs w:val="28"/>
          <w:lang w:val="en-GB"/>
        </w:rPr>
        <w:t>Strengths and Conceptual Foundation</w:t>
      </w:r>
    </w:p>
    <w:p w:rsidR="6117C4F8" w:rsidP="55CF9DD7" w:rsidRDefault="6117C4F8" w14:paraId="78346D4C" w14:textId="610AA28B">
      <w:pPr>
        <w:spacing w:before="240" w:beforeAutospacing="off" w:after="240" w:afterAutospacing="off"/>
        <w:rPr>
          <w:rFonts w:ascii="Calibri" w:hAnsi="Calibri" w:eastAsia="Calibri" w:cs="Calibri"/>
          <w:noProof w:val="0"/>
          <w:color w:val="auto"/>
          <w:sz w:val="24"/>
          <w:szCs w:val="24"/>
          <w:lang w:val="en-GB"/>
        </w:rPr>
      </w:pPr>
      <w:r w:rsidRPr="70B00F32" w:rsidR="562A9D2D">
        <w:rPr>
          <w:rFonts w:ascii="Calibri" w:hAnsi="Calibri" w:eastAsia="Calibri" w:cs="Calibri"/>
          <w:noProof w:val="0"/>
          <w:color w:val="auto"/>
          <w:sz w:val="24"/>
          <w:szCs w:val="24"/>
          <w:lang w:val="en-GB"/>
        </w:rPr>
        <w:t>Feedback provided by my tutor and peers affirmed that the initial project proposal demonstrated a sound grasp of the central transport hub redevelopment while fulfilling the core assignment criteria. A notable strength of the original submission was the poster's coherent structure, which presented the background, strategic rationale, aims, scope, stakeholders, risks, and overarching value in a logical sequence. This organized layout effectively communicated the project's inherent complexity and strategic importance. Furthermore, emphasizing transport infrastructure enhancements, improved accessibility, environmental sustainability, and broader economic growth reflected an understanding of the redevelopment's multidimensional nature. This indicated an ability to look beyond the physical construction aspects and acknowledge the project’s wider social, economic, and environmental contributions.</w:t>
      </w:r>
    </w:p>
    <w:p w:rsidR="6117C4F8" w:rsidP="55CF9DD7" w:rsidRDefault="6117C4F8" w14:paraId="1E7952CA" w14:textId="42103D55">
      <w:pPr>
        <w:pStyle w:val="Heading3"/>
        <w:spacing w:before="281" w:beforeAutospacing="off" w:after="281" w:afterAutospacing="off"/>
        <w:rPr>
          <w:rFonts w:ascii="Calibri" w:hAnsi="Calibri" w:eastAsia="Calibri" w:cs="Calibri"/>
          <w:b w:val="1"/>
          <w:bCs w:val="1"/>
          <w:noProof w:val="0"/>
          <w:color w:val="auto"/>
          <w:sz w:val="28"/>
          <w:szCs w:val="28"/>
          <w:lang w:val="en-GB"/>
        </w:rPr>
      </w:pPr>
      <w:r w:rsidRPr="70B00F32" w:rsidR="562A9D2D">
        <w:rPr>
          <w:rFonts w:ascii="Calibri" w:hAnsi="Calibri" w:eastAsia="Calibri" w:cs="Calibri"/>
          <w:b w:val="1"/>
          <w:bCs w:val="1"/>
          <w:noProof w:val="0"/>
          <w:color w:val="auto"/>
          <w:sz w:val="28"/>
          <w:szCs w:val="28"/>
          <w:lang w:val="en-GB"/>
        </w:rPr>
        <w:t>Key Areas for Strategic Improvement</w:t>
      </w:r>
    </w:p>
    <w:p w:rsidR="6117C4F8" w:rsidP="55CF9DD7" w:rsidRDefault="6117C4F8" w14:paraId="329472AC" w14:textId="224D8E82">
      <w:pPr>
        <w:spacing w:before="240" w:beforeAutospacing="off" w:after="240" w:afterAutospacing="off"/>
        <w:rPr>
          <w:rFonts w:ascii="Calibri" w:hAnsi="Calibri" w:eastAsia="Calibri" w:cs="Calibri"/>
          <w:noProof w:val="0"/>
          <w:color w:val="auto"/>
          <w:sz w:val="24"/>
          <w:szCs w:val="24"/>
          <w:lang w:val="en-GB"/>
        </w:rPr>
      </w:pPr>
      <w:r w:rsidRPr="70B00F32" w:rsidR="562A9D2D">
        <w:rPr>
          <w:rFonts w:ascii="Calibri" w:hAnsi="Calibri" w:eastAsia="Calibri" w:cs="Calibri"/>
          <w:noProof w:val="0"/>
          <w:color w:val="auto"/>
          <w:sz w:val="24"/>
          <w:szCs w:val="24"/>
          <w:lang w:val="en-GB"/>
        </w:rPr>
        <w:t>Despite these positive aspects, the feedback highlighted several limitations regarding the original proposal's analytical depth and detail:</w:t>
      </w:r>
    </w:p>
    <w:p w:rsidR="6117C4F8" w:rsidP="55CF9DD7" w:rsidRDefault="6117C4F8" w14:paraId="0FCEBF88" w14:textId="24E50678">
      <w:pPr>
        <w:pStyle w:val="ListParagraph"/>
        <w:numPr>
          <w:ilvl w:val="0"/>
          <w:numId w:val="1"/>
        </w:numPr>
        <w:spacing w:before="240" w:beforeAutospacing="off" w:after="240" w:afterAutospacing="off"/>
        <w:rPr>
          <w:rFonts w:ascii="Calibri" w:hAnsi="Calibri" w:eastAsia="Calibri" w:cs="Calibri"/>
          <w:noProof w:val="0"/>
          <w:color w:val="auto"/>
          <w:sz w:val="24"/>
          <w:szCs w:val="24"/>
          <w:lang w:val="en-GB"/>
        </w:rPr>
      </w:pPr>
      <w:r w:rsidRPr="70B00F32" w:rsidR="562A9D2D">
        <w:rPr>
          <w:rFonts w:ascii="Calibri" w:hAnsi="Calibri" w:eastAsia="Calibri" w:cs="Calibri"/>
          <w:b w:val="1"/>
          <w:bCs w:val="1"/>
          <w:noProof w:val="0"/>
          <w:color w:val="auto"/>
          <w:sz w:val="24"/>
          <w:szCs w:val="24"/>
          <w:lang w:val="en-GB"/>
        </w:rPr>
        <w:t>Refining Project Objectives:</w:t>
      </w:r>
      <w:r w:rsidRPr="70B00F32" w:rsidR="562A9D2D">
        <w:rPr>
          <w:rFonts w:ascii="Calibri" w:hAnsi="Calibri" w:eastAsia="Calibri" w:cs="Calibri"/>
          <w:noProof w:val="0"/>
          <w:color w:val="auto"/>
          <w:sz w:val="24"/>
          <w:szCs w:val="24"/>
          <w:lang w:val="en-GB"/>
        </w:rPr>
        <w:t xml:space="preserve"> Although relevant goals were originally identified, they lacked specific, measurable metrics. In response, I will reformulate these objectives using the SMART framework (Specific, Measurable, Achievable, Relevant, and Time-bound). This adaptation will provide clearer expectations for project outcomes, establish precise criteria for evaluating performance, and align strategic goals directly with implementation and monitoring efforts.</w:t>
      </w:r>
    </w:p>
    <w:p w:rsidR="6117C4F8" w:rsidP="55CF9DD7" w:rsidRDefault="6117C4F8" w14:paraId="4AB60F91" w14:textId="29C83690">
      <w:pPr>
        <w:pStyle w:val="ListParagraph"/>
        <w:numPr>
          <w:ilvl w:val="0"/>
          <w:numId w:val="1"/>
        </w:numPr>
        <w:spacing w:before="240" w:beforeAutospacing="off" w:after="240" w:afterAutospacing="off"/>
        <w:rPr>
          <w:rFonts w:ascii="Calibri" w:hAnsi="Calibri" w:eastAsia="Calibri" w:cs="Calibri"/>
          <w:noProof w:val="0"/>
          <w:color w:val="auto"/>
          <w:sz w:val="24"/>
          <w:szCs w:val="24"/>
          <w:lang w:val="en-GB"/>
        </w:rPr>
      </w:pPr>
      <w:r w:rsidRPr="70B00F32" w:rsidR="562A9D2D">
        <w:rPr>
          <w:rFonts w:ascii="Calibri" w:hAnsi="Calibri" w:eastAsia="Calibri" w:cs="Calibri"/>
          <w:b w:val="1"/>
          <w:bCs w:val="1"/>
          <w:noProof w:val="0"/>
          <w:color w:val="auto"/>
          <w:sz w:val="24"/>
          <w:szCs w:val="24"/>
          <w:lang w:val="en-GB"/>
        </w:rPr>
        <w:t>Applying Formal Project Management Tools:</w:t>
      </w:r>
      <w:r w:rsidRPr="70B00F32" w:rsidR="562A9D2D">
        <w:rPr>
          <w:rFonts w:ascii="Calibri" w:hAnsi="Calibri" w:eastAsia="Calibri" w:cs="Calibri"/>
          <w:noProof w:val="0"/>
          <w:color w:val="auto"/>
          <w:sz w:val="24"/>
          <w:szCs w:val="24"/>
          <w:lang w:val="en-GB"/>
        </w:rPr>
        <w:t xml:space="preserve"> While stakeholder groups and prospective risks were noted previously, the initial analysis remained predominantly descriptive. The final plan will incorporate formal analytical tools, including a stakeholder power-interest matrix, a comprehensive risk register, and a probability-impact matrix. These frameworks will allow for a more structured assessment of stakeholder influence and risk exposure, facilitating prioritized engagement strategies and accurate risk classification to aid decision-making.</w:t>
      </w:r>
    </w:p>
    <w:p w:rsidR="6117C4F8" w:rsidP="55CF9DD7" w:rsidRDefault="6117C4F8" w14:paraId="52023696" w14:textId="3DD81C6A">
      <w:pPr>
        <w:pStyle w:val="ListParagraph"/>
        <w:numPr>
          <w:ilvl w:val="0"/>
          <w:numId w:val="1"/>
        </w:numPr>
        <w:spacing w:before="240" w:beforeAutospacing="off" w:after="240" w:afterAutospacing="off"/>
        <w:rPr>
          <w:rFonts w:ascii="Calibri" w:hAnsi="Calibri" w:eastAsia="Calibri" w:cs="Calibri"/>
          <w:noProof w:val="0"/>
          <w:color w:val="auto"/>
          <w:sz w:val="24"/>
          <w:szCs w:val="24"/>
          <w:lang w:val="en-GB"/>
        </w:rPr>
      </w:pPr>
      <w:r w:rsidRPr="70B00F32" w:rsidR="562A9D2D">
        <w:rPr>
          <w:rFonts w:ascii="Calibri" w:hAnsi="Calibri" w:eastAsia="Calibri" w:cs="Calibri"/>
          <w:b w:val="1"/>
          <w:bCs w:val="1"/>
          <w:noProof w:val="0"/>
          <w:color w:val="auto"/>
          <w:sz w:val="24"/>
          <w:szCs w:val="24"/>
          <w:lang w:val="en-GB"/>
        </w:rPr>
        <w:t>Critically Evaluating Trade-offs and Alternatives:</w:t>
      </w:r>
      <w:r w:rsidRPr="70B00F32" w:rsidR="562A9D2D">
        <w:rPr>
          <w:rFonts w:ascii="Calibri" w:hAnsi="Calibri" w:eastAsia="Calibri" w:cs="Calibri"/>
          <w:noProof w:val="0"/>
          <w:color w:val="auto"/>
          <w:sz w:val="24"/>
          <w:szCs w:val="24"/>
          <w:lang w:val="en-GB"/>
        </w:rPr>
        <w:t xml:space="preserve"> A key area for development was the limited evaluation of alternative approaches and decision choices. The initial poster identified risks but did not sufficiently justify chosen strategies or analyze potential consequences. The revised plan will address this by providing robust justifications for key decisions and critically assessing trade-offs related to costs, sustainability goals, construction disruption, accessibility, and long-term benefits.</w:t>
      </w:r>
    </w:p>
    <w:p w:rsidR="6117C4F8" w:rsidP="55CF9DD7" w:rsidRDefault="6117C4F8" w14:paraId="3CCEC6B1" w14:textId="150C994A">
      <w:pPr>
        <w:pStyle w:val="Heading3"/>
        <w:spacing w:before="281" w:beforeAutospacing="off" w:after="281" w:afterAutospacing="off"/>
        <w:rPr>
          <w:rFonts w:ascii="Calibri" w:hAnsi="Calibri" w:eastAsia="Calibri" w:cs="Calibri"/>
          <w:b w:val="1"/>
          <w:bCs w:val="1"/>
          <w:noProof w:val="0"/>
          <w:color w:val="auto"/>
          <w:sz w:val="28"/>
          <w:szCs w:val="28"/>
          <w:lang w:val="en-GB"/>
        </w:rPr>
      </w:pPr>
      <w:r w:rsidRPr="70B00F32" w:rsidR="562A9D2D">
        <w:rPr>
          <w:rFonts w:ascii="Calibri" w:hAnsi="Calibri" w:eastAsia="Calibri" w:cs="Calibri"/>
          <w:b w:val="1"/>
          <w:bCs w:val="1"/>
          <w:noProof w:val="0"/>
          <w:color w:val="auto"/>
          <w:sz w:val="28"/>
          <w:szCs w:val="28"/>
          <w:lang w:val="en-GB"/>
        </w:rPr>
        <w:t>Structural Refinement and Final Synthesis</w:t>
      </w:r>
    </w:p>
    <w:p w:rsidR="6117C4F8" w:rsidP="70B00F32" w:rsidRDefault="6117C4F8" w14:paraId="628057C5" w14:textId="29AF7C9E">
      <w:pPr>
        <w:pStyle w:val="Normal"/>
        <w:spacing w:before="240" w:beforeAutospacing="off" w:after="240" w:afterAutospacing="off"/>
        <w:rPr>
          <w:rFonts w:ascii="Calibri" w:hAnsi="Calibri" w:eastAsia="Calibri" w:cs="Calibri"/>
          <w:noProof w:val="0"/>
          <w:color w:val="auto"/>
          <w:sz w:val="24"/>
          <w:szCs w:val="24"/>
          <w:lang w:val="en-GB"/>
        </w:rPr>
      </w:pPr>
      <w:r w:rsidRPr="70B00F32" w:rsidR="562A9D2D">
        <w:rPr>
          <w:rFonts w:ascii="Calibri" w:hAnsi="Calibri" w:eastAsia="Calibri" w:cs="Calibri"/>
          <w:noProof w:val="0"/>
          <w:color w:val="auto"/>
          <w:sz w:val="24"/>
          <w:szCs w:val="24"/>
          <w:lang w:val="en-GB"/>
        </w:rPr>
        <w:t>Finally, the feedback noted instances of repeated content across the stakeholder and scope sections, as well as minor grammatical inaccuracies. While these issues did not compromise the underlying conceptual quality, addressing them is essential to enhance the document's professional presentation, clarity, and overall readability. Duplicate sections will be eliminated, and grammatical precision will be ensured throughout the final docume</w:t>
      </w:r>
      <w:r w:rsidRPr="70B00F32" w:rsidR="562A9D2D">
        <w:rPr>
          <w:rFonts w:ascii="Calibri" w:hAnsi="Calibri" w:eastAsia="Calibri" w:cs="Calibri"/>
          <w:noProof w:val="0"/>
          <w:color w:val="auto"/>
          <w:sz w:val="24"/>
          <w:szCs w:val="24"/>
          <w:lang w:val="en-GB"/>
        </w:rPr>
        <w:t>nt.</w:t>
      </w:r>
    </w:p>
    <w:p w:rsidR="70B00F32" w:rsidP="70B00F32" w:rsidRDefault="70B00F32" w14:paraId="3135F99E" w14:textId="31380B49">
      <w:pPr>
        <w:spacing w:before="240" w:beforeAutospacing="off" w:after="240" w:afterAutospacing="off"/>
        <w:rPr>
          <w:rFonts w:ascii="Calibri" w:hAnsi="Calibri" w:eastAsia="Calibri" w:cs="Calibri"/>
          <w:noProof w:val="0"/>
          <w:color w:val="auto"/>
          <w:sz w:val="24"/>
          <w:szCs w:val="24"/>
          <w:lang w:val="en-GB"/>
        </w:rPr>
      </w:pPr>
    </w:p>
    <w:p w:rsidR="70B00F32" w:rsidP="70B00F32" w:rsidRDefault="70B00F32" w14:paraId="5A14A373" w14:textId="5D7A30BB">
      <w:pPr>
        <w:spacing w:before="240" w:beforeAutospacing="off" w:after="240" w:afterAutospacing="off"/>
        <w:rPr>
          <w:rFonts w:ascii="Calibri" w:hAnsi="Calibri" w:eastAsia="Calibri" w:cs="Calibri"/>
          <w:noProof w:val="0"/>
          <w:color w:val="auto"/>
          <w:sz w:val="24"/>
          <w:szCs w:val="24"/>
          <w:lang w:val="en-GB"/>
        </w:rPr>
      </w:pPr>
    </w:p>
    <w:p w:rsidR="4C1A40AB" w:rsidP="70B00F32" w:rsidRDefault="4C1A40AB" w14:paraId="7CD258D4" w14:textId="1FED764B">
      <w:pPr>
        <w:pStyle w:val="Normal"/>
        <w:spacing w:before="322" w:beforeAutospacing="off" w:after="322" w:afterAutospacing="off"/>
        <w:rPr>
          <w:rFonts w:ascii="Calibri" w:hAnsi="Calibri" w:eastAsia="Calibri" w:cs="Calibri"/>
          <w:b w:val="1"/>
          <w:bCs w:val="1"/>
          <w:noProof w:val="0"/>
          <w:color w:val="auto"/>
          <w:sz w:val="48"/>
          <w:szCs w:val="48"/>
          <w:lang w:val="en-GB"/>
        </w:rPr>
      </w:pPr>
      <w:r w:rsidRPr="70B00F32" w:rsidR="4C1A40AB">
        <w:rPr>
          <w:rFonts w:ascii="Calibri" w:hAnsi="Calibri" w:eastAsia="Calibri" w:cs="Calibri"/>
          <w:b w:val="1"/>
          <w:bCs w:val="1"/>
          <w:noProof w:val="0"/>
          <w:color w:val="auto"/>
          <w:sz w:val="48"/>
          <w:szCs w:val="48"/>
          <w:lang w:val="en-GB"/>
        </w:rPr>
        <w:t>Part C – Project Management Plan: Central Transport Hub Redevelopment Project</w:t>
      </w:r>
    </w:p>
    <w:p w:rsidR="4C1A40AB" w:rsidP="70B00F32" w:rsidRDefault="4C1A40AB" w14:paraId="2A4FBF5C" w14:textId="46A4A046">
      <w:pPr>
        <w:pStyle w:val="Heading2"/>
        <w:spacing w:before="299" w:beforeAutospacing="off" w:after="299" w:afterAutospacing="off"/>
        <w:rPr>
          <w:rFonts w:ascii="Calibri" w:hAnsi="Calibri" w:eastAsia="Calibri" w:cs="Calibri"/>
          <w:b w:val="1"/>
          <w:bCs w:val="1"/>
          <w:noProof w:val="0"/>
          <w:color w:val="auto"/>
          <w:sz w:val="36"/>
          <w:szCs w:val="36"/>
          <w:lang w:val="en-GB"/>
        </w:rPr>
      </w:pPr>
      <w:r w:rsidRPr="70B00F32" w:rsidR="4C1A40AB">
        <w:rPr>
          <w:rFonts w:ascii="Calibri" w:hAnsi="Calibri" w:eastAsia="Calibri" w:cs="Calibri"/>
          <w:b w:val="1"/>
          <w:bCs w:val="1"/>
          <w:noProof w:val="0"/>
          <w:color w:val="auto"/>
          <w:sz w:val="36"/>
          <w:szCs w:val="36"/>
          <w:lang w:val="en-GB"/>
        </w:rPr>
        <w:t>Executive Summary</w:t>
      </w:r>
    </w:p>
    <w:p w:rsidR="4C1A40AB" w:rsidP="70B00F32" w:rsidRDefault="4C1A40AB" w14:paraId="7F0E1001" w14:textId="6F89444D">
      <w:pPr>
        <w:spacing w:before="240" w:beforeAutospacing="off" w:after="240" w:afterAutospacing="off"/>
        <w:rPr>
          <w:rFonts w:ascii="Calibri" w:hAnsi="Calibri" w:eastAsia="Calibri" w:cs="Calibri"/>
          <w:noProof w:val="0"/>
          <w:color w:val="auto"/>
          <w:sz w:val="24"/>
          <w:szCs w:val="24"/>
          <w:lang w:val="en-GB"/>
        </w:rPr>
      </w:pPr>
      <w:r w:rsidRPr="70B00F32" w:rsidR="4C1A40AB">
        <w:rPr>
          <w:rFonts w:ascii="Calibri" w:hAnsi="Calibri" w:eastAsia="Calibri" w:cs="Calibri"/>
          <w:noProof w:val="0"/>
          <w:color w:val="auto"/>
          <w:sz w:val="24"/>
          <w:szCs w:val="24"/>
          <w:lang w:val="en-GB"/>
        </w:rPr>
        <w:t>In November 2025, a primary UK metropolitan center faced severe infrastructural disruption following the emergency closure of its central transport hub. Operating for over four decades as a vital interchange for regional rail, local bus networks, and commercial freight logistics, the hub was deemed unsafe during a comprehensive structural inspection. The unexpected closure compromised city-wide mobility, interrupted supply chains, burdened local enterprise, and posed risks to the wider regional economy. This crisis created an urgent mandate for a coordinated project to reinstate critical transport capacity while incorporating modern environmental, digital, and inclusive urban planning standards.</w:t>
      </w:r>
    </w:p>
    <w:p w:rsidR="4C1A40AB" w:rsidP="70B00F32" w:rsidRDefault="4C1A40AB" w14:paraId="7FF1CF04" w14:textId="49C1CD6F">
      <w:pPr>
        <w:spacing w:before="240" w:beforeAutospacing="off" w:after="240" w:afterAutospacing="off"/>
        <w:rPr>
          <w:rFonts w:ascii="Calibri" w:hAnsi="Calibri" w:eastAsia="Calibri" w:cs="Calibri"/>
          <w:noProof w:val="0"/>
          <w:color w:val="auto"/>
          <w:sz w:val="24"/>
          <w:szCs w:val="24"/>
          <w:lang w:val="en-GB"/>
        </w:rPr>
      </w:pPr>
      <w:r w:rsidRPr="70B00F32" w:rsidR="4C1A40AB">
        <w:rPr>
          <w:rFonts w:ascii="Calibri" w:hAnsi="Calibri" w:eastAsia="Calibri" w:cs="Calibri"/>
          <w:noProof w:val="0"/>
          <w:color w:val="auto"/>
          <w:sz w:val="24"/>
          <w:szCs w:val="24"/>
          <w:lang w:val="en-GB"/>
        </w:rPr>
        <w:t xml:space="preserve">The response strategy centres on the </w:t>
      </w:r>
      <w:r w:rsidRPr="70B00F32" w:rsidR="4C1A40AB">
        <w:rPr>
          <w:rFonts w:ascii="Calibri" w:hAnsi="Calibri" w:eastAsia="Calibri" w:cs="Calibri"/>
          <w:b w:val="1"/>
          <w:bCs w:val="1"/>
          <w:noProof w:val="0"/>
          <w:color w:val="auto"/>
          <w:sz w:val="24"/>
          <w:szCs w:val="24"/>
          <w:lang w:val="en-GB"/>
        </w:rPr>
        <w:t>Central Transport Hub Redevelopment Project</w:t>
      </w:r>
      <w:r w:rsidRPr="70B00F32" w:rsidR="4C1A40AB">
        <w:rPr>
          <w:rFonts w:ascii="Calibri" w:hAnsi="Calibri" w:eastAsia="Calibri" w:cs="Calibri"/>
          <w:noProof w:val="0"/>
          <w:color w:val="auto"/>
          <w:sz w:val="24"/>
          <w:szCs w:val="24"/>
          <w:lang w:val="en-GB"/>
        </w:rPr>
        <w:t>. This option directly addresses structural deficiencies through comprehensive physical reconstruction rather than temporary fixes. The initiative incorporates three integrated sub-workstreams:</w:t>
      </w:r>
    </w:p>
    <w:p w:rsidR="4C1A40AB" w:rsidP="70B00F32" w:rsidRDefault="4C1A40AB" w14:paraId="2CA6F7E2" w14:textId="401B0C15">
      <w:pPr>
        <w:pStyle w:val="ListParagraph"/>
        <w:numPr>
          <w:ilvl w:val="0"/>
          <w:numId w:val="2"/>
        </w:numPr>
        <w:spacing w:before="240" w:beforeAutospacing="off" w:after="240" w:afterAutospacing="off"/>
        <w:rPr>
          <w:rFonts w:ascii="Calibri" w:hAnsi="Calibri" w:eastAsia="Calibri" w:cs="Calibri"/>
          <w:noProof w:val="0"/>
          <w:color w:val="auto"/>
          <w:sz w:val="24"/>
          <w:szCs w:val="24"/>
          <w:lang w:val="en-GB"/>
        </w:rPr>
      </w:pPr>
      <w:r w:rsidRPr="70B00F32" w:rsidR="4C1A40AB">
        <w:rPr>
          <w:rFonts w:ascii="Calibri" w:hAnsi="Calibri" w:eastAsia="Calibri" w:cs="Calibri"/>
          <w:b w:val="1"/>
          <w:bCs w:val="1"/>
          <w:noProof w:val="0"/>
          <w:color w:val="auto"/>
          <w:sz w:val="24"/>
          <w:szCs w:val="24"/>
          <w:lang w:val="en-GB"/>
        </w:rPr>
        <w:t>Temporary Multimodal Transport Solution:</w:t>
      </w:r>
      <w:r w:rsidRPr="70B00F32" w:rsidR="4C1A40AB">
        <w:rPr>
          <w:rFonts w:ascii="Calibri" w:hAnsi="Calibri" w:eastAsia="Calibri" w:cs="Calibri"/>
          <w:noProof w:val="0"/>
          <w:color w:val="auto"/>
          <w:sz w:val="24"/>
          <w:szCs w:val="24"/>
          <w:lang w:val="en-GB"/>
        </w:rPr>
        <w:t xml:space="preserve"> Maintains core mobility and minimizes public disruption throughout construction.</w:t>
      </w:r>
    </w:p>
    <w:p w:rsidR="4C1A40AB" w:rsidP="70B00F32" w:rsidRDefault="4C1A40AB" w14:paraId="5D4DBFD9" w14:textId="139D509B">
      <w:pPr>
        <w:pStyle w:val="ListParagraph"/>
        <w:numPr>
          <w:ilvl w:val="0"/>
          <w:numId w:val="2"/>
        </w:numPr>
        <w:spacing w:before="240" w:beforeAutospacing="off" w:after="240" w:afterAutospacing="off"/>
        <w:rPr>
          <w:rFonts w:ascii="Calibri" w:hAnsi="Calibri" w:eastAsia="Calibri" w:cs="Calibri"/>
          <w:noProof w:val="0"/>
          <w:color w:val="auto"/>
          <w:sz w:val="24"/>
          <w:szCs w:val="24"/>
          <w:lang w:val="en-GB"/>
        </w:rPr>
      </w:pPr>
      <w:r w:rsidRPr="70B00F32" w:rsidR="4C1A40AB">
        <w:rPr>
          <w:rFonts w:ascii="Calibri" w:hAnsi="Calibri" w:eastAsia="Calibri" w:cs="Calibri"/>
          <w:b w:val="1"/>
          <w:bCs w:val="1"/>
          <w:noProof w:val="0"/>
          <w:color w:val="auto"/>
          <w:sz w:val="24"/>
          <w:szCs w:val="24"/>
          <w:lang w:val="en-GB"/>
        </w:rPr>
        <w:t>Digital Modernization:</w:t>
      </w:r>
      <w:r w:rsidRPr="70B00F32" w:rsidR="4C1A40AB">
        <w:rPr>
          <w:rFonts w:ascii="Calibri" w:hAnsi="Calibri" w:eastAsia="Calibri" w:cs="Calibri"/>
          <w:noProof w:val="0"/>
          <w:color w:val="auto"/>
          <w:sz w:val="24"/>
          <w:szCs w:val="24"/>
          <w:lang w:val="en-GB"/>
        </w:rPr>
        <w:t xml:space="preserve"> Integrates real-time information systems, crowd flow management, and coordinated freight logistics.</w:t>
      </w:r>
    </w:p>
    <w:p w:rsidR="4C1A40AB" w:rsidP="70B00F32" w:rsidRDefault="4C1A40AB" w14:paraId="4C47BFCF" w14:textId="37BB360F">
      <w:pPr>
        <w:pStyle w:val="ListParagraph"/>
        <w:numPr>
          <w:ilvl w:val="0"/>
          <w:numId w:val="2"/>
        </w:numPr>
        <w:spacing w:before="240" w:beforeAutospacing="off" w:after="240" w:afterAutospacing="off"/>
        <w:rPr>
          <w:rFonts w:ascii="Calibri" w:hAnsi="Calibri" w:eastAsia="Calibri" w:cs="Calibri"/>
          <w:noProof w:val="0"/>
          <w:color w:val="auto"/>
          <w:sz w:val="24"/>
          <w:szCs w:val="24"/>
          <w:lang w:val="en-GB"/>
        </w:rPr>
      </w:pPr>
      <w:r w:rsidRPr="70B00F32" w:rsidR="4C1A40AB">
        <w:rPr>
          <w:rFonts w:ascii="Calibri" w:hAnsi="Calibri" w:eastAsia="Calibri" w:cs="Calibri"/>
          <w:b w:val="1"/>
          <w:bCs w:val="1"/>
          <w:noProof w:val="0"/>
          <w:color w:val="auto"/>
          <w:sz w:val="24"/>
          <w:szCs w:val="24"/>
          <w:lang w:val="en-GB"/>
        </w:rPr>
        <w:t>Sustainable Design Framework:</w:t>
      </w:r>
      <w:r w:rsidRPr="70B00F32" w:rsidR="4C1A40AB">
        <w:rPr>
          <w:rFonts w:ascii="Calibri" w:hAnsi="Calibri" w:eastAsia="Calibri" w:cs="Calibri"/>
          <w:noProof w:val="0"/>
          <w:color w:val="auto"/>
          <w:sz w:val="24"/>
          <w:szCs w:val="24"/>
          <w:lang w:val="en-GB"/>
        </w:rPr>
        <w:t xml:space="preserve"> Embeds energy efficiency, climate-resilient architecture, and active travel pathways to align with net-zero urban mandates.</w:t>
      </w:r>
    </w:p>
    <w:p w:rsidR="361BC926" w:rsidP="70B00F32" w:rsidRDefault="361BC926" w14:paraId="341593FA" w14:textId="21AA90B0">
      <w:pPr>
        <w:spacing w:before="240" w:beforeAutospacing="off" w:after="240" w:afterAutospacing="off"/>
        <w:rPr>
          <w:rFonts w:ascii="Calibri" w:hAnsi="Calibri" w:eastAsia="Calibri" w:cs="Calibri"/>
          <w:noProof w:val="0"/>
          <w:color w:val="auto"/>
          <w:sz w:val="24"/>
          <w:szCs w:val="24"/>
          <w:lang w:val="en-GB"/>
        </w:rPr>
      </w:pPr>
      <w:r w:rsidRPr="70B00F32" w:rsidR="361BC926">
        <w:rPr>
          <w:rFonts w:ascii="Calibri" w:hAnsi="Calibri" w:eastAsia="Calibri" w:cs="Calibri"/>
          <w:noProof w:val="0"/>
          <w:color w:val="auto"/>
          <w:sz w:val="24"/>
          <w:szCs w:val="24"/>
          <w:lang w:val="en-GB"/>
        </w:rPr>
        <w:t xml:space="preserve">This Project Management Plan (PMP) </w:t>
      </w:r>
      <w:r w:rsidRPr="70B00F32" w:rsidR="361BC926">
        <w:rPr>
          <w:rFonts w:ascii="Calibri" w:hAnsi="Calibri" w:eastAsia="Calibri" w:cs="Calibri"/>
          <w:noProof w:val="0"/>
          <w:color w:val="auto"/>
          <w:sz w:val="24"/>
          <w:szCs w:val="24"/>
          <w:lang w:val="en-GB"/>
        </w:rPr>
        <w:t>establishes</w:t>
      </w:r>
      <w:r w:rsidRPr="70B00F32" w:rsidR="361BC926">
        <w:rPr>
          <w:rFonts w:ascii="Calibri" w:hAnsi="Calibri" w:eastAsia="Calibri" w:cs="Calibri"/>
          <w:noProof w:val="0"/>
          <w:color w:val="auto"/>
          <w:sz w:val="24"/>
          <w:szCs w:val="24"/>
          <w:lang w:val="en-GB"/>
        </w:rPr>
        <w:t xml:space="preserve"> a rigorous delivery framework </w:t>
      </w:r>
      <w:r w:rsidRPr="70B00F32" w:rsidR="361BC926">
        <w:rPr>
          <w:rFonts w:ascii="Calibri" w:hAnsi="Calibri" w:eastAsia="Calibri" w:cs="Calibri"/>
          <w:noProof w:val="0"/>
          <w:color w:val="auto"/>
          <w:sz w:val="24"/>
          <w:szCs w:val="24"/>
          <w:lang w:val="en-GB"/>
        </w:rPr>
        <w:t>utilizing</w:t>
      </w:r>
      <w:r w:rsidRPr="70B00F32" w:rsidR="361BC926">
        <w:rPr>
          <w:rFonts w:ascii="Calibri" w:hAnsi="Calibri" w:eastAsia="Calibri" w:cs="Calibri"/>
          <w:noProof w:val="0"/>
          <w:color w:val="auto"/>
          <w:sz w:val="24"/>
          <w:szCs w:val="24"/>
          <w:lang w:val="en-GB"/>
        </w:rPr>
        <w:t xml:space="preserve"> tools such as SMART objective setting, detailed scope boundary definition, a Work Breakdown Structure (WBS), Quad Chart analysis, Gantt chart scheduling, stakeholder power-interest mapping, resource management plans, and risk matrix assessments. </w:t>
      </w:r>
    </w:p>
    <w:p w:rsidR="361BC926" w:rsidP="70B00F32" w:rsidRDefault="361BC926" w14:paraId="66E20E57" w14:textId="572A09B6">
      <w:pPr>
        <w:pStyle w:val="Normal"/>
        <w:spacing w:before="240" w:beforeAutospacing="off" w:after="240" w:afterAutospacing="off"/>
        <w:rPr>
          <w:rFonts w:ascii="Calibri" w:hAnsi="Calibri" w:eastAsia="Calibri" w:cs="Calibri"/>
          <w:noProof w:val="0"/>
          <w:color w:val="auto"/>
          <w:sz w:val="24"/>
          <w:szCs w:val="24"/>
          <w:lang w:val="en-GB"/>
        </w:rPr>
      </w:pPr>
      <w:r w:rsidRPr="70B00F32" w:rsidR="361BC926">
        <w:rPr>
          <w:rFonts w:ascii="Calibri" w:hAnsi="Calibri" w:eastAsia="Calibri" w:cs="Calibri"/>
          <w:noProof w:val="0"/>
          <w:color w:val="auto"/>
          <w:sz w:val="24"/>
          <w:szCs w:val="24"/>
          <w:lang w:val="en-GB"/>
        </w:rPr>
        <w:t>Planned across a 30-month timeline—covering survey work, statutory approvals, procurement, site preparation, construction, systems integration, testing, and handover—the project adopts a phased construction strategy.</w:t>
      </w:r>
    </w:p>
    <w:p w:rsidR="297BA5E0" w:rsidP="70B00F32" w:rsidRDefault="297BA5E0" w14:paraId="0327CCBD" w14:textId="44162BC8">
      <w:pPr>
        <w:pStyle w:val="Heading2"/>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Introduction</w:t>
      </w:r>
    </w:p>
    <w:p w:rsidR="297BA5E0" w:rsidP="70B00F32" w:rsidRDefault="297BA5E0" w14:paraId="6A67B38E" w14:textId="50346DE7">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Project management provides a structured approach for coordinating resources, activities, stakeholders, risks, and deliverables to achieve defined outcomes within strict constraints. Major municipal infrastructure projects require structured governance models due to significant financial investments, technical uncertainties, complex regulatory requirements, and competing stakeholder interests (Kerzner, 2022). Consequently, success must be evaluated beyond traditional time, cost, and quality parameters to include strategic impact, stakeholder satisfaction, environmental sustainability, and long-term asset value (Project Management Institute, 2021).</w:t>
      </w:r>
    </w:p>
    <w:p w:rsidR="297BA5E0" w:rsidP="70B00F32" w:rsidRDefault="297BA5E0" w14:paraId="1C98639C" w14:textId="1A39F5CD">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emergency closure of the metropolitan transport hub in late 2025 created a severe infrastructure deficit. Serving for over 40 years as a multimodal node connecting passenger rail, regional bus lines, and freight networks, the facility was shut down after a structural survey identified significant material degradations and safety non-compliance.</w:t>
      </w:r>
    </w:p>
    <w:p w:rsidR="297BA5E0" w:rsidP="70B00F32" w:rsidRDefault="297BA5E0" w14:paraId="41EC15C1" w14:textId="0F036AC3">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closure triggered two distinct sets of impacts:</w:t>
      </w:r>
    </w:p>
    <w:p w:rsidR="297BA5E0" w:rsidP="70B00F32" w:rsidRDefault="297BA5E0" w14:paraId="57D46BCA" w14:textId="1D980BEE">
      <w:pPr>
        <w:pStyle w:val="ListParagraph"/>
        <w:numPr>
          <w:ilvl w:val="0"/>
          <w:numId w:val="3"/>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Immediate Disruptions:</w:t>
      </w:r>
      <w:r w:rsidRPr="70B00F32" w:rsidR="297BA5E0">
        <w:rPr>
          <w:rFonts w:ascii="Calibri" w:hAnsi="Calibri" w:eastAsia="Calibri" w:cs="Calibri"/>
          <w:noProof w:val="0"/>
          <w:color w:val="auto"/>
          <w:sz w:val="24"/>
          <w:szCs w:val="24"/>
          <w:lang w:val="en-GB"/>
        </w:rPr>
        <w:t xml:space="preserve"> Acute commuter delays, supply chain bottlenecks for freight logistics, and economic losses for local businesses.</w:t>
      </w:r>
    </w:p>
    <w:p w:rsidR="297BA5E0" w:rsidP="70B00F32" w:rsidRDefault="297BA5E0" w14:paraId="79D0DE98" w14:textId="0D04C49D">
      <w:pPr>
        <w:pStyle w:val="ListParagraph"/>
        <w:numPr>
          <w:ilvl w:val="0"/>
          <w:numId w:val="3"/>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Strategic Pressures:</w:t>
      </w:r>
      <w:r w:rsidRPr="70B00F32" w:rsidR="297BA5E0">
        <w:rPr>
          <w:rFonts w:ascii="Calibri" w:hAnsi="Calibri" w:eastAsia="Calibri" w:cs="Calibri"/>
          <w:noProof w:val="0"/>
          <w:color w:val="auto"/>
          <w:sz w:val="24"/>
          <w:szCs w:val="24"/>
          <w:lang w:val="en-GB"/>
        </w:rPr>
        <w:t xml:space="preserve"> An urgent need to modernize urban mobility, satisfy net-zero environmental targets, and implement inclusive accessibility standards.</w:t>
      </w:r>
    </w:p>
    <w:p w:rsidR="297BA5E0" w:rsidP="70B00F32" w:rsidRDefault="297BA5E0" w14:paraId="2D4382E7" w14:textId="007F8279">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Local authorities evaluated four potential response pathways:</w:t>
      </w:r>
    </w:p>
    <w:p w:rsidR="297BA5E0" w:rsidP="70B00F32" w:rsidRDefault="297BA5E0" w14:paraId="61197243" w14:textId="783A1CBC">
      <w:pPr>
        <w:pStyle w:val="ListParagraph"/>
        <w:numPr>
          <w:ilvl w:val="0"/>
          <w:numId w:val="4"/>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Comprehensive redevelopment of the central hub;</w:t>
      </w:r>
    </w:p>
    <w:p w:rsidR="297BA5E0" w:rsidP="70B00F32" w:rsidRDefault="297BA5E0" w14:paraId="683ADBE0" w14:textId="1B41C039">
      <w:pPr>
        <w:pStyle w:val="ListParagraph"/>
        <w:numPr>
          <w:ilvl w:val="0"/>
          <w:numId w:val="4"/>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Construction of an off-site temporary transport facility;</w:t>
      </w:r>
    </w:p>
    <w:p w:rsidR="297BA5E0" w:rsidP="70B00F32" w:rsidRDefault="297BA5E0" w14:paraId="3DAD73F1" w14:textId="2553F628">
      <w:pPr>
        <w:pStyle w:val="ListParagraph"/>
        <w:numPr>
          <w:ilvl w:val="0"/>
          <w:numId w:val="4"/>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Digital modernization of traffic and logistics management systems;</w:t>
      </w:r>
    </w:p>
    <w:p w:rsidR="297BA5E0" w:rsidP="70B00F32" w:rsidRDefault="297BA5E0" w14:paraId="124CA12B" w14:textId="4CCD974B">
      <w:pPr>
        <w:pStyle w:val="ListParagraph"/>
        <w:numPr>
          <w:ilvl w:val="0"/>
          <w:numId w:val="4"/>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Comprehensive green design retrofit focused on decarbonization.</w:t>
      </w:r>
    </w:p>
    <w:p w:rsidR="297BA5E0" w:rsidP="70B00F32" w:rsidRDefault="297BA5E0" w14:paraId="787E6BA4" w14:textId="0CD4CA85">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 xml:space="preserve">The chosen solution—the </w:t>
      </w:r>
      <w:r w:rsidRPr="70B00F32" w:rsidR="297BA5E0">
        <w:rPr>
          <w:rFonts w:ascii="Calibri" w:hAnsi="Calibri" w:eastAsia="Calibri" w:cs="Calibri"/>
          <w:b w:val="1"/>
          <w:bCs w:val="1"/>
          <w:noProof w:val="0"/>
          <w:color w:val="auto"/>
          <w:sz w:val="24"/>
          <w:szCs w:val="24"/>
          <w:lang w:val="en-GB"/>
        </w:rPr>
        <w:t>Central Transport Hub Redevelopment Project</w:t>
      </w:r>
      <w:r w:rsidRPr="70B00F32" w:rsidR="297BA5E0">
        <w:rPr>
          <w:rFonts w:ascii="Calibri" w:hAnsi="Calibri" w:eastAsia="Calibri" w:cs="Calibri"/>
          <w:noProof w:val="0"/>
          <w:color w:val="auto"/>
          <w:sz w:val="24"/>
          <w:szCs w:val="24"/>
          <w:lang w:val="en-GB"/>
        </w:rPr>
        <w:t>—serves as the primary umbrella initiative, directly unifying temporary multimodal transport, digital modernization, and sustainable inclusive design as supporting workstreams.</w:t>
      </w:r>
    </w:p>
    <w:p w:rsidR="297BA5E0" w:rsidP="70B00F32" w:rsidRDefault="297BA5E0" w14:paraId="225E86E8" w14:textId="7B574482">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A standalone temporary transport solution would restore short-term mobility without rectifying underlying structural failures. Independent digital upgrades would optimize passenger routing but cannot remediate unsafe physical structures. Similarly, green retrofitting alone is impractical without deep structural rehabilitation. Rebuilding the central hub while embedding temporary transport operations, advanced digital systems, and sustainable architecture provides a complete, long-term solution.</w:t>
      </w:r>
    </w:p>
    <w:p w:rsidR="297BA5E0" w:rsidP="70B00F32" w:rsidRDefault="297BA5E0" w14:paraId="65D5B6E0" w14:textId="4F8A82A0">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This Project Management Plan outlines the governance, scheduling, resource allocation, and risk management strategies necessary to execute this project efficiently.</w:t>
      </w:r>
    </w:p>
    <w:p w:rsidR="297BA5E0" w:rsidP="70B00F32" w:rsidRDefault="297BA5E0" w14:paraId="44A4332C" w14:textId="0C7BDCAF">
      <w:pPr>
        <w:pStyle w:val="Heading2"/>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Project Description</w:t>
      </w:r>
    </w:p>
    <w:p w:rsidR="297BA5E0" w:rsidP="70B00F32" w:rsidRDefault="297BA5E0" w14:paraId="661E3368" w14:textId="107894FF">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Central Transport Hub Redevelopment Project involves rebuilding the decommissioned facility to restore core transport capacity while creating a modern, safe, accessible, and environmentally resilient infrastructure hub.</w:t>
      </w:r>
    </w:p>
    <w:p w:rsidR="297BA5E0" w:rsidP="70B00F32" w:rsidRDefault="297BA5E0" w14:paraId="785324C8" w14:textId="78A401D9">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program addresses four core requirements:</w:t>
      </w:r>
    </w:p>
    <w:p w:rsidR="297BA5E0" w:rsidP="70B00F32" w:rsidRDefault="297BA5E0" w14:paraId="0228FBC4" w14:textId="62CACE49">
      <w:pPr>
        <w:pStyle w:val="ListParagraph"/>
        <w:numPr>
          <w:ilvl w:val="0"/>
          <w:numId w:val="5"/>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Safety &amp; Infrastructure:</w:t>
      </w:r>
      <w:r w:rsidRPr="70B00F32" w:rsidR="297BA5E0">
        <w:rPr>
          <w:rFonts w:ascii="Calibri" w:hAnsi="Calibri" w:eastAsia="Calibri" w:cs="Calibri"/>
          <w:noProof w:val="0"/>
          <w:color w:val="auto"/>
          <w:sz w:val="24"/>
          <w:szCs w:val="24"/>
          <w:lang w:val="en-GB"/>
        </w:rPr>
        <w:t xml:space="preserve"> Remediate structural deficiencies highlighted during safety inspections through targeted demolition and advanced engineering rebuilds.</w:t>
      </w:r>
    </w:p>
    <w:p w:rsidR="297BA5E0" w:rsidP="70B00F32" w:rsidRDefault="297BA5E0" w14:paraId="30D8235A" w14:textId="28F6536A">
      <w:pPr>
        <w:pStyle w:val="ListParagraph"/>
        <w:numPr>
          <w:ilvl w:val="0"/>
          <w:numId w:val="5"/>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Operational Continuity:</w:t>
      </w:r>
      <w:r w:rsidRPr="70B00F32" w:rsidR="297BA5E0">
        <w:rPr>
          <w:rFonts w:ascii="Calibri" w:hAnsi="Calibri" w:eastAsia="Calibri" w:cs="Calibri"/>
          <w:noProof w:val="0"/>
          <w:color w:val="auto"/>
          <w:sz w:val="24"/>
          <w:szCs w:val="24"/>
          <w:lang w:val="en-GB"/>
        </w:rPr>
        <w:t xml:space="preserve"> Deploy temporary multimodal transport options to minimize passenger and freight disruption during construction.</w:t>
      </w:r>
    </w:p>
    <w:p w:rsidR="297BA5E0" w:rsidP="70B00F32" w:rsidRDefault="297BA5E0" w14:paraId="0BC55786" w14:textId="7422FF55">
      <w:pPr>
        <w:pStyle w:val="ListParagraph"/>
        <w:numPr>
          <w:ilvl w:val="0"/>
          <w:numId w:val="5"/>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Digital Infrastructure:</w:t>
      </w:r>
      <w:r w:rsidRPr="70B00F32" w:rsidR="297BA5E0">
        <w:rPr>
          <w:rFonts w:ascii="Calibri" w:hAnsi="Calibri" w:eastAsia="Calibri" w:cs="Calibri"/>
          <w:noProof w:val="0"/>
          <w:color w:val="auto"/>
          <w:sz w:val="24"/>
          <w:szCs w:val="24"/>
          <w:lang w:val="en-GB"/>
        </w:rPr>
        <w:t xml:space="preserve"> Upgrade system architecture with real-time passenger information displays (PID), digital wayfinding, automated passenger counting (APC), and integrated freight scheduling platforms.</w:t>
      </w:r>
    </w:p>
    <w:p w:rsidR="297BA5E0" w:rsidP="70B00F32" w:rsidRDefault="297BA5E0" w14:paraId="6DB3B6E0" w14:textId="124E68ED">
      <w:pPr>
        <w:pStyle w:val="ListParagraph"/>
        <w:numPr>
          <w:ilvl w:val="0"/>
          <w:numId w:val="5"/>
        </w:num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Sustainability &amp; Inclusion:</w:t>
      </w:r>
      <w:r w:rsidRPr="70B00F32" w:rsidR="297BA5E0">
        <w:rPr>
          <w:rFonts w:ascii="Calibri" w:hAnsi="Calibri" w:eastAsia="Calibri" w:cs="Calibri"/>
          <w:noProof w:val="0"/>
          <w:color w:val="auto"/>
          <w:sz w:val="24"/>
          <w:szCs w:val="24"/>
          <w:lang w:val="en-GB"/>
        </w:rPr>
        <w:t xml:space="preserve"> Incorporate energy-efficient building systems, low-carbon materials, universal accessibility, step-free access, and climate-resilient features.</w:t>
      </w:r>
    </w:p>
    <w:p w:rsidR="297BA5E0" w:rsidP="70B00F32" w:rsidRDefault="297BA5E0" w14:paraId="62C98C3E" w14:textId="33FB066C">
      <w:pPr>
        <w:pStyle w:val="Heading3"/>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Core Project Aim</w:t>
      </w:r>
    </w:p>
    <w:p w:rsidR="297BA5E0" w:rsidP="70B00F32" w:rsidRDefault="297BA5E0" w14:paraId="4C5E8494" w14:textId="4B4A3A1C">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To redevelop the central transport hub into a safe, accessible, integrated, digitally enabled, and environmentally sustainable transport interchange that restores operational capacity and supports long-term municipal development goals. This aim is supported by three core pillars: structural security and safety, universal accessibility and inclusion standards, and real-time digital system integrations.</w:t>
      </w:r>
    </w:p>
    <w:p w:rsidR="70B00F32" w:rsidP="70B00F32" w:rsidRDefault="70B00F32" w14:paraId="687B5A0F" w14:textId="798EDFA0">
      <w:pPr>
        <w:pStyle w:val="Heading3"/>
        <w:spacing w:before="0" w:beforeAutospacing="off" w:after="281" w:afterAutospacing="off"/>
        <w:rPr>
          <w:rFonts w:ascii="Calibri" w:hAnsi="Calibri" w:eastAsia="Calibri" w:cs="Calibri"/>
          <w:b w:val="1"/>
          <w:bCs w:val="1"/>
          <w:noProof w:val="0"/>
          <w:color w:val="auto"/>
          <w:sz w:val="28"/>
          <w:szCs w:val="28"/>
          <w:lang w:val="en-GB"/>
        </w:rPr>
      </w:pPr>
    </w:p>
    <w:p w:rsidR="70B00F32" w:rsidP="70B00F32" w:rsidRDefault="70B00F32" w14:paraId="4FB21B1B" w14:textId="19ABFC5C">
      <w:pPr>
        <w:pStyle w:val="Heading3"/>
        <w:spacing w:before="0" w:beforeAutospacing="off" w:after="281" w:afterAutospacing="off"/>
        <w:rPr>
          <w:rFonts w:ascii="Calibri" w:hAnsi="Calibri" w:eastAsia="Calibri" w:cs="Calibri"/>
          <w:b w:val="1"/>
          <w:bCs w:val="1"/>
          <w:noProof w:val="0"/>
          <w:color w:val="auto"/>
          <w:sz w:val="28"/>
          <w:szCs w:val="28"/>
          <w:lang w:val="en-GB"/>
        </w:rPr>
      </w:pPr>
    </w:p>
    <w:p w:rsidR="70B00F32" w:rsidP="70B00F32" w:rsidRDefault="70B00F32" w14:paraId="5371C8E8" w14:textId="3DF7F76A">
      <w:pPr>
        <w:pStyle w:val="Heading3"/>
        <w:spacing w:before="0" w:beforeAutospacing="off" w:after="281" w:afterAutospacing="off"/>
        <w:rPr>
          <w:rFonts w:ascii="Calibri" w:hAnsi="Calibri" w:eastAsia="Calibri" w:cs="Calibri"/>
          <w:b w:val="1"/>
          <w:bCs w:val="1"/>
          <w:noProof w:val="0"/>
          <w:color w:val="auto"/>
          <w:sz w:val="28"/>
          <w:szCs w:val="28"/>
          <w:lang w:val="en-GB"/>
        </w:rPr>
      </w:pPr>
    </w:p>
    <w:p w:rsidR="70B00F32" w:rsidP="70B00F32" w:rsidRDefault="70B00F32" w14:paraId="20F27D07" w14:textId="2FC56449">
      <w:pPr>
        <w:pStyle w:val="Heading3"/>
        <w:spacing w:before="0" w:beforeAutospacing="off" w:after="281" w:afterAutospacing="off"/>
        <w:rPr>
          <w:rFonts w:ascii="Calibri" w:hAnsi="Calibri" w:eastAsia="Calibri" w:cs="Calibri"/>
          <w:b w:val="1"/>
          <w:bCs w:val="1"/>
          <w:noProof w:val="0"/>
          <w:color w:val="auto"/>
          <w:sz w:val="28"/>
          <w:szCs w:val="28"/>
          <w:lang w:val="en-GB"/>
        </w:rPr>
      </w:pPr>
    </w:p>
    <w:p w:rsidR="297BA5E0" w:rsidP="70B00F32" w:rsidRDefault="297BA5E0" w14:paraId="601F0310" w14:textId="0D5D1431">
      <w:pPr>
        <w:pStyle w:val="Heading3"/>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SMART Project Objectives</w:t>
      </w:r>
    </w:p>
    <w:p w:rsidR="297BA5E0" w:rsidP="70B00F32" w:rsidRDefault="297BA5E0" w14:paraId="23F7E5C2" w14:textId="0478F528">
      <w:pPr>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To ensure clear performance measurement and accountability, project outcomes are defined using the SMART framework:</w:t>
      </w:r>
    </w:p>
    <w:p w:rsidR="70B00F32" w:rsidP="70B00F32" w:rsidRDefault="70B00F32" w14:paraId="2386DF10" w14:textId="7C64A385">
      <w:pPr>
        <w:spacing w:before="0" w:beforeAutospacing="off" w:after="240" w:afterAutospacing="off"/>
        <w:rPr>
          <w:rFonts w:ascii="Calibri" w:hAnsi="Calibri" w:eastAsia="Calibri" w:cs="Calibri"/>
          <w:noProof w:val="0"/>
          <w:color w:val="auto"/>
          <w:sz w:val="24"/>
          <w:szCs w:val="24"/>
          <w:lang w:val="en-GB"/>
        </w:rPr>
      </w:pPr>
    </w:p>
    <w:p w:rsidR="70B00F32" w:rsidP="70B00F32" w:rsidRDefault="70B00F32" w14:paraId="0A078D04" w14:textId="2D11DC2F">
      <w:pPr>
        <w:spacing w:before="0" w:beforeAutospacing="off" w:after="240" w:afterAutospacing="off"/>
        <w:rPr>
          <w:rFonts w:ascii="Calibri" w:hAnsi="Calibri" w:eastAsia="Calibri" w:cs="Calibri"/>
          <w:noProof w:val="0"/>
          <w:color w:val="auto"/>
          <w:sz w:val="24"/>
          <w:szCs w:val="24"/>
          <w:lang w:val="en-GB"/>
        </w:rPr>
      </w:pPr>
    </w:p>
    <w:tbl>
      <w:tblPr>
        <w:tblStyle w:val="TableNormal"/>
        <w:bidiVisual w:val="0"/>
        <w:tblW w:w="0" w:type="auto"/>
        <w:tblLook w:val="06A0" w:firstRow="1" w:lastRow="0" w:firstColumn="1" w:lastColumn="0" w:noHBand="1" w:noVBand="1"/>
      </w:tblPr>
      <w:tblGrid>
        <w:gridCol w:w="1917"/>
        <w:gridCol w:w="7443"/>
      </w:tblGrid>
      <w:tr w:rsidR="70B00F32" w:rsidTr="70B00F32" w14:paraId="4CBA6EBE">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56DE660" w14:textId="66968911">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Objective Dimension</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8FA6315" w14:textId="306CE2D2">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SMART Target Specification</w:t>
            </w:r>
          </w:p>
        </w:tc>
      </w:tr>
      <w:tr w:rsidR="70B00F32" w:rsidTr="70B00F32" w14:paraId="52D81772">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350E573" w14:textId="157D1736">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Safety</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FB8299F" w14:textId="54015230">
            <w:pPr>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Achieve full structural certification, zero critical safety non-compliances, and complete regulatory sign-off across all construction zones prior to operational handover.</w:t>
            </w:r>
          </w:p>
        </w:tc>
      </w:tr>
      <w:tr w:rsidR="70B00F32" w:rsidTr="70B00F32" w14:paraId="2463B4E4">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D316109" w14:textId="607C17CA">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Accessibility</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C4D424C" w14:textId="50579119">
            <w:pPr>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Implement step-free routes, tactile paving, accessible facilities, and inclusive signage across 100% of public areas prior to opening.</w:t>
            </w:r>
          </w:p>
        </w:tc>
      </w:tr>
      <w:tr w:rsidR="70B00F32" w:rsidTr="70B00F32" w14:paraId="1ACE4367">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52C3C8F" w14:textId="51C25B62">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Transport Capacity</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7B156C6" w14:textId="51BCBDB1">
            <w:pPr>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Restore baseline capacity for passenger rail, regional bus services, and commercial freight interchanges within the target timeline.</w:t>
            </w:r>
          </w:p>
        </w:tc>
      </w:tr>
      <w:tr w:rsidR="70B00F32" w:rsidTr="70B00F32" w14:paraId="6C9BB99D">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0B76CC2" w14:textId="5E0D4214">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Digital Capability</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EFAD404" w14:textId="3D13DDD2">
            <w:pPr>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Install, integrate, and test passenger information systems, digital wayfinding, and freight management platforms prior to system handover.</w:t>
            </w:r>
          </w:p>
        </w:tc>
      </w:tr>
      <w:tr w:rsidR="70B00F32" w:rsidTr="70B00F32" w14:paraId="6695B7C7">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7837F7A" w14:textId="1588630E">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Sustainability</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BD95527" w14:textId="5091FDFB">
            <w:pPr>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Attain targeted green building certifications by reducing embodied carbon, integrating renewable energy generation, and establishing active travel links.</w:t>
            </w:r>
          </w:p>
        </w:tc>
      </w:tr>
      <w:tr w:rsidR="70B00F32" w:rsidTr="70B00F32" w14:paraId="286DADF6">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DF24DF0" w14:textId="525C0C8F">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Schedule</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ECFE23D" w14:textId="7CB01C0B">
            <w:pPr>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Complete design, procurement, site preparation, construction, and commissioning within 30 months from initial mobilization.</w:t>
            </w:r>
          </w:p>
        </w:tc>
      </w:tr>
      <w:tr w:rsidR="70B00F32" w:rsidTr="70B00F32" w14:paraId="6E16BB63">
        <w:trPr>
          <w:trHeight w:val="300"/>
        </w:trPr>
        <w:tc>
          <w:tcPr>
            <w:tcW w:w="191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76CDDD9" w14:textId="6DC56025">
            <w:pPr>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Stakeholder Satisfaction</w:t>
            </w:r>
          </w:p>
        </w:tc>
        <w:tc>
          <w:tcPr>
            <w:tcW w:w="744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4FBD600" w14:textId="0BE8B68C">
            <w:pPr>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Maintain formal feedback channels throughout the project lifecycle, targeting over 85% resolution for logged stakeholder inquiries within agreed timelines.</w:t>
            </w:r>
          </w:p>
        </w:tc>
      </w:tr>
    </w:tbl>
    <w:p w:rsidR="70B00F32" w:rsidP="70B00F32" w:rsidRDefault="70B00F32" w14:paraId="2F471402" w14:textId="6F3EA945">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p>
    <w:p w:rsidR="297BA5E0" w:rsidP="70B00F32" w:rsidRDefault="297BA5E0" w14:paraId="1608EA8B" w14:textId="3D5814E6">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Project Scope</w:t>
      </w:r>
    </w:p>
    <w:p w:rsidR="297BA5E0" w:rsidP="70B00F32" w:rsidRDefault="297BA5E0" w14:paraId="5EB8E8DC" w14:textId="19863D25">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Scope management establishes explicit operational boundaries, preventing unmanaged expansion that can cause budget overruns and schedule delays (Project Management Institute, 2021).</w:t>
      </w:r>
    </w:p>
    <w:p w:rsidR="297BA5E0" w:rsidP="70B00F32" w:rsidRDefault="297BA5E0" w14:paraId="25D463F9" w14:textId="3FEDE10A">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In-Scope Activities</w:t>
      </w:r>
    </w:p>
    <w:p w:rsidR="297BA5E0" w:rsidP="70B00F32" w:rsidRDefault="297BA5E0" w14:paraId="67417BD7" w14:textId="30655413">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Site surveys, structural testing, and geo-environmental studies.</w:t>
      </w:r>
    </w:p>
    <w:p w:rsidR="297BA5E0" w:rsidP="70B00F32" w:rsidRDefault="297BA5E0" w14:paraId="73EFDCD7" w14:textId="2C92FDB1">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Demolition, site clearance, and hazardous material removal.</w:t>
      </w:r>
    </w:p>
    <w:p w:rsidR="297BA5E0" w:rsidP="70B00F32" w:rsidRDefault="297BA5E0" w14:paraId="33E01076" w14:textId="737DC1A1">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Comprehensive structural, architectural, and mechanical systems design.</w:t>
      </w:r>
    </w:p>
    <w:p w:rsidR="297BA5E0" w:rsidP="70B00F32" w:rsidRDefault="297BA5E0" w14:paraId="5EEAF310" w14:textId="553D3178">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Planning permits, environmental clearances, and safety authority sign-offs.</w:t>
      </w:r>
    </w:p>
    <w:p w:rsidR="297BA5E0" w:rsidP="70B00F32" w:rsidRDefault="297BA5E0" w14:paraId="155FD9B1" w14:textId="6C352B9E">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Rebuilding terminal halls, platform connections, bus bays, and logistics facilities.</w:t>
      </w:r>
    </w:p>
    <w:p w:rsidR="297BA5E0" w:rsidP="70B00F32" w:rsidRDefault="297BA5E0" w14:paraId="1269C7FE" w14:textId="23EF6D96">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Construction and operation of temporary passenger transit interchanges.</w:t>
      </w:r>
    </w:p>
    <w:p w:rsidR="297BA5E0" w:rsidP="70B00F32" w:rsidRDefault="297BA5E0" w14:paraId="4DCA6732" w14:textId="46A3BF09">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Implementation of pedestrian paths, cycle hubs, and step-free access infrastructure.</w:t>
      </w:r>
    </w:p>
    <w:p w:rsidR="297BA5E0" w:rsidP="70B00F32" w:rsidRDefault="297BA5E0" w14:paraId="0632CE1E" w14:textId="6D4055B4">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Integration of real-time passenger displays, digital wayfinding, and traffic systems.</w:t>
      </w:r>
    </w:p>
    <w:p w:rsidR="297BA5E0" w:rsidP="70B00F32" w:rsidRDefault="297BA5E0" w14:paraId="3AA403AC" w14:textId="5A07A3F8">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Installation of energy-efficient lighting, solar panels, and low-carbon HVAC systems.</w:t>
      </w:r>
    </w:p>
    <w:p w:rsidR="297BA5E0" w:rsidP="70B00F32" w:rsidRDefault="297BA5E0" w14:paraId="4C2CB5B1" w14:textId="7A14BF99">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Urban public realm enhancements around the main terminal access zones.</w:t>
      </w:r>
    </w:p>
    <w:p w:rsidR="297BA5E0" w:rsidP="70B00F32" w:rsidRDefault="297BA5E0" w14:paraId="23887567" w14:textId="13B27D4E">
      <w:pPr>
        <w:pStyle w:val="ListParagraph"/>
        <w:numPr>
          <w:ilvl w:val="0"/>
          <w:numId w:val="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Systems testing, safety commissioning, defect remediation, and handover.</w:t>
      </w:r>
    </w:p>
    <w:p w:rsidR="297BA5E0" w:rsidP="70B00F32" w:rsidRDefault="297BA5E0" w14:paraId="5FD6237F" w14:textId="0BC8C43C">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Key Deliverables &amp; Constraints</w:t>
      </w:r>
    </w:p>
    <w:p w:rsidR="297BA5E0" w:rsidP="70B00F32" w:rsidRDefault="297BA5E0" w14:paraId="4B5C5BEF" w14:textId="56C8CAB0">
      <w:pPr>
        <w:pStyle w:val="ListParagraph"/>
        <w:numPr>
          <w:ilvl w:val="0"/>
          <w:numId w:val="8"/>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Primary Deliverables:</w:t>
      </w:r>
      <w:r w:rsidRPr="70B00F32" w:rsidR="297BA5E0">
        <w:rPr>
          <w:rFonts w:ascii="Calibri" w:hAnsi="Calibri" w:eastAsia="Calibri" w:cs="Calibri"/>
          <w:noProof w:val="0"/>
          <w:color w:val="auto"/>
          <w:sz w:val="24"/>
          <w:szCs w:val="24"/>
          <w:lang w:val="en-GB"/>
        </w:rPr>
        <w:t xml:space="preserve"> Signed business case, site survey reports, regulatory approvals, operational temporary transit hub, redeveloped central terminal building, integrated digital networks, sustainability infrastructure, safety compliance certificates, and finalized handover documentation.</w:t>
      </w:r>
    </w:p>
    <w:p w:rsidR="297BA5E0" w:rsidP="70B00F32" w:rsidRDefault="297BA5E0" w14:paraId="4DCFA7C2" w14:textId="251D9501">
      <w:pPr>
        <w:pStyle w:val="ListParagraph"/>
        <w:numPr>
          <w:ilvl w:val="0"/>
          <w:numId w:val="8"/>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Key Constraints:</w:t>
      </w:r>
      <w:r w:rsidRPr="70B00F32" w:rsidR="297BA5E0">
        <w:rPr>
          <w:rFonts w:ascii="Calibri" w:hAnsi="Calibri" w:eastAsia="Calibri" w:cs="Calibri"/>
          <w:noProof w:val="0"/>
          <w:color w:val="auto"/>
          <w:sz w:val="24"/>
          <w:szCs w:val="24"/>
          <w:lang w:val="en-GB"/>
        </w:rPr>
        <w:t xml:space="preserve"> Fixed capital budget limits, strict 30-month completion deadline, statutory planning approvals, urban space limitations, material supply chain lead times, and the requirement to maintain public transit access during construction.</w:t>
      </w:r>
    </w:p>
    <w:p w:rsidR="297BA5E0" w:rsidP="70B00F32" w:rsidRDefault="297BA5E0" w14:paraId="760494BE" w14:textId="29B7937F">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Work Breakdown Structure (WBS)</w:t>
      </w:r>
    </w:p>
    <w:p w:rsidR="297BA5E0" w:rsidP="70B00F32" w:rsidRDefault="297BA5E0" w14:paraId="47E4F701" w14:textId="1F2627CE">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Work Breakdown Structure divides the project into manageable work packages, establishing a clear framework for task assignment, budget tracking, scheduling, and progress management (Kerzner, 2022).</w:t>
      </w:r>
    </w:p>
    <w:p w:rsidR="297BA5E0" w:rsidP="70B00F32" w:rsidRDefault="297BA5E0" w14:paraId="5F1D1AEB" w14:textId="2970A50A">
      <w:pPr>
        <w:pStyle w:val="ListParagraph"/>
        <w:numPr>
          <w:ilvl w:val="0"/>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Central Transport Hub Redevelopment Project</w:t>
      </w:r>
    </w:p>
    <w:p w:rsidR="297BA5E0" w:rsidP="70B00F32" w:rsidRDefault="297BA5E0" w14:paraId="3CB2E926" w14:textId="23155323">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Project Governance and Initiation</w:t>
      </w:r>
    </w:p>
    <w:p w:rsidR="297BA5E0" w:rsidP="70B00F32" w:rsidRDefault="297BA5E0" w14:paraId="746EC52C" w14:textId="37AFFCE7">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Finalize Business Case &amp; Funding Agreements</w:t>
      </w:r>
    </w:p>
    <w:p w:rsidR="297BA5E0" w:rsidP="70B00F32" w:rsidRDefault="297BA5E0" w14:paraId="3696AF89" w14:textId="78BCFFAC">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Draft and Sign Project Charter</w:t>
      </w:r>
    </w:p>
    <w:p w:rsidR="297BA5E0" w:rsidP="70B00F32" w:rsidRDefault="297BA5E0" w14:paraId="4BCD9F13" w14:textId="2549E661">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Establish Governance Board &amp; Steering Committees</w:t>
      </w:r>
    </w:p>
    <w:p w:rsidR="297BA5E0" w:rsidP="70B00F32" w:rsidRDefault="297BA5E0" w14:paraId="3496A936" w14:textId="4509780F">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Publish Integrated Project Management Plan</w:t>
      </w:r>
    </w:p>
    <w:p w:rsidR="297BA5E0" w:rsidP="70B00F32" w:rsidRDefault="297BA5E0" w14:paraId="12837613" w14:textId="35C0191B">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Surveys, Design and Approvals</w:t>
      </w:r>
    </w:p>
    <w:p w:rsidR="297BA5E0" w:rsidP="70B00F32" w:rsidRDefault="297BA5E0" w14:paraId="4E97DEB3" w14:textId="03069D50">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Perform Structural Integrity &amp; Soil Surveys</w:t>
      </w:r>
    </w:p>
    <w:p w:rsidR="297BA5E0" w:rsidP="70B00F32" w:rsidRDefault="297BA5E0" w14:paraId="73E243B7" w14:textId="14626109">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Conduct Environmental &amp; Noise Assessments</w:t>
      </w:r>
    </w:p>
    <w:p w:rsidR="297BA5E0" w:rsidP="70B00F32" w:rsidRDefault="297BA5E0" w14:paraId="31A988C6" w14:textId="09335037">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Finalize Concept Architectural Designs</w:t>
      </w:r>
    </w:p>
    <w:p w:rsidR="297BA5E0" w:rsidP="70B00F32" w:rsidRDefault="297BA5E0" w14:paraId="73718B23" w14:textId="7F785AAE">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Complete Detailed Engineering &amp; MEP Plans</w:t>
      </w:r>
    </w:p>
    <w:p w:rsidR="297BA5E0" w:rsidP="70B00F32" w:rsidRDefault="297BA5E0" w14:paraId="6A1291E5" w14:textId="1F041E11">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Secure Statutory Planning &amp; Building Approvals</w:t>
      </w:r>
    </w:p>
    <w:p w:rsidR="297BA5E0" w:rsidP="70B00F32" w:rsidRDefault="297BA5E0" w14:paraId="1F338D59" w14:textId="761FFAF3">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Temporary Multimodal Transport</w:t>
      </w:r>
    </w:p>
    <w:p w:rsidR="297BA5E0" w:rsidP="70B00F32" w:rsidRDefault="297BA5E0" w14:paraId="61A12E97" w14:textId="4A878966">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Construct Temporary Bus Terminals &amp; Laybys</w:t>
      </w:r>
    </w:p>
    <w:p w:rsidR="297BA5E0" w:rsidP="70B00F32" w:rsidRDefault="297BA5E0" w14:paraId="7B7B09D4" w14:textId="512C94AA">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Install Temporary Signage &amp; Digital PID Displays</w:t>
      </w:r>
    </w:p>
    <w:p w:rsidR="297BA5E0" w:rsidP="70B00F32" w:rsidRDefault="297BA5E0" w14:paraId="348EE4BB" w14:textId="7BBCC8F0">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Create Safe Pedestrian Diverter Routes</w:t>
      </w:r>
    </w:p>
    <w:p w:rsidR="297BA5E0" w:rsidP="70B00F32" w:rsidRDefault="297BA5E0" w14:paraId="28C21B1E" w14:textId="77D35CEF">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Establish Temporary Freight Logistics Loading Zones</w:t>
      </w:r>
    </w:p>
    <w:p w:rsidR="297BA5E0" w:rsidP="70B00F32" w:rsidRDefault="297BA5E0" w14:paraId="73E0F1DA" w14:textId="5EBF9B2C">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Procurement</w:t>
      </w:r>
    </w:p>
    <w:p w:rsidR="297BA5E0" w:rsidP="70B00F32" w:rsidRDefault="297BA5E0" w14:paraId="15B4B320" w14:textId="6156239D">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Develop Procurement Strategy &amp; Contract Terms</w:t>
      </w:r>
    </w:p>
    <w:p w:rsidR="297BA5E0" w:rsidP="70B00F32" w:rsidRDefault="297BA5E0" w14:paraId="225E4A00" w14:textId="284716D2">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Prepare Tender Packages for Sub-trades</w:t>
      </w:r>
    </w:p>
    <w:p w:rsidR="297BA5E0" w:rsidP="70B00F32" w:rsidRDefault="297BA5E0" w14:paraId="611F6679" w14:textId="311E71EE">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Evaluate Bids and Conduct Value Engineering</w:t>
      </w:r>
    </w:p>
    <w:p w:rsidR="297BA5E0" w:rsidP="70B00F32" w:rsidRDefault="297BA5E0" w14:paraId="66442242" w14:textId="69E0452D">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Award Contracts and Mobilize Suppliers</w:t>
      </w:r>
    </w:p>
    <w:p w:rsidR="297BA5E0" w:rsidP="70B00F32" w:rsidRDefault="297BA5E0" w14:paraId="6968D94E" w14:textId="35D15E20">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Hub Redevelopment</w:t>
      </w:r>
    </w:p>
    <w:p w:rsidR="297BA5E0" w:rsidP="70B00F32" w:rsidRDefault="297BA5E0" w14:paraId="0B448255" w14:textId="363E8C74">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Site Clearance, Demolition, &amp; Utility Diversions</w:t>
      </w:r>
    </w:p>
    <w:p w:rsidR="297BA5E0" w:rsidP="70B00F32" w:rsidRDefault="297BA5E0" w14:paraId="50A1052F" w14:textId="1D79CC34">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Substructure, Piling, &amp; Foundation Engineering</w:t>
      </w:r>
    </w:p>
    <w:p w:rsidR="297BA5E0" w:rsidP="70B00F32" w:rsidRDefault="297BA5E0" w14:paraId="6CCB34F6" w14:textId="733184D6">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Structural Steel Framing &amp; Superstructure</w:t>
      </w:r>
    </w:p>
    <w:p w:rsidR="297BA5E0" w:rsidP="70B00F32" w:rsidRDefault="297BA5E0" w14:paraId="43E1BDBB" w14:textId="68B69EA4">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Building Envelope, Cladding, &amp; Roofing Works</w:t>
      </w:r>
    </w:p>
    <w:p w:rsidR="297BA5E0" w:rsidP="70B00F32" w:rsidRDefault="297BA5E0" w14:paraId="47AA31FB" w14:textId="3EBE83F4">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Interior Fit-Out, Waiting Areas, &amp; Ticket Spaces</w:t>
      </w:r>
    </w:p>
    <w:p w:rsidR="297BA5E0" w:rsidP="70B00F32" w:rsidRDefault="297BA5E0" w14:paraId="29E20CA5" w14:textId="5BC3D381">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Accessibility Retrofits &amp; Public Realm Paving</w:t>
      </w:r>
    </w:p>
    <w:p w:rsidR="297BA5E0" w:rsidP="70B00F32" w:rsidRDefault="297BA5E0" w14:paraId="0604DB83" w14:textId="520A33A5">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Digital Modernization</w:t>
      </w:r>
    </w:p>
    <w:p w:rsidR="297BA5E0" w:rsidP="70B00F32" w:rsidRDefault="297BA5E0" w14:paraId="4F611CF4" w14:textId="48ABE48C">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Install Passenger Information Display Networks</w:t>
      </w:r>
    </w:p>
    <w:p w:rsidR="297BA5E0" w:rsidP="70B00F32" w:rsidRDefault="297BA5E0" w14:paraId="0F15C723" w14:textId="05EE9FF1">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Deploy Digital Wayfinding Kiosks &amp; Audio Systems</w:t>
      </w:r>
    </w:p>
    <w:p w:rsidR="297BA5E0" w:rsidP="70B00F32" w:rsidRDefault="297BA5E0" w14:paraId="3577D1D7" w14:textId="0E9FDA34">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Commission Passenger Flow &amp; APC Cameras</w:t>
      </w:r>
    </w:p>
    <w:p w:rsidR="297BA5E0" w:rsidP="70B00F32" w:rsidRDefault="297BA5E0" w14:paraId="6D6ABB2A" w14:textId="3EF989E3">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Integrate Freight Management Software Interfaces</w:t>
      </w:r>
    </w:p>
    <w:p w:rsidR="297BA5E0" w:rsidP="70B00F32" w:rsidRDefault="297BA5E0" w14:paraId="1F601663" w14:textId="0C3D2C12">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Sustainability Works</w:t>
      </w:r>
    </w:p>
    <w:p w:rsidR="297BA5E0" w:rsidP="70B00F32" w:rsidRDefault="297BA5E0" w14:paraId="6EE0510A" w14:textId="2CE9220B">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Install Rooftop Solar PV &amp; Energy Storage</w:t>
      </w:r>
    </w:p>
    <w:p w:rsidR="297BA5E0" w:rsidP="70B00F32" w:rsidRDefault="297BA5E0" w14:paraId="732AEB7D" w14:textId="1B247EF8">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Source and Verify Low-Carbon Concrete &amp; Steel</w:t>
      </w:r>
    </w:p>
    <w:p w:rsidR="297BA5E0" w:rsidP="70B00F32" w:rsidRDefault="297BA5E0" w14:paraId="3D7FAF5B" w14:textId="214AC11C">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Construct Covered Bike Storage &amp; Active Travel Paths</w:t>
      </w:r>
    </w:p>
    <w:p w:rsidR="297BA5E0" w:rsidP="70B00F32" w:rsidRDefault="297BA5E0" w14:paraId="3503CB95" w14:textId="3205CA51">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Integrate Rainwater Harvesting &amp; Efficient HVAC</w:t>
      </w:r>
    </w:p>
    <w:p w:rsidR="297BA5E0" w:rsidP="70B00F32" w:rsidRDefault="297BA5E0" w14:paraId="2F75889C" w14:textId="79302018">
      <w:pPr>
        <w:pStyle w:val="ListParagraph"/>
        <w:numPr>
          <w:ilvl w:val="1"/>
          <w:numId w:val="9"/>
        </w:numPr>
        <w:bidi w:val="0"/>
        <w:spacing w:before="0" w:beforeAutospacing="off" w:after="240" w:afterAutospacing="off"/>
        <w:rPr>
          <w:rFonts w:ascii="Calibri" w:hAnsi="Calibri" w:eastAsia="Calibri" w:cs="Calibri"/>
          <w:b w:val="1"/>
          <w:bCs w:val="1"/>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Commissioning and Closure</w:t>
      </w:r>
    </w:p>
    <w:p w:rsidR="297BA5E0" w:rsidP="70B00F32" w:rsidRDefault="297BA5E0" w14:paraId="1F31FDA5" w14:textId="62A76F8C">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Integrated Systems &amp; Safety Testing</w:t>
      </w:r>
    </w:p>
    <w:p w:rsidR="297BA5E0" w:rsidP="70B00F32" w:rsidRDefault="297BA5E0" w14:paraId="2EE3D902" w14:textId="4E64F1F4">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Identify, Log, and Rectify Snagging Items</w:t>
      </w:r>
    </w:p>
    <w:p w:rsidR="297BA5E0" w:rsidP="70B00F32" w:rsidRDefault="297BA5E0" w14:paraId="17F76A1A" w14:textId="56CF9C4B">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Execute Joint Stakeholder Inspection Tours</w:t>
      </w:r>
    </w:p>
    <w:p w:rsidR="297BA5E0" w:rsidP="70B00F32" w:rsidRDefault="297BA5E0" w14:paraId="7308BF78" w14:textId="3019EA57">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Complete Formal Handover &amp; Operating Licences</w:t>
      </w:r>
    </w:p>
    <w:p w:rsidR="297BA5E0" w:rsidP="70B00F32" w:rsidRDefault="297BA5E0" w14:paraId="7DDA686D" w14:textId="2DE2FF3C">
      <w:pPr>
        <w:pStyle w:val="ListParagraph"/>
        <w:numPr>
          <w:ilvl w:val="2"/>
          <w:numId w:val="9"/>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Publish Project Post-Mortem &amp; Lessons Learned</w:t>
      </w:r>
    </w:p>
    <w:p w:rsidR="297BA5E0" w:rsidP="70B00F32" w:rsidRDefault="297BA5E0" w14:paraId="6DE2898A" w14:textId="6A0ADB00">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By explicitly structuring temporary transit management, digital implementation, and green design features as key level-two work components alongside core structural reconstruction, the WBS confirms that these supporting initiatives are managed with appropriate resources and oversight.</w:t>
      </w:r>
    </w:p>
    <w:p w:rsidR="297BA5E0" w:rsidP="70B00F32" w:rsidRDefault="297BA5E0" w14:paraId="70695C84" w14:textId="06DC3437">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Quad Chart</w:t>
      </w:r>
    </w:p>
    <w:p w:rsidR="297BA5E0" w:rsidP="70B00F32" w:rsidRDefault="297BA5E0" w14:paraId="49E6C786" w14:textId="6134E2D7">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Quad Chart summarizes the project's core drivers, delivery approach, target outcomes, and operational constraints.</w:t>
      </w:r>
    </w:p>
    <w:tbl>
      <w:tblPr>
        <w:tblStyle w:val="TableNormal"/>
        <w:bidiVisual w:val="0"/>
        <w:tblW w:w="0" w:type="auto"/>
        <w:tblInd w:w="-30" w:type="dxa"/>
        <w:tblLook w:val="06A0" w:firstRow="1" w:lastRow="0" w:firstColumn="1" w:lastColumn="0" w:noHBand="1" w:noVBand="1"/>
      </w:tblPr>
      <w:tblGrid>
        <w:gridCol w:w="1320"/>
        <w:gridCol w:w="1320"/>
        <w:gridCol w:w="1320"/>
        <w:gridCol w:w="1380"/>
        <w:gridCol w:w="1260"/>
        <w:gridCol w:w="1320"/>
        <w:gridCol w:w="1320"/>
        <w:gridCol w:w="915"/>
        <w:gridCol w:w="664"/>
      </w:tblGrid>
      <w:tr w:rsidR="70B00F32" w:rsidTr="70B00F32" w14:paraId="16D8CA90">
        <w:trPr>
          <w:trHeight w:val="300"/>
        </w:trPr>
        <w:tc>
          <w:tcPr>
            <w:tcW w:w="10155" w:type="dxa"/>
            <w:gridSpan w:val="8"/>
            <w:tcBorders>
              <w:top w:val="nil"/>
              <w:left w:val="nil"/>
              <w:bottom w:val="nil"/>
              <w:right w:val="nil"/>
            </w:tcBorders>
            <w:tcMar>
              <w:top w:w="15" w:type="dxa"/>
              <w:left w:w="15" w:type="dxa"/>
              <w:right w:w="15" w:type="dxa"/>
            </w:tcMar>
            <w:vAlign w:val="center"/>
          </w:tcPr>
          <w:p w:rsidR="70B00F32" w:rsidP="70B00F32" w:rsidRDefault="70B00F32" w14:paraId="2C39BF3B" w14:textId="393E67C7">
            <w:pPr>
              <w:bidi w:val="0"/>
              <w:spacing w:before="0" w:beforeAutospacing="off" w:after="0" w:afterAutospacing="off"/>
              <w:jc w:val="center"/>
              <w:rPr>
                <w:rFonts w:ascii="Calibri" w:hAnsi="Calibri" w:eastAsia="Calibri" w:cs="Calibri"/>
                <w:b w:val="1"/>
                <w:bCs w:val="1"/>
                <w:i w:val="0"/>
                <w:iCs w:val="0"/>
                <w:strike w:val="0"/>
                <w:dstrike w:val="0"/>
                <w:color w:val="auto"/>
                <w:sz w:val="32"/>
                <w:szCs w:val="32"/>
                <w:u w:val="none"/>
              </w:rPr>
            </w:pPr>
          </w:p>
        </w:tc>
        <w:tc>
          <w:tcPr>
            <w:tcW w:w="664" w:type="dxa"/>
            <w:tcBorders>
              <w:top w:val="nil"/>
              <w:left w:val="nil"/>
              <w:bottom w:val="nil"/>
              <w:right w:val="nil"/>
            </w:tcBorders>
            <w:tcMar>
              <w:top w:w="15" w:type="dxa"/>
              <w:left w:w="15" w:type="dxa"/>
              <w:right w:w="15" w:type="dxa"/>
            </w:tcMar>
            <w:vAlign w:val="bottom"/>
          </w:tcPr>
          <w:p w:rsidR="70B00F32" w:rsidP="70B00F32" w:rsidRDefault="70B00F32" w14:paraId="26147806" w14:textId="48D46613">
            <w:pPr>
              <w:bidi w:val="0"/>
              <w:rPr>
                <w:rFonts w:ascii="Calibri" w:hAnsi="Calibri" w:eastAsia="Calibri" w:cs="Calibri"/>
                <w:color w:val="auto"/>
              </w:rPr>
            </w:pPr>
          </w:p>
        </w:tc>
      </w:tr>
      <w:tr w:rsidR="70B00F32" w:rsidTr="70B00F32" w14:paraId="679191E1">
        <w:trPr>
          <w:trHeight w:val="300"/>
        </w:trPr>
        <w:tc>
          <w:tcPr>
            <w:tcW w:w="10155" w:type="dxa"/>
            <w:gridSpan w:val="8"/>
            <w:tcBorders>
              <w:top w:val="nil"/>
              <w:left w:val="nil"/>
              <w:bottom w:val="nil"/>
              <w:right w:val="nil"/>
            </w:tcBorders>
            <w:tcMar>
              <w:top w:w="15" w:type="dxa"/>
              <w:left w:w="15" w:type="dxa"/>
              <w:right w:w="15" w:type="dxa"/>
            </w:tcMar>
            <w:vAlign w:val="center"/>
          </w:tcPr>
          <w:p w:rsidR="70B00F32" w:rsidP="70B00F32" w:rsidRDefault="70B00F32" w14:paraId="299DEE87" w14:textId="733F7F9A">
            <w:pPr>
              <w:bidi w:val="0"/>
              <w:spacing w:before="0" w:beforeAutospacing="off" w:after="0" w:afterAutospacing="off"/>
              <w:jc w:val="center"/>
              <w:rPr>
                <w:rFonts w:ascii="Calibri" w:hAnsi="Calibri" w:eastAsia="Calibri" w:cs="Calibri"/>
                <w:b w:val="0"/>
                <w:bCs w:val="0"/>
                <w:i w:val="1"/>
                <w:iCs w:val="1"/>
                <w:strike w:val="0"/>
                <w:dstrike w:val="0"/>
                <w:color w:val="auto"/>
                <w:sz w:val="22"/>
                <w:szCs w:val="22"/>
                <w:u w:val="none"/>
              </w:rPr>
            </w:pPr>
          </w:p>
        </w:tc>
        <w:tc>
          <w:tcPr>
            <w:tcW w:w="664" w:type="dxa"/>
            <w:tcBorders>
              <w:top w:val="nil"/>
              <w:left w:val="nil"/>
              <w:bottom w:val="nil"/>
              <w:right w:val="nil"/>
            </w:tcBorders>
            <w:tcMar>
              <w:top w:w="15" w:type="dxa"/>
              <w:left w:w="15" w:type="dxa"/>
              <w:right w:w="15" w:type="dxa"/>
            </w:tcMar>
            <w:vAlign w:val="bottom"/>
          </w:tcPr>
          <w:p w:rsidR="70B00F32" w:rsidP="70B00F32" w:rsidRDefault="70B00F32" w14:paraId="1229F293" w14:textId="18FCBFE8">
            <w:pPr>
              <w:bidi w:val="0"/>
              <w:rPr>
                <w:rFonts w:ascii="Calibri" w:hAnsi="Calibri" w:eastAsia="Calibri" w:cs="Calibri"/>
                <w:color w:val="auto"/>
              </w:rPr>
            </w:pPr>
          </w:p>
        </w:tc>
      </w:tr>
      <w:tr w:rsidR="70B00F32" w:rsidTr="70B00F32" w14:paraId="18BB0019">
        <w:trPr>
          <w:trHeight w:val="300"/>
        </w:trPr>
        <w:tc>
          <w:tcPr>
            <w:tcW w:w="1320" w:type="dxa"/>
            <w:tcBorders>
              <w:top w:val="nil"/>
              <w:left w:val="nil"/>
              <w:bottom w:val="nil"/>
              <w:right w:val="nil"/>
            </w:tcBorders>
            <w:tcMar>
              <w:top w:w="15" w:type="dxa"/>
              <w:left w:w="15" w:type="dxa"/>
              <w:right w:w="15" w:type="dxa"/>
            </w:tcMar>
            <w:vAlign w:val="bottom"/>
          </w:tcPr>
          <w:p w:rsidR="70B00F32" w:rsidP="70B00F32" w:rsidRDefault="70B00F32" w14:paraId="27F7C860" w14:textId="530E2188">
            <w:pPr>
              <w:pStyle w:val="Normal"/>
              <w:bidi w:val="0"/>
              <w:rPr>
                <w:rFonts w:ascii="Calibri" w:hAnsi="Calibri" w:eastAsia="Calibri" w:cs="Calibri"/>
                <w:color w:val="auto"/>
                <w:sz w:val="18"/>
                <w:szCs w:val="18"/>
              </w:rPr>
            </w:pPr>
          </w:p>
        </w:tc>
        <w:tc>
          <w:tcPr>
            <w:tcW w:w="1320" w:type="dxa"/>
            <w:tcBorders>
              <w:top w:val="nil"/>
              <w:left w:val="nil"/>
              <w:bottom w:val="nil"/>
              <w:right w:val="nil"/>
            </w:tcBorders>
            <w:tcMar>
              <w:top w:w="15" w:type="dxa"/>
              <w:left w:w="15" w:type="dxa"/>
              <w:right w:w="15" w:type="dxa"/>
            </w:tcMar>
            <w:vAlign w:val="bottom"/>
          </w:tcPr>
          <w:p w:rsidR="70B00F32" w:rsidP="70B00F32" w:rsidRDefault="70B00F32" w14:paraId="70675AA0" w14:textId="20E3A179">
            <w:pPr>
              <w:bidi w:val="0"/>
              <w:rPr>
                <w:rFonts w:ascii="Calibri" w:hAnsi="Calibri" w:eastAsia="Calibri" w:cs="Calibri"/>
                <w:color w:val="auto"/>
                <w:sz w:val="18"/>
                <w:szCs w:val="18"/>
              </w:rPr>
            </w:pPr>
          </w:p>
        </w:tc>
        <w:tc>
          <w:tcPr>
            <w:tcW w:w="1320" w:type="dxa"/>
            <w:tcBorders>
              <w:top w:val="nil"/>
              <w:left w:val="nil"/>
              <w:bottom w:val="nil"/>
              <w:right w:val="nil"/>
            </w:tcBorders>
            <w:tcMar>
              <w:top w:w="15" w:type="dxa"/>
              <w:left w:w="15" w:type="dxa"/>
              <w:right w:w="15" w:type="dxa"/>
            </w:tcMar>
            <w:vAlign w:val="bottom"/>
          </w:tcPr>
          <w:p w:rsidR="70B00F32" w:rsidP="70B00F32" w:rsidRDefault="70B00F32" w14:paraId="03BD6096" w14:textId="223932C0">
            <w:pPr>
              <w:bidi w:val="0"/>
              <w:rPr>
                <w:rFonts w:ascii="Calibri" w:hAnsi="Calibri" w:eastAsia="Calibri" w:cs="Calibri"/>
                <w:color w:val="auto"/>
                <w:sz w:val="18"/>
                <w:szCs w:val="18"/>
              </w:rPr>
            </w:pPr>
          </w:p>
        </w:tc>
        <w:tc>
          <w:tcPr>
            <w:tcW w:w="1380" w:type="dxa"/>
            <w:tcBorders>
              <w:top w:val="nil"/>
              <w:left w:val="nil"/>
              <w:bottom w:val="nil"/>
              <w:right w:val="nil"/>
            </w:tcBorders>
            <w:tcMar>
              <w:top w:w="15" w:type="dxa"/>
              <w:left w:w="15" w:type="dxa"/>
              <w:right w:w="15" w:type="dxa"/>
            </w:tcMar>
            <w:vAlign w:val="bottom"/>
          </w:tcPr>
          <w:p w:rsidR="70B00F32" w:rsidP="70B00F32" w:rsidRDefault="70B00F32" w14:paraId="24F96FF6" w14:textId="2C1195A3">
            <w:pPr>
              <w:bidi w:val="0"/>
              <w:rPr>
                <w:rFonts w:ascii="Calibri" w:hAnsi="Calibri" w:eastAsia="Calibri" w:cs="Calibri"/>
                <w:color w:val="auto"/>
                <w:sz w:val="18"/>
                <w:szCs w:val="18"/>
              </w:rPr>
            </w:pPr>
          </w:p>
        </w:tc>
        <w:tc>
          <w:tcPr>
            <w:tcW w:w="1260" w:type="dxa"/>
            <w:tcBorders>
              <w:top w:val="nil"/>
              <w:left w:val="nil"/>
              <w:bottom w:val="nil"/>
              <w:right w:val="nil"/>
            </w:tcBorders>
            <w:tcMar>
              <w:top w:w="15" w:type="dxa"/>
              <w:left w:w="15" w:type="dxa"/>
              <w:right w:w="15" w:type="dxa"/>
            </w:tcMar>
            <w:vAlign w:val="bottom"/>
          </w:tcPr>
          <w:p w:rsidR="70B00F32" w:rsidP="70B00F32" w:rsidRDefault="70B00F32" w14:paraId="46319115" w14:textId="40CE62C3">
            <w:pPr>
              <w:bidi w:val="0"/>
              <w:rPr>
                <w:rFonts w:ascii="Calibri" w:hAnsi="Calibri" w:eastAsia="Calibri" w:cs="Calibri"/>
                <w:color w:val="auto"/>
                <w:sz w:val="18"/>
                <w:szCs w:val="18"/>
              </w:rPr>
            </w:pPr>
          </w:p>
        </w:tc>
        <w:tc>
          <w:tcPr>
            <w:tcW w:w="1320" w:type="dxa"/>
            <w:tcBorders>
              <w:top w:val="nil"/>
              <w:left w:val="nil"/>
              <w:bottom w:val="nil"/>
              <w:right w:val="nil"/>
            </w:tcBorders>
            <w:tcMar>
              <w:top w:w="15" w:type="dxa"/>
              <w:left w:w="15" w:type="dxa"/>
              <w:right w:w="15" w:type="dxa"/>
            </w:tcMar>
            <w:vAlign w:val="bottom"/>
          </w:tcPr>
          <w:p w:rsidR="70B00F32" w:rsidP="70B00F32" w:rsidRDefault="70B00F32" w14:paraId="61A7A443" w14:textId="67270103">
            <w:pPr>
              <w:bidi w:val="0"/>
              <w:rPr>
                <w:rFonts w:ascii="Calibri" w:hAnsi="Calibri" w:eastAsia="Calibri" w:cs="Calibri"/>
                <w:color w:val="auto"/>
                <w:sz w:val="18"/>
                <w:szCs w:val="18"/>
              </w:rPr>
            </w:pPr>
          </w:p>
        </w:tc>
        <w:tc>
          <w:tcPr>
            <w:tcW w:w="1320" w:type="dxa"/>
            <w:tcBorders>
              <w:top w:val="nil"/>
              <w:left w:val="nil"/>
              <w:bottom w:val="nil"/>
              <w:right w:val="nil"/>
            </w:tcBorders>
            <w:tcMar>
              <w:top w:w="15" w:type="dxa"/>
              <w:left w:w="15" w:type="dxa"/>
              <w:right w:w="15" w:type="dxa"/>
            </w:tcMar>
            <w:vAlign w:val="bottom"/>
          </w:tcPr>
          <w:p w:rsidR="70B00F32" w:rsidP="70B00F32" w:rsidRDefault="70B00F32" w14:paraId="40E1F4A7" w14:textId="141A8C78">
            <w:pPr>
              <w:bidi w:val="0"/>
              <w:rPr>
                <w:rFonts w:ascii="Calibri" w:hAnsi="Calibri" w:eastAsia="Calibri" w:cs="Calibri"/>
                <w:color w:val="auto"/>
                <w:sz w:val="18"/>
                <w:szCs w:val="18"/>
              </w:rPr>
            </w:pPr>
          </w:p>
        </w:tc>
        <w:tc>
          <w:tcPr>
            <w:tcW w:w="915" w:type="dxa"/>
            <w:tcBorders>
              <w:top w:val="nil"/>
              <w:left w:val="nil"/>
              <w:bottom w:val="nil"/>
              <w:right w:val="nil"/>
            </w:tcBorders>
            <w:tcMar>
              <w:top w:w="15" w:type="dxa"/>
              <w:left w:w="15" w:type="dxa"/>
              <w:right w:w="15" w:type="dxa"/>
            </w:tcMar>
            <w:vAlign w:val="bottom"/>
          </w:tcPr>
          <w:p w:rsidR="70B00F32" w:rsidP="70B00F32" w:rsidRDefault="70B00F32" w14:paraId="2956F2F1" w14:textId="5C90C0C8">
            <w:pPr>
              <w:bidi w:val="0"/>
              <w:rPr>
                <w:rFonts w:ascii="Calibri" w:hAnsi="Calibri" w:eastAsia="Calibri" w:cs="Calibri"/>
                <w:color w:val="auto"/>
                <w:sz w:val="18"/>
                <w:szCs w:val="18"/>
              </w:rPr>
            </w:pPr>
          </w:p>
        </w:tc>
        <w:tc>
          <w:tcPr>
            <w:tcW w:w="664" w:type="dxa"/>
            <w:tcBorders>
              <w:top w:val="nil"/>
              <w:left w:val="nil"/>
              <w:bottom w:val="nil"/>
              <w:right w:val="nil"/>
            </w:tcBorders>
            <w:tcMar>
              <w:top w:w="15" w:type="dxa"/>
              <w:left w:w="15" w:type="dxa"/>
              <w:right w:w="15" w:type="dxa"/>
            </w:tcMar>
            <w:vAlign w:val="bottom"/>
          </w:tcPr>
          <w:p w:rsidR="70B00F32" w:rsidP="70B00F32" w:rsidRDefault="70B00F32" w14:paraId="014F1467" w14:textId="7355AE18">
            <w:pPr>
              <w:bidi w:val="0"/>
              <w:rPr>
                <w:rFonts w:ascii="Calibri" w:hAnsi="Calibri" w:eastAsia="Calibri" w:cs="Calibri"/>
                <w:color w:val="auto"/>
                <w:sz w:val="18"/>
                <w:szCs w:val="18"/>
              </w:rPr>
            </w:pPr>
          </w:p>
        </w:tc>
      </w:tr>
      <w:tr w:rsidR="70B00F32" w:rsidTr="70B00F32" w14:paraId="21C11599">
        <w:trPr>
          <w:trHeight w:val="300"/>
        </w:trPr>
        <w:tc>
          <w:tcPr>
            <w:tcW w:w="5340" w:type="dxa"/>
            <w:gridSpan w:val="4"/>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1F4E78"/>
            <w:tcMar>
              <w:top w:w="15" w:type="dxa"/>
              <w:left w:w="15" w:type="dxa"/>
              <w:right w:w="15" w:type="dxa"/>
            </w:tcMar>
            <w:vAlign w:val="center"/>
          </w:tcPr>
          <w:p w:rsidR="70B00F32" w:rsidP="70B00F32" w:rsidRDefault="70B00F32" w14:paraId="59542A18" w14:textId="4B91FF10">
            <w:pPr>
              <w:bidi w:val="0"/>
              <w:spacing w:before="0" w:beforeAutospacing="off" w:after="0" w:afterAutospacing="off"/>
              <w:jc w:val="center"/>
              <w:rPr>
                <w:rFonts w:ascii="Calibri" w:hAnsi="Calibri" w:eastAsia="Calibri" w:cs="Calibri"/>
                <w:b w:val="1"/>
                <w:bCs w:val="1"/>
                <w:i w:val="0"/>
                <w:iCs w:val="0"/>
                <w:strike w:val="0"/>
                <w:dstrike w:val="0"/>
                <w:color w:val="auto"/>
                <w:sz w:val="18"/>
                <w:szCs w:val="18"/>
                <w:u w:val="none"/>
              </w:rPr>
            </w:pPr>
            <w:r w:rsidRPr="70B00F32" w:rsidR="70B00F32">
              <w:rPr>
                <w:rFonts w:ascii="Calibri" w:hAnsi="Calibri" w:eastAsia="Calibri" w:cs="Calibri"/>
                <w:b w:val="1"/>
                <w:bCs w:val="1"/>
                <w:i w:val="0"/>
                <w:iCs w:val="0"/>
                <w:strike w:val="0"/>
                <w:dstrike w:val="0"/>
                <w:color w:val="auto"/>
                <w:sz w:val="18"/>
                <w:szCs w:val="18"/>
                <w:u w:val="none"/>
              </w:rPr>
              <w:t>1. PROBLEM / OPPORTUNITY</w:t>
            </w:r>
          </w:p>
        </w:tc>
        <w:tc>
          <w:tcPr>
            <w:tcW w:w="4815" w:type="dxa"/>
            <w:gridSpan w:val="4"/>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1F4E78"/>
            <w:tcMar>
              <w:top w:w="15" w:type="dxa"/>
              <w:left w:w="15" w:type="dxa"/>
              <w:right w:w="15" w:type="dxa"/>
            </w:tcMar>
            <w:vAlign w:val="center"/>
          </w:tcPr>
          <w:p w:rsidR="70B00F32" w:rsidP="70B00F32" w:rsidRDefault="70B00F32" w14:paraId="2CA8AEE0" w14:textId="2E0C431B">
            <w:pPr>
              <w:bidi w:val="0"/>
              <w:spacing w:before="0" w:beforeAutospacing="off" w:after="0" w:afterAutospacing="off"/>
              <w:jc w:val="center"/>
              <w:rPr>
                <w:rFonts w:ascii="Calibri" w:hAnsi="Calibri" w:eastAsia="Calibri" w:cs="Calibri"/>
                <w:b w:val="1"/>
                <w:bCs w:val="1"/>
                <w:i w:val="0"/>
                <w:iCs w:val="0"/>
                <w:strike w:val="0"/>
                <w:dstrike w:val="0"/>
                <w:color w:val="auto"/>
                <w:sz w:val="18"/>
                <w:szCs w:val="18"/>
                <w:u w:val="none"/>
              </w:rPr>
            </w:pPr>
            <w:r w:rsidRPr="70B00F32" w:rsidR="70B00F32">
              <w:rPr>
                <w:rFonts w:ascii="Calibri" w:hAnsi="Calibri" w:eastAsia="Calibri" w:cs="Calibri"/>
                <w:b w:val="1"/>
                <w:bCs w:val="1"/>
                <w:i w:val="0"/>
                <w:iCs w:val="0"/>
                <w:strike w:val="0"/>
                <w:dstrike w:val="0"/>
                <w:color w:val="auto"/>
                <w:sz w:val="18"/>
                <w:szCs w:val="18"/>
                <w:u w:val="none"/>
              </w:rPr>
              <w:t>2. PROPOSED APPROACH</w:t>
            </w:r>
          </w:p>
        </w:tc>
        <w:tc>
          <w:tcPr>
            <w:tcW w:w="664" w:type="dxa"/>
            <w:tcBorders>
              <w:top w:val="nil"/>
              <w:left w:val="nil"/>
              <w:bottom w:val="nil"/>
              <w:right w:val="nil"/>
            </w:tcBorders>
            <w:tcMar>
              <w:top w:w="15" w:type="dxa"/>
              <w:left w:w="15" w:type="dxa"/>
              <w:right w:w="15" w:type="dxa"/>
            </w:tcMar>
            <w:vAlign w:val="bottom"/>
          </w:tcPr>
          <w:p w:rsidR="70B00F32" w:rsidP="70B00F32" w:rsidRDefault="70B00F32" w14:paraId="0C4D0BE3" w14:textId="72BCAE06">
            <w:pPr>
              <w:pStyle w:val="Normal"/>
              <w:bidi w:val="0"/>
              <w:rPr>
                <w:rFonts w:ascii="Calibri" w:hAnsi="Calibri" w:eastAsia="Calibri" w:cs="Calibri"/>
                <w:color w:val="auto"/>
                <w:sz w:val="18"/>
                <w:szCs w:val="18"/>
              </w:rPr>
            </w:pPr>
          </w:p>
        </w:tc>
      </w:tr>
      <w:tr w:rsidR="70B00F32" w:rsidTr="70B00F32" w14:paraId="048B329A">
        <w:trPr>
          <w:trHeight w:val="1320"/>
        </w:trPr>
        <w:tc>
          <w:tcPr>
            <w:tcW w:w="5340" w:type="dxa"/>
            <w:gridSpan w:val="4"/>
            <w:vMerge w:val="restart"/>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EAF2F8"/>
            <w:tcMar>
              <w:top w:w="15" w:type="dxa"/>
              <w:left w:w="15" w:type="dxa"/>
              <w:right w:w="15" w:type="dxa"/>
            </w:tcMar>
            <w:vAlign w:val="top"/>
          </w:tcPr>
          <w:p w:rsidR="70B00F32" w:rsidP="70B00F32" w:rsidRDefault="70B00F32" w14:paraId="627464D1" w14:textId="53A52E55">
            <w:pPr>
              <w:bidi w:val="0"/>
              <w:spacing w:before="0" w:beforeAutospacing="off" w:after="0" w:afterAutospacing="off"/>
              <w:jc w:val="left"/>
              <w:rPr>
                <w:rFonts w:ascii="Calibri" w:hAnsi="Calibri" w:eastAsia="Calibri" w:cs="Calibri"/>
                <w:b w:val="0"/>
                <w:bCs w:val="0"/>
                <w:i w:val="0"/>
                <w:iCs w:val="0"/>
                <w:strike w:val="0"/>
                <w:dstrike w:val="0"/>
                <w:color w:val="auto"/>
                <w:sz w:val="22"/>
                <w:szCs w:val="22"/>
                <w:u w:val="none"/>
              </w:rPr>
            </w:pPr>
            <w:r w:rsidRPr="70B00F32" w:rsidR="70B00F32">
              <w:rPr>
                <w:rFonts w:ascii="Calibri" w:hAnsi="Calibri" w:eastAsia="Calibri" w:cs="Calibri"/>
                <w:b w:val="0"/>
                <w:bCs w:val="0"/>
                <w:i w:val="0"/>
                <w:iCs w:val="0"/>
                <w:strike w:val="0"/>
                <w:dstrike w:val="0"/>
                <w:color w:val="auto"/>
                <w:sz w:val="22"/>
                <w:szCs w:val="22"/>
                <w:u w:val="none"/>
              </w:rPr>
              <w:t>• The central transport hub has been closed following a structural inspection. • The 40-year-old facility no longer meets modern safety and accessibility standards. • Closure has disrupted rail, bus and freight logistics. • Commuters, supply chains and local businesses are experiencing significant impacts. • The closure creates an opportunity to deliver a safer, more accessible and sustainable hub.</w:t>
            </w:r>
          </w:p>
        </w:tc>
        <w:tc>
          <w:tcPr>
            <w:tcW w:w="4815" w:type="dxa"/>
            <w:gridSpan w:val="4"/>
            <w:vMerge w:val="restart"/>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EAF2F8"/>
            <w:tcMar>
              <w:top w:w="15" w:type="dxa"/>
              <w:left w:w="15" w:type="dxa"/>
              <w:right w:w="15" w:type="dxa"/>
            </w:tcMar>
            <w:vAlign w:val="top"/>
          </w:tcPr>
          <w:p w:rsidR="70B00F32" w:rsidP="70B00F32" w:rsidRDefault="70B00F32" w14:paraId="58E180FF" w14:textId="6F91F04D">
            <w:pPr>
              <w:bidi w:val="0"/>
              <w:spacing w:before="0" w:beforeAutospacing="off" w:after="0" w:afterAutospacing="off"/>
              <w:jc w:val="left"/>
              <w:rPr>
                <w:rFonts w:ascii="Calibri" w:hAnsi="Calibri" w:eastAsia="Calibri" w:cs="Calibri"/>
                <w:b w:val="0"/>
                <w:bCs w:val="0"/>
                <w:i w:val="0"/>
                <w:iCs w:val="0"/>
                <w:strike w:val="0"/>
                <w:dstrike w:val="0"/>
                <w:color w:val="auto"/>
                <w:sz w:val="18"/>
                <w:szCs w:val="18"/>
                <w:u w:val="none"/>
              </w:rPr>
            </w:pPr>
            <w:r w:rsidRPr="70B00F32" w:rsidR="70B00F32">
              <w:rPr>
                <w:rFonts w:ascii="Calibri" w:hAnsi="Calibri" w:eastAsia="Calibri" w:cs="Calibri"/>
                <w:b w:val="0"/>
                <w:bCs w:val="0"/>
                <w:i w:val="0"/>
                <w:iCs w:val="0"/>
                <w:strike w:val="0"/>
                <w:dstrike w:val="0"/>
                <w:color w:val="auto"/>
                <w:sz w:val="18"/>
                <w:szCs w:val="18"/>
                <w:u w:val="none"/>
              </w:rPr>
              <w:t>•</w:t>
            </w:r>
            <w:r w:rsidRPr="70B00F32" w:rsidR="70B00F32">
              <w:rPr>
                <w:rFonts w:ascii="Calibri" w:hAnsi="Calibri" w:eastAsia="Calibri" w:cs="Calibri"/>
                <w:b w:val="0"/>
                <w:bCs w:val="0"/>
                <w:i w:val="0"/>
                <w:iCs w:val="0"/>
                <w:strike w:val="0"/>
                <w:dstrike w:val="0"/>
                <w:color w:val="auto"/>
                <w:sz w:val="22"/>
                <w:szCs w:val="22"/>
                <w:u w:val="none"/>
              </w:rPr>
              <w:t xml:space="preserve"> Redevelop the central transport hub as the primary project. • Provide a temporary multimodal transport solution during construction. • Introduce digital passenger information, wayfinding and logistics coordination. • Integrate sustainable and inclusive urban design principles. • Use phased construction to reduce disruption and maintain essential connectivity.</w:t>
            </w:r>
          </w:p>
        </w:tc>
        <w:tc>
          <w:tcPr>
            <w:tcW w:w="664" w:type="dxa"/>
            <w:tcBorders>
              <w:top w:val="nil"/>
              <w:left w:val="nil"/>
              <w:bottom w:val="nil"/>
              <w:right w:val="nil"/>
            </w:tcBorders>
            <w:tcMar>
              <w:top w:w="15" w:type="dxa"/>
              <w:left w:w="15" w:type="dxa"/>
              <w:right w:w="15" w:type="dxa"/>
            </w:tcMar>
            <w:vAlign w:val="bottom"/>
          </w:tcPr>
          <w:p w:rsidR="70B00F32" w:rsidP="70B00F32" w:rsidRDefault="70B00F32" w14:paraId="3F523814" w14:textId="156C9572">
            <w:pPr>
              <w:bidi w:val="0"/>
              <w:rPr>
                <w:rFonts w:ascii="Calibri" w:hAnsi="Calibri" w:eastAsia="Calibri" w:cs="Calibri"/>
                <w:color w:val="auto"/>
                <w:sz w:val="18"/>
                <w:szCs w:val="18"/>
              </w:rPr>
            </w:pPr>
          </w:p>
        </w:tc>
      </w:tr>
      <w:tr w:rsidR="70B00F32" w:rsidTr="70B00F32" w14:paraId="1D6B4689">
        <w:trPr>
          <w:trHeight w:val="300"/>
        </w:trPr>
        <w:tc>
          <w:tcPr>
            <w:tcW w:w="5340" w:type="dxa"/>
            <w:gridSpan w:val="4"/>
            <w:vMerge/>
            <w:tcBorders>
              <w:top w:sz="0"/>
              <w:left w:val="single" w:color="808080" w:themeColor="background1" w:themeShade="80" w:sz="0"/>
              <w:bottom w:sz="0"/>
              <w:right w:val="single" w:color="808080" w:themeColor="background1" w:themeShade="80" w:sz="0"/>
            </w:tcBorders>
            <w:tcMar/>
            <w:vAlign w:val="center"/>
          </w:tcPr>
          <w:p w14:paraId="5DB99A60"/>
        </w:tc>
        <w:tc>
          <w:tcPr>
            <w:tcW w:w="4815" w:type="dxa"/>
            <w:gridSpan w:val="4"/>
            <w:vMerge/>
            <w:tcBorders>
              <w:top w:sz="0"/>
              <w:left w:val="single" w:color="808080" w:themeColor="background1" w:themeShade="80" w:sz="0"/>
              <w:bottom w:sz="0"/>
              <w:right w:val="single" w:color="808080" w:themeColor="background1" w:themeShade="80" w:sz="0"/>
            </w:tcBorders>
            <w:tcMar/>
            <w:vAlign w:val="center"/>
          </w:tcPr>
          <w:p w14:paraId="0F022E04"/>
        </w:tc>
        <w:tc>
          <w:tcPr>
            <w:tcW w:w="664" w:type="dxa"/>
            <w:tcBorders>
              <w:top w:val="nil"/>
              <w:left w:val="nil"/>
              <w:bottom w:val="nil"/>
              <w:right w:val="nil"/>
            </w:tcBorders>
            <w:tcMar>
              <w:top w:w="15" w:type="dxa"/>
              <w:left w:w="15" w:type="dxa"/>
              <w:right w:w="15" w:type="dxa"/>
            </w:tcMar>
            <w:vAlign w:val="bottom"/>
          </w:tcPr>
          <w:p w:rsidR="70B00F32" w:rsidP="70B00F32" w:rsidRDefault="70B00F32" w14:paraId="3CED858E" w14:textId="1E9C7CEA">
            <w:pPr>
              <w:bidi w:val="0"/>
              <w:rPr>
                <w:rFonts w:ascii="Calibri" w:hAnsi="Calibri" w:eastAsia="Calibri" w:cs="Calibri"/>
                <w:color w:val="auto"/>
                <w:sz w:val="18"/>
                <w:szCs w:val="18"/>
              </w:rPr>
            </w:pPr>
          </w:p>
        </w:tc>
      </w:tr>
      <w:tr w:rsidR="70B00F32" w:rsidTr="70B00F32" w14:paraId="6662EF32">
        <w:trPr>
          <w:trHeight w:val="300"/>
        </w:trPr>
        <w:tc>
          <w:tcPr>
            <w:tcW w:w="5340" w:type="dxa"/>
            <w:gridSpan w:val="4"/>
            <w:vMerge/>
            <w:tcBorders>
              <w:top w:sz="0"/>
              <w:left w:val="single" w:color="808080" w:themeColor="background1" w:themeShade="80" w:sz="0"/>
              <w:bottom w:sz="0"/>
              <w:right w:val="single" w:color="808080" w:themeColor="background1" w:themeShade="80" w:sz="0"/>
            </w:tcBorders>
            <w:tcMar/>
            <w:vAlign w:val="center"/>
          </w:tcPr>
          <w:p w14:paraId="5675EFD3"/>
        </w:tc>
        <w:tc>
          <w:tcPr>
            <w:tcW w:w="4815" w:type="dxa"/>
            <w:gridSpan w:val="4"/>
            <w:vMerge/>
            <w:tcBorders>
              <w:top w:sz="0"/>
              <w:left w:val="single" w:color="808080" w:themeColor="background1" w:themeShade="80" w:sz="0"/>
              <w:bottom w:sz="0"/>
              <w:right w:val="single" w:color="808080" w:themeColor="background1" w:themeShade="80" w:sz="0"/>
            </w:tcBorders>
            <w:tcMar/>
            <w:vAlign w:val="center"/>
          </w:tcPr>
          <w:p w14:paraId="74AAB8CE"/>
        </w:tc>
        <w:tc>
          <w:tcPr>
            <w:tcW w:w="664" w:type="dxa"/>
            <w:tcBorders>
              <w:top w:val="nil"/>
              <w:left w:val="nil"/>
              <w:bottom w:val="nil"/>
              <w:right w:val="nil"/>
            </w:tcBorders>
            <w:tcMar>
              <w:top w:w="15" w:type="dxa"/>
              <w:left w:w="15" w:type="dxa"/>
              <w:right w:w="15" w:type="dxa"/>
            </w:tcMar>
            <w:vAlign w:val="bottom"/>
          </w:tcPr>
          <w:p w:rsidR="70B00F32" w:rsidP="70B00F32" w:rsidRDefault="70B00F32" w14:paraId="7795A35C" w14:textId="278AAE23">
            <w:pPr>
              <w:bidi w:val="0"/>
              <w:rPr>
                <w:rFonts w:ascii="Calibri" w:hAnsi="Calibri" w:eastAsia="Calibri" w:cs="Calibri"/>
                <w:color w:val="auto"/>
                <w:sz w:val="18"/>
                <w:szCs w:val="18"/>
              </w:rPr>
            </w:pPr>
          </w:p>
        </w:tc>
      </w:tr>
      <w:tr w:rsidR="70B00F32" w:rsidTr="70B00F32" w14:paraId="0D6970A9">
        <w:trPr>
          <w:trHeight w:val="300"/>
        </w:trPr>
        <w:tc>
          <w:tcPr>
            <w:tcW w:w="5340" w:type="dxa"/>
            <w:gridSpan w:val="4"/>
            <w:vMerge/>
            <w:tcBorders>
              <w:top w:sz="0"/>
              <w:left w:val="single" w:color="808080" w:themeColor="background1" w:themeShade="80" w:sz="0"/>
              <w:bottom w:val="single" w:color="808080" w:themeColor="background1" w:themeShade="80" w:sz="0"/>
              <w:right w:val="single" w:color="808080" w:themeColor="background1" w:themeShade="80" w:sz="0"/>
            </w:tcBorders>
            <w:tcMar/>
            <w:vAlign w:val="center"/>
          </w:tcPr>
          <w:p w14:paraId="70D5B63C"/>
        </w:tc>
        <w:tc>
          <w:tcPr>
            <w:tcW w:w="4815" w:type="dxa"/>
            <w:gridSpan w:val="4"/>
            <w:vMerge/>
            <w:tcBorders>
              <w:top w:sz="0"/>
              <w:left w:val="single" w:color="808080" w:themeColor="background1" w:themeShade="80" w:sz="0"/>
              <w:bottom w:val="single" w:color="808080" w:themeColor="background1" w:themeShade="80" w:sz="0"/>
              <w:right w:val="single" w:color="808080" w:themeColor="background1" w:themeShade="80" w:sz="0"/>
            </w:tcBorders>
            <w:tcMar/>
            <w:vAlign w:val="center"/>
          </w:tcPr>
          <w:p w14:paraId="2E7D586C"/>
        </w:tc>
        <w:tc>
          <w:tcPr>
            <w:tcW w:w="664" w:type="dxa"/>
            <w:tcBorders>
              <w:top w:val="nil"/>
              <w:left w:val="nil"/>
              <w:bottom w:val="nil"/>
              <w:right w:val="nil"/>
            </w:tcBorders>
            <w:tcMar>
              <w:top w:w="15" w:type="dxa"/>
              <w:left w:w="15" w:type="dxa"/>
              <w:right w:w="15" w:type="dxa"/>
            </w:tcMar>
            <w:vAlign w:val="bottom"/>
          </w:tcPr>
          <w:p w:rsidR="70B00F32" w:rsidP="70B00F32" w:rsidRDefault="70B00F32" w14:paraId="4BD807F7" w14:textId="5B437EF9">
            <w:pPr>
              <w:bidi w:val="0"/>
              <w:rPr>
                <w:rFonts w:ascii="Calibri" w:hAnsi="Calibri" w:eastAsia="Calibri" w:cs="Calibri"/>
                <w:color w:val="auto"/>
                <w:sz w:val="18"/>
                <w:szCs w:val="18"/>
              </w:rPr>
            </w:pPr>
          </w:p>
        </w:tc>
      </w:tr>
      <w:tr w:rsidR="70B00F32" w:rsidTr="70B00F32" w14:paraId="04447CBE">
        <w:trPr>
          <w:trHeight w:val="300"/>
        </w:trPr>
        <w:tc>
          <w:tcPr>
            <w:tcW w:w="5340" w:type="dxa"/>
            <w:gridSpan w:val="4"/>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1F4E78"/>
            <w:tcMar>
              <w:top w:w="15" w:type="dxa"/>
              <w:left w:w="15" w:type="dxa"/>
              <w:right w:w="15" w:type="dxa"/>
            </w:tcMar>
            <w:vAlign w:val="center"/>
          </w:tcPr>
          <w:p w:rsidR="70B00F32" w:rsidP="70B00F32" w:rsidRDefault="70B00F32" w14:paraId="55684B3B" w14:textId="19B82A5D">
            <w:pPr>
              <w:bidi w:val="0"/>
              <w:spacing w:before="0" w:beforeAutospacing="off" w:after="0" w:afterAutospacing="off"/>
              <w:jc w:val="center"/>
              <w:rPr>
                <w:rFonts w:ascii="Calibri" w:hAnsi="Calibri" w:eastAsia="Calibri" w:cs="Calibri"/>
                <w:b w:val="1"/>
                <w:bCs w:val="1"/>
                <w:i w:val="0"/>
                <w:iCs w:val="0"/>
                <w:strike w:val="0"/>
                <w:dstrike w:val="0"/>
                <w:color w:val="auto"/>
                <w:sz w:val="18"/>
                <w:szCs w:val="18"/>
                <w:u w:val="none"/>
              </w:rPr>
            </w:pPr>
            <w:r w:rsidRPr="70B00F32" w:rsidR="70B00F32">
              <w:rPr>
                <w:rFonts w:ascii="Calibri" w:hAnsi="Calibri" w:eastAsia="Calibri" w:cs="Calibri"/>
                <w:b w:val="1"/>
                <w:bCs w:val="1"/>
                <w:i w:val="0"/>
                <w:iCs w:val="0"/>
                <w:strike w:val="0"/>
                <w:dstrike w:val="0"/>
                <w:color w:val="auto"/>
                <w:sz w:val="18"/>
                <w:szCs w:val="18"/>
                <w:u w:val="none"/>
              </w:rPr>
              <w:t>3. EXPECTED OUTCOMES</w:t>
            </w:r>
          </w:p>
        </w:tc>
        <w:tc>
          <w:tcPr>
            <w:tcW w:w="4815" w:type="dxa"/>
            <w:gridSpan w:val="4"/>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1F4E78"/>
            <w:tcMar>
              <w:top w:w="15" w:type="dxa"/>
              <w:left w:w="15" w:type="dxa"/>
              <w:right w:w="15" w:type="dxa"/>
            </w:tcMar>
            <w:vAlign w:val="center"/>
          </w:tcPr>
          <w:p w:rsidR="70B00F32" w:rsidP="70B00F32" w:rsidRDefault="70B00F32" w14:paraId="02250F56" w14:textId="1DCEB594">
            <w:pPr>
              <w:bidi w:val="0"/>
              <w:spacing w:before="0" w:beforeAutospacing="off" w:after="0" w:afterAutospacing="off"/>
              <w:jc w:val="center"/>
              <w:rPr>
                <w:rFonts w:ascii="Calibri" w:hAnsi="Calibri" w:eastAsia="Calibri" w:cs="Calibri"/>
                <w:b w:val="1"/>
                <w:bCs w:val="1"/>
                <w:i w:val="0"/>
                <w:iCs w:val="0"/>
                <w:strike w:val="0"/>
                <w:dstrike w:val="0"/>
                <w:color w:val="auto"/>
                <w:sz w:val="18"/>
                <w:szCs w:val="18"/>
                <w:u w:val="none"/>
              </w:rPr>
            </w:pPr>
            <w:r w:rsidRPr="70B00F32" w:rsidR="70B00F32">
              <w:rPr>
                <w:rFonts w:ascii="Calibri" w:hAnsi="Calibri" w:eastAsia="Calibri" w:cs="Calibri"/>
                <w:b w:val="1"/>
                <w:bCs w:val="1"/>
                <w:i w:val="0"/>
                <w:iCs w:val="0"/>
                <w:strike w:val="0"/>
                <w:dstrike w:val="0"/>
                <w:color w:val="auto"/>
                <w:sz w:val="18"/>
                <w:szCs w:val="18"/>
                <w:u w:val="none"/>
              </w:rPr>
              <w:t>4. RESOURCES &amp; CONSTRAINTS</w:t>
            </w:r>
          </w:p>
        </w:tc>
        <w:tc>
          <w:tcPr>
            <w:tcW w:w="664" w:type="dxa"/>
            <w:tcBorders>
              <w:top w:val="nil"/>
              <w:left w:val="nil"/>
              <w:bottom w:val="nil"/>
              <w:right w:val="nil"/>
            </w:tcBorders>
            <w:tcMar>
              <w:top w:w="15" w:type="dxa"/>
              <w:left w:w="15" w:type="dxa"/>
              <w:right w:w="15" w:type="dxa"/>
            </w:tcMar>
            <w:vAlign w:val="bottom"/>
          </w:tcPr>
          <w:p w:rsidR="70B00F32" w:rsidP="70B00F32" w:rsidRDefault="70B00F32" w14:paraId="228E85CA" w14:textId="4BB5ADE4">
            <w:pPr>
              <w:bidi w:val="0"/>
              <w:rPr>
                <w:rFonts w:ascii="Calibri" w:hAnsi="Calibri" w:eastAsia="Calibri" w:cs="Calibri"/>
                <w:color w:val="auto"/>
                <w:sz w:val="18"/>
                <w:szCs w:val="18"/>
              </w:rPr>
            </w:pPr>
          </w:p>
        </w:tc>
      </w:tr>
      <w:tr w:rsidR="70B00F32" w:rsidTr="70B00F32" w14:paraId="228679AA">
        <w:trPr>
          <w:trHeight w:val="300"/>
        </w:trPr>
        <w:tc>
          <w:tcPr>
            <w:tcW w:w="5340" w:type="dxa"/>
            <w:gridSpan w:val="4"/>
            <w:vMerge w:val="restart"/>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EAF2F8"/>
            <w:tcMar>
              <w:top w:w="15" w:type="dxa"/>
              <w:left w:w="15" w:type="dxa"/>
              <w:right w:w="15" w:type="dxa"/>
            </w:tcMar>
            <w:vAlign w:val="top"/>
          </w:tcPr>
          <w:p w:rsidR="70B00F32" w:rsidP="70B00F32" w:rsidRDefault="70B00F32" w14:paraId="778EE166" w14:textId="1377D64B">
            <w:pPr>
              <w:bidi w:val="0"/>
              <w:spacing w:before="0" w:beforeAutospacing="off" w:after="0" w:afterAutospacing="off"/>
              <w:jc w:val="left"/>
              <w:rPr>
                <w:rFonts w:ascii="Calibri" w:hAnsi="Calibri" w:eastAsia="Calibri" w:cs="Calibri"/>
                <w:b w:val="0"/>
                <w:bCs w:val="0"/>
                <w:i w:val="0"/>
                <w:iCs w:val="0"/>
                <w:strike w:val="0"/>
                <w:dstrike w:val="0"/>
                <w:color w:val="auto"/>
                <w:sz w:val="22"/>
                <w:szCs w:val="22"/>
                <w:u w:val="none"/>
              </w:rPr>
            </w:pPr>
            <w:r w:rsidRPr="70B00F32" w:rsidR="70B00F32">
              <w:rPr>
                <w:rFonts w:ascii="Calibri" w:hAnsi="Calibri" w:eastAsia="Calibri" w:cs="Calibri"/>
                <w:b w:val="0"/>
                <w:bCs w:val="0"/>
                <w:i w:val="0"/>
                <w:iCs w:val="0"/>
                <w:strike w:val="0"/>
                <w:dstrike w:val="0"/>
                <w:color w:val="auto"/>
                <w:sz w:val="22"/>
                <w:szCs w:val="22"/>
                <w:u w:val="none"/>
              </w:rPr>
              <w:t>• Safe and compliant transport infrastructure. • Restoration of rail, bus and freight interchange capacity. • Improved accessibility and inclusive passenger facilities. • Better passenger flow and logistics coordination through digital systems. • Reduced environmental impact through sustainable design. • Support for economic recovery and long-term urban development.</w:t>
            </w:r>
          </w:p>
        </w:tc>
        <w:tc>
          <w:tcPr>
            <w:tcW w:w="4815" w:type="dxa"/>
            <w:gridSpan w:val="4"/>
            <w:vMerge w:val="restart"/>
            <w:tcBorders>
              <w:top w:val="single" w:color="808080" w:themeColor="background1" w:themeShade="80" w:sz="12"/>
              <w:left w:val="single" w:color="808080" w:themeColor="background1" w:themeShade="80" w:sz="12"/>
              <w:bottom w:val="single" w:color="808080" w:themeColor="background1" w:themeShade="80" w:sz="12"/>
              <w:right w:val="single" w:color="808080" w:themeColor="background1" w:themeShade="80" w:sz="12"/>
            </w:tcBorders>
            <w:shd w:val="clear" w:color="auto" w:fill="EAF2F8"/>
            <w:tcMar>
              <w:top w:w="15" w:type="dxa"/>
              <w:left w:w="15" w:type="dxa"/>
              <w:right w:w="15" w:type="dxa"/>
            </w:tcMar>
            <w:vAlign w:val="top"/>
          </w:tcPr>
          <w:p w:rsidR="70B00F32" w:rsidP="70B00F32" w:rsidRDefault="70B00F32" w14:paraId="6673D9AA" w14:textId="1678E62A">
            <w:pPr>
              <w:bidi w:val="0"/>
              <w:spacing w:before="0" w:beforeAutospacing="off" w:after="0" w:afterAutospacing="off"/>
              <w:jc w:val="left"/>
              <w:rPr>
                <w:rFonts w:ascii="Calibri" w:hAnsi="Calibri" w:eastAsia="Calibri" w:cs="Calibri"/>
                <w:b w:val="0"/>
                <w:bCs w:val="0"/>
                <w:i w:val="0"/>
                <w:iCs w:val="0"/>
                <w:strike w:val="0"/>
                <w:dstrike w:val="0"/>
                <w:color w:val="auto"/>
                <w:sz w:val="22"/>
                <w:szCs w:val="22"/>
                <w:u w:val="none"/>
              </w:rPr>
            </w:pPr>
            <w:r w:rsidRPr="70B00F32" w:rsidR="70B00F32">
              <w:rPr>
                <w:rFonts w:ascii="Calibri" w:hAnsi="Calibri" w:eastAsia="Calibri" w:cs="Calibri"/>
                <w:b w:val="0"/>
                <w:bCs w:val="0"/>
                <w:i w:val="0"/>
                <w:iCs w:val="0"/>
                <w:strike w:val="0"/>
                <w:dstrike w:val="0"/>
                <w:color w:val="auto"/>
                <w:sz w:val="22"/>
                <w:szCs w:val="22"/>
                <w:u w:val="none"/>
              </w:rPr>
              <w:t>Resources: • Project manager and multidisciplinary project team. • Engineers, designers, contractors and specialist suppliers. • Public funding, construction materials and digital technology. Constraints: • Budget and cost escalation. • Planning and regulatory approvals. • Supply chain pressures and programme delays. • Construction disruption and stakeholder expectations.</w:t>
            </w:r>
          </w:p>
        </w:tc>
        <w:tc>
          <w:tcPr>
            <w:tcW w:w="664" w:type="dxa"/>
            <w:tcBorders>
              <w:top w:val="nil"/>
              <w:left w:val="nil"/>
              <w:bottom w:val="nil"/>
              <w:right w:val="nil"/>
            </w:tcBorders>
            <w:tcMar>
              <w:top w:w="15" w:type="dxa"/>
              <w:left w:w="15" w:type="dxa"/>
              <w:right w:w="15" w:type="dxa"/>
            </w:tcMar>
            <w:vAlign w:val="bottom"/>
          </w:tcPr>
          <w:p w:rsidR="70B00F32" w:rsidP="70B00F32" w:rsidRDefault="70B00F32" w14:paraId="31002AAA" w14:textId="2EC851E1">
            <w:pPr>
              <w:bidi w:val="0"/>
              <w:rPr>
                <w:rFonts w:ascii="Calibri" w:hAnsi="Calibri" w:eastAsia="Calibri" w:cs="Calibri"/>
                <w:color w:val="auto"/>
                <w:sz w:val="18"/>
                <w:szCs w:val="18"/>
              </w:rPr>
            </w:pPr>
          </w:p>
        </w:tc>
      </w:tr>
      <w:tr w:rsidR="70B00F32" w:rsidTr="70B00F32" w14:paraId="7F8EF748">
        <w:trPr>
          <w:trHeight w:val="300"/>
        </w:trPr>
        <w:tc>
          <w:tcPr>
            <w:tcW w:w="5340" w:type="dxa"/>
            <w:gridSpan w:val="4"/>
            <w:vMerge/>
            <w:tcBorders>
              <w:top w:sz="0"/>
              <w:left w:val="single" w:color="808080" w:themeColor="background1" w:themeShade="80" w:sz="0"/>
              <w:bottom w:sz="0"/>
              <w:right w:val="single" w:color="808080" w:themeColor="background1" w:themeShade="80" w:sz="0"/>
            </w:tcBorders>
            <w:tcMar/>
            <w:vAlign w:val="center"/>
          </w:tcPr>
          <w:p w14:paraId="3EE99FF8"/>
        </w:tc>
        <w:tc>
          <w:tcPr>
            <w:tcW w:w="4815" w:type="dxa"/>
            <w:gridSpan w:val="4"/>
            <w:vMerge/>
            <w:tcBorders>
              <w:top w:sz="0"/>
              <w:left w:val="single" w:color="808080" w:themeColor="background1" w:themeShade="80" w:sz="0"/>
              <w:bottom w:sz="0"/>
              <w:right w:val="single" w:color="808080" w:themeColor="background1" w:themeShade="80" w:sz="0"/>
            </w:tcBorders>
            <w:tcMar/>
            <w:vAlign w:val="center"/>
          </w:tcPr>
          <w:p w14:paraId="207C74CB"/>
        </w:tc>
        <w:tc>
          <w:tcPr>
            <w:tcW w:w="664" w:type="dxa"/>
            <w:tcBorders>
              <w:top w:val="nil"/>
              <w:left w:val="nil"/>
              <w:bottom w:val="nil"/>
              <w:right w:val="nil"/>
            </w:tcBorders>
            <w:tcMar>
              <w:top w:w="15" w:type="dxa"/>
              <w:left w:w="15" w:type="dxa"/>
              <w:right w:w="15" w:type="dxa"/>
            </w:tcMar>
            <w:vAlign w:val="bottom"/>
          </w:tcPr>
          <w:p w:rsidR="70B00F32" w:rsidP="70B00F32" w:rsidRDefault="70B00F32" w14:paraId="36F89A2C" w14:textId="1C1F8FC3">
            <w:pPr>
              <w:bidi w:val="0"/>
              <w:rPr>
                <w:rFonts w:ascii="Calibri" w:hAnsi="Calibri" w:eastAsia="Calibri" w:cs="Calibri"/>
                <w:color w:val="auto"/>
                <w:sz w:val="18"/>
                <w:szCs w:val="18"/>
              </w:rPr>
            </w:pPr>
          </w:p>
        </w:tc>
      </w:tr>
      <w:tr w:rsidR="70B00F32" w:rsidTr="70B00F32" w14:paraId="120ECF38">
        <w:trPr>
          <w:trHeight w:val="300"/>
        </w:trPr>
        <w:tc>
          <w:tcPr>
            <w:tcW w:w="5340" w:type="dxa"/>
            <w:gridSpan w:val="4"/>
            <w:vMerge/>
            <w:tcBorders>
              <w:top w:sz="0"/>
              <w:left w:val="single" w:color="808080" w:themeColor="background1" w:themeShade="80" w:sz="0"/>
              <w:bottom w:val="single" w:color="808080" w:themeColor="background1" w:themeShade="80" w:sz="0"/>
              <w:right w:val="single" w:color="808080" w:themeColor="background1" w:themeShade="80" w:sz="0"/>
            </w:tcBorders>
            <w:tcMar/>
            <w:vAlign w:val="center"/>
          </w:tcPr>
          <w:p w14:paraId="4C9D7E89"/>
        </w:tc>
        <w:tc>
          <w:tcPr>
            <w:tcW w:w="4815" w:type="dxa"/>
            <w:gridSpan w:val="4"/>
            <w:vMerge/>
            <w:tcBorders>
              <w:top w:sz="0"/>
              <w:left w:val="single" w:color="808080" w:themeColor="background1" w:themeShade="80" w:sz="0"/>
              <w:bottom w:val="single" w:color="808080" w:themeColor="background1" w:themeShade="80" w:sz="0"/>
              <w:right w:val="single" w:color="808080" w:themeColor="background1" w:themeShade="80" w:sz="0"/>
            </w:tcBorders>
            <w:tcMar/>
            <w:vAlign w:val="center"/>
          </w:tcPr>
          <w:p w14:paraId="1C765D4F"/>
        </w:tc>
        <w:tc>
          <w:tcPr>
            <w:tcW w:w="664" w:type="dxa"/>
            <w:tcBorders>
              <w:top w:val="nil"/>
              <w:left w:val="nil"/>
              <w:bottom w:val="nil"/>
              <w:right w:val="nil"/>
            </w:tcBorders>
            <w:tcMar>
              <w:top w:w="15" w:type="dxa"/>
              <w:left w:w="15" w:type="dxa"/>
              <w:right w:w="15" w:type="dxa"/>
            </w:tcMar>
            <w:vAlign w:val="bottom"/>
          </w:tcPr>
          <w:p w:rsidR="70B00F32" w:rsidP="70B00F32" w:rsidRDefault="70B00F32" w14:paraId="453206D0" w14:textId="4DD1F580">
            <w:pPr>
              <w:pStyle w:val="Normal"/>
              <w:bidi w:val="0"/>
              <w:rPr>
                <w:rFonts w:ascii="Calibri" w:hAnsi="Calibri" w:eastAsia="Calibri" w:cs="Calibri"/>
                <w:color w:val="auto"/>
                <w:sz w:val="18"/>
                <w:szCs w:val="18"/>
              </w:rPr>
            </w:pPr>
          </w:p>
        </w:tc>
      </w:tr>
      <w:tr w:rsidR="70B00F32" w:rsidTr="70B00F32" w14:paraId="2E4F0E90">
        <w:trPr>
          <w:trHeight w:val="300"/>
        </w:trPr>
        <w:tc>
          <w:tcPr>
            <w:tcW w:w="5340" w:type="dxa"/>
            <w:gridSpan w:val="4"/>
            <w:vMerge/>
            <w:tcBorders>
              <w:top w:val="single" w:color="808080" w:themeColor="background1" w:themeShade="80" w:sz="0"/>
              <w:left w:val="single" w:color="808080" w:themeColor="background1" w:themeShade="80" w:sz="0"/>
              <w:bottom w:val="single" w:color="808080" w:themeColor="background1" w:themeShade="80" w:sz="0"/>
              <w:right w:val="single" w:color="808080" w:themeColor="background1" w:themeShade="80" w:sz="0"/>
            </w:tcBorders>
            <w:tcMar/>
            <w:vAlign w:val="center"/>
          </w:tcPr>
          <w:p w14:paraId="44353DFC"/>
        </w:tc>
        <w:tc>
          <w:tcPr>
            <w:tcW w:w="4815" w:type="dxa"/>
            <w:gridSpan w:val="4"/>
            <w:vMerge/>
            <w:tcBorders>
              <w:top w:val="single" w:color="808080" w:themeColor="background1" w:themeShade="80" w:sz="0"/>
              <w:left w:val="single" w:color="808080" w:themeColor="background1" w:themeShade="80" w:sz="0"/>
              <w:bottom w:val="single" w:color="808080" w:themeColor="background1" w:themeShade="80" w:sz="0"/>
              <w:right w:val="single" w:color="808080" w:themeColor="background1" w:themeShade="80" w:sz="0"/>
            </w:tcBorders>
            <w:tcMar/>
            <w:vAlign w:val="center"/>
          </w:tcPr>
          <w:p w14:paraId="615B26BD"/>
        </w:tc>
        <w:tc>
          <w:tcPr>
            <w:tcW w:w="664" w:type="dxa"/>
            <w:tcBorders>
              <w:top w:val="nil"/>
              <w:left w:val="nil"/>
              <w:bottom w:val="nil"/>
              <w:right w:val="nil"/>
            </w:tcBorders>
            <w:tcMar>
              <w:top w:w="15" w:type="dxa"/>
              <w:left w:w="15" w:type="dxa"/>
              <w:right w:w="15" w:type="dxa"/>
            </w:tcMar>
            <w:vAlign w:val="bottom"/>
          </w:tcPr>
          <w:p w:rsidR="70B00F32" w:rsidP="70B00F32" w:rsidRDefault="70B00F32" w14:paraId="7F2A5522" w14:textId="067D3D7F">
            <w:pPr>
              <w:bidi w:val="0"/>
              <w:rPr>
                <w:rFonts w:ascii="Calibri" w:hAnsi="Calibri" w:eastAsia="Calibri" w:cs="Calibri"/>
                <w:color w:val="auto"/>
                <w:sz w:val="18"/>
                <w:szCs w:val="18"/>
              </w:rPr>
            </w:pPr>
          </w:p>
        </w:tc>
      </w:tr>
    </w:tbl>
    <w:p w:rsidR="70B00F32" w:rsidP="70B00F32" w:rsidRDefault="70B00F32" w14:paraId="280C0262" w14:textId="09AD80CE">
      <w:pPr>
        <w:bidi w:val="0"/>
        <w:spacing w:before="0" w:beforeAutospacing="off" w:after="240" w:afterAutospacing="off"/>
        <w:rPr>
          <w:rFonts w:ascii="Calibri" w:hAnsi="Calibri" w:eastAsia="Calibri" w:cs="Calibri"/>
          <w:noProof w:val="0"/>
          <w:color w:val="auto"/>
          <w:sz w:val="24"/>
          <w:szCs w:val="24"/>
          <w:lang w:val="en-GB"/>
        </w:rPr>
      </w:pPr>
    </w:p>
    <w:p w:rsidR="70B00F32" w:rsidP="70B00F32" w:rsidRDefault="70B00F32" w14:paraId="593B2260" w14:textId="59D1A738">
      <w:pPr>
        <w:bidi w:val="0"/>
        <w:spacing w:before="0" w:beforeAutospacing="off" w:after="240" w:afterAutospacing="off"/>
        <w:rPr>
          <w:rFonts w:ascii="Calibri" w:hAnsi="Calibri" w:eastAsia="Calibri" w:cs="Calibri"/>
          <w:noProof w:val="0"/>
          <w:color w:val="auto"/>
          <w:sz w:val="24"/>
          <w:szCs w:val="24"/>
          <w:lang w:val="en-GB"/>
        </w:rPr>
      </w:pPr>
    </w:p>
    <w:p w:rsidR="70B00F32" w:rsidP="70B00F32" w:rsidRDefault="70B00F32" w14:paraId="1512A1DC" w14:textId="3534D280">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p>
    <w:p w:rsidR="70B00F32" w:rsidP="70B00F32" w:rsidRDefault="70B00F32" w14:paraId="27C71A4C" w14:textId="5A025C4A">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p>
    <w:p w:rsidR="297BA5E0" w:rsidP="70B00F32" w:rsidRDefault="297BA5E0" w14:paraId="5DAD6FF5" w14:textId="412F75AD">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Gantt Chart &amp; Key Milestones</w:t>
      </w:r>
    </w:p>
    <w:p w:rsidR="297BA5E0" w:rsidP="70B00F32" w:rsidRDefault="297BA5E0" w14:paraId="2D04A3A4" w14:textId="08840D91">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redevelopment project is structured over a 30-month timeline. The schedule accommodates overlapping phases where logical dependencies permit, while ensuring design approvals and site clearance precede primary construction.</w:t>
      </w:r>
    </w:p>
    <w:p w:rsidR="4C434030" w:rsidP="70B00F32" w:rsidRDefault="4C434030" w14:paraId="074650C6" w14:textId="4879B67A">
      <w:pPr>
        <w:pStyle w:val="Normal"/>
        <w:bidi w:val="0"/>
        <w:spacing w:before="0" w:beforeAutospacing="off" w:after="240" w:afterAutospacing="off"/>
        <w:rPr>
          <w:rFonts w:ascii="Calibri" w:hAnsi="Calibri" w:eastAsia="Calibri" w:cs="Calibri"/>
          <w:noProof w:val="0"/>
          <w:color w:val="auto"/>
          <w:sz w:val="24"/>
          <w:szCs w:val="24"/>
          <w:lang w:val="en-GB"/>
        </w:rPr>
      </w:pPr>
      <w:r w:rsidR="4C434030">
        <w:drawing>
          <wp:inline wp14:editId="60849D43" wp14:anchorId="5285DA22">
            <wp:extent cx="5943600" cy="2038350"/>
            <wp:effectExtent l="0" t="0" r="0" b="0"/>
            <wp:docPr id="19862521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3491904" name="Picture 703491904"/>
                    <pic:cNvPicPr/>
                  </pic:nvPicPr>
                  <pic:blipFill>
                    <a:blip xmlns:r="http://schemas.openxmlformats.org/officeDocument/2006/relationships" r:embed="rId1873214617">
                      <a:extLst>
                        <a:ext uri="{28A0092B-C50C-407E-A947-70E740481C1C}">
                          <a14:useLocalDpi xmlns:a14="http://schemas.microsoft.com/office/drawing/2010/main"/>
                        </a:ext>
                      </a:extLst>
                    </a:blip>
                    <a:stretch>
                      <a:fillRect/>
                    </a:stretch>
                  </pic:blipFill>
                  <pic:spPr>
                    <a:xfrm>
                      <a:off x="0" y="0"/>
                      <a:ext cx="5943600" cy="2038350"/>
                    </a:xfrm>
                    <a:prstGeom prst="rect">
                      <a:avLst/>
                    </a:prstGeom>
                  </pic:spPr>
                </pic:pic>
              </a:graphicData>
            </a:graphic>
          </wp:inline>
        </w:drawing>
      </w:r>
    </w:p>
    <w:p w:rsidR="297BA5E0" w:rsidP="70B00F32" w:rsidRDefault="297BA5E0" w14:paraId="5D01EED4" w14:textId="57EAD597">
      <w:pPr>
        <w:pStyle w:val="Heading3"/>
        <w:bidi w:val="0"/>
        <w:spacing w:before="0" w:beforeAutospacing="off" w:after="240"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Key Project Milestones</w:t>
      </w:r>
    </w:p>
    <w:p w:rsidR="297BA5E0" w:rsidP="70B00F32" w:rsidRDefault="297BA5E0" w14:paraId="38736FC4" w14:textId="5B76CB0D">
      <w:pPr>
        <w:pStyle w:val="ListParagraph"/>
        <w:numPr>
          <w:ilvl w:val="0"/>
          <w:numId w:val="10"/>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Month 03:</w:t>
      </w:r>
      <w:r w:rsidRPr="70B00F32" w:rsidR="297BA5E0">
        <w:rPr>
          <w:rFonts w:ascii="Calibri" w:hAnsi="Calibri" w:eastAsia="Calibri" w:cs="Calibri"/>
          <w:noProof w:val="0"/>
          <w:color w:val="auto"/>
          <w:sz w:val="24"/>
          <w:szCs w:val="24"/>
          <w:lang w:val="en-GB"/>
        </w:rPr>
        <w:t xml:space="preserve"> Project Charter Signed &amp; Mobilization Complete</w:t>
      </w:r>
    </w:p>
    <w:p w:rsidR="297BA5E0" w:rsidP="70B00F32" w:rsidRDefault="297BA5E0" w14:paraId="72FF777E" w14:textId="701F6105">
      <w:pPr>
        <w:pStyle w:val="ListParagraph"/>
        <w:numPr>
          <w:ilvl w:val="0"/>
          <w:numId w:val="10"/>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Month 09:</w:t>
      </w:r>
      <w:r w:rsidRPr="70B00F32" w:rsidR="297BA5E0">
        <w:rPr>
          <w:rFonts w:ascii="Calibri" w:hAnsi="Calibri" w:eastAsia="Calibri" w:cs="Calibri"/>
          <w:noProof w:val="0"/>
          <w:color w:val="auto"/>
          <w:sz w:val="24"/>
          <w:szCs w:val="24"/>
          <w:lang w:val="en-GB"/>
        </w:rPr>
        <w:t xml:space="preserve"> Detailed Architectural &amp; Engineering Design Approved</w:t>
      </w:r>
    </w:p>
    <w:p w:rsidR="297BA5E0" w:rsidP="70B00F32" w:rsidRDefault="297BA5E0" w14:paraId="1C3C071B" w14:textId="3A42A13D">
      <w:pPr>
        <w:pStyle w:val="ListParagraph"/>
        <w:numPr>
          <w:ilvl w:val="0"/>
          <w:numId w:val="10"/>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Month 12:</w:t>
      </w:r>
      <w:r w:rsidRPr="70B00F32" w:rsidR="297BA5E0">
        <w:rPr>
          <w:rFonts w:ascii="Calibri" w:hAnsi="Calibri" w:eastAsia="Calibri" w:cs="Calibri"/>
          <w:noProof w:val="0"/>
          <w:color w:val="auto"/>
          <w:sz w:val="24"/>
          <w:szCs w:val="24"/>
          <w:lang w:val="en-GB"/>
        </w:rPr>
        <w:t xml:space="preserve"> Statutory Planning &amp; Regulatory Approvals Granted</w:t>
      </w:r>
    </w:p>
    <w:p w:rsidR="297BA5E0" w:rsidP="70B00F32" w:rsidRDefault="297BA5E0" w14:paraId="23785FA0" w14:textId="38AD326F">
      <w:pPr>
        <w:pStyle w:val="ListParagraph"/>
        <w:numPr>
          <w:ilvl w:val="0"/>
          <w:numId w:val="10"/>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Month 15:</w:t>
      </w:r>
      <w:r w:rsidRPr="70B00F32" w:rsidR="297BA5E0">
        <w:rPr>
          <w:rFonts w:ascii="Calibri" w:hAnsi="Calibri" w:eastAsia="Calibri" w:cs="Calibri"/>
          <w:noProof w:val="0"/>
          <w:color w:val="auto"/>
          <w:sz w:val="24"/>
          <w:szCs w:val="24"/>
          <w:lang w:val="en-GB"/>
        </w:rPr>
        <w:t xml:space="preserve"> Main Contractors Awarded &amp; Temporary Hub Active</w:t>
      </w:r>
    </w:p>
    <w:p w:rsidR="297BA5E0" w:rsidP="70B00F32" w:rsidRDefault="297BA5E0" w14:paraId="0C87A90B" w14:textId="4179F70A">
      <w:pPr>
        <w:pStyle w:val="ListParagraph"/>
        <w:numPr>
          <w:ilvl w:val="0"/>
          <w:numId w:val="10"/>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Month 24:</w:t>
      </w:r>
      <w:r w:rsidRPr="70B00F32" w:rsidR="297BA5E0">
        <w:rPr>
          <w:rFonts w:ascii="Calibri" w:hAnsi="Calibri" w:eastAsia="Calibri" w:cs="Calibri"/>
          <w:noProof w:val="0"/>
          <w:color w:val="auto"/>
          <w:sz w:val="24"/>
          <w:szCs w:val="24"/>
          <w:lang w:val="en-GB"/>
        </w:rPr>
        <w:t xml:space="preserve"> Structural Superstructure Complete &amp; Envelope Sealed</w:t>
      </w:r>
    </w:p>
    <w:p w:rsidR="297BA5E0" w:rsidP="70B00F32" w:rsidRDefault="297BA5E0" w14:paraId="0DF258C3" w14:textId="354E8B3C">
      <w:pPr>
        <w:pStyle w:val="ListParagraph"/>
        <w:numPr>
          <w:ilvl w:val="0"/>
          <w:numId w:val="10"/>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Month 27:</w:t>
      </w:r>
      <w:r w:rsidRPr="70B00F32" w:rsidR="297BA5E0">
        <w:rPr>
          <w:rFonts w:ascii="Calibri" w:hAnsi="Calibri" w:eastAsia="Calibri" w:cs="Calibri"/>
          <w:noProof w:val="0"/>
          <w:color w:val="auto"/>
          <w:sz w:val="24"/>
          <w:szCs w:val="24"/>
          <w:lang w:val="en-GB"/>
        </w:rPr>
        <w:t xml:space="preserve"> Integrated Systems Testing &amp; Sign-off Finalized</w:t>
      </w:r>
    </w:p>
    <w:p w:rsidR="297BA5E0" w:rsidP="70B00F32" w:rsidRDefault="297BA5E0" w14:paraId="2DC303CB" w14:textId="722BE81C">
      <w:pPr>
        <w:pStyle w:val="ListParagraph"/>
        <w:numPr>
          <w:ilvl w:val="0"/>
          <w:numId w:val="10"/>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Month 30:</w:t>
      </w:r>
      <w:r w:rsidRPr="70B00F32" w:rsidR="297BA5E0">
        <w:rPr>
          <w:rFonts w:ascii="Calibri" w:hAnsi="Calibri" w:eastAsia="Calibri" w:cs="Calibri"/>
          <w:noProof w:val="0"/>
          <w:color w:val="auto"/>
          <w:sz w:val="24"/>
          <w:szCs w:val="24"/>
          <w:lang w:val="en-GB"/>
        </w:rPr>
        <w:t xml:space="preserve"> Formal Operational Handover &amp; Terminal Opening</w:t>
      </w:r>
    </w:p>
    <w:p w:rsidR="297BA5E0" w:rsidP="70B00F32" w:rsidRDefault="297BA5E0" w14:paraId="67D8BC6F" w14:textId="55E4327D">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Maintaining sequence controls across these linked activities is critical. Schedule slippages during early planning or design phases will directly delay contractor procurement and site mobilization. The Project Manager will utilize Earned Value Management (EVM) and Schedule Variance (SV) monitoring to identify critical path delays early and implement corrective actions.</w:t>
      </w:r>
    </w:p>
    <w:p w:rsidR="297BA5E0" w:rsidP="70B00F32" w:rsidRDefault="297BA5E0" w14:paraId="5FE03835" w14:textId="3BE5403D">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Stakeholder Management</w:t>
      </w:r>
    </w:p>
    <w:p w:rsidR="297BA5E0" w:rsidP="70B00F32" w:rsidRDefault="297BA5E0" w14:paraId="41DA4EC8" w14:textId="1CBD9C63">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Infrastructure projects involve diverse internal and external stakeholders with varying levels of influence, interest, and priorities. Structured stakeholder engagement is essential to mitigate friction, manage expectations, and maintain project alignment (Freeman, 1984).</w:t>
      </w:r>
    </w:p>
    <w:p w:rsidR="70B00F32" w:rsidP="70B00F32" w:rsidRDefault="70B00F32" w14:paraId="2C39B601" w14:textId="46012C67">
      <w:pPr>
        <w:bidi w:val="0"/>
        <w:spacing w:before="0" w:beforeAutospacing="off" w:after="240" w:afterAutospacing="off"/>
        <w:rPr>
          <w:rFonts w:ascii="Calibri" w:hAnsi="Calibri" w:eastAsia="Calibri" w:cs="Calibri"/>
          <w:noProof w:val="0"/>
          <w:color w:val="auto"/>
          <w:sz w:val="24"/>
          <w:szCs w:val="24"/>
          <w:lang w:val="en-GB"/>
        </w:rPr>
      </w:pPr>
    </w:p>
    <w:p w:rsidR="70B00F32" w:rsidP="70B00F32" w:rsidRDefault="70B00F32" w14:paraId="20497DA9" w14:textId="00356BF9">
      <w:pPr>
        <w:bidi w:val="0"/>
        <w:spacing w:before="0" w:beforeAutospacing="off" w:after="240" w:afterAutospacing="off"/>
        <w:rPr>
          <w:rFonts w:ascii="Calibri" w:hAnsi="Calibri" w:eastAsia="Calibri" w:cs="Calibri"/>
          <w:noProof w:val="0"/>
          <w:color w:val="auto"/>
          <w:sz w:val="24"/>
          <w:szCs w:val="24"/>
          <w:lang w:val="en-GB"/>
        </w:rPr>
      </w:pPr>
    </w:p>
    <w:tbl>
      <w:tblPr>
        <w:tblStyle w:val="TableNormal"/>
        <w:bidiVisual w:val="0"/>
        <w:tblW w:w="0" w:type="auto"/>
        <w:tblLook w:val="06A0" w:firstRow="1" w:lastRow="0" w:firstColumn="1" w:lastColumn="0" w:noHBand="1" w:noVBand="1"/>
      </w:tblPr>
      <w:tblGrid>
        <w:gridCol w:w="3345"/>
        <w:gridCol w:w="2602"/>
        <w:gridCol w:w="3413"/>
      </w:tblGrid>
      <w:tr w:rsidR="70B00F32" w:rsidTr="70B00F32" w14:paraId="3A91227F">
        <w:trPr>
          <w:trHeight w:val="300"/>
        </w:trPr>
        <w:tc>
          <w:tcPr>
            <w:tcW w:w="33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9F84C41" w14:textId="29A86B6A">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Stakeholder Category</w:t>
            </w:r>
          </w:p>
        </w:tc>
        <w:tc>
          <w:tcPr>
            <w:tcW w:w="260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8EC0D66" w14:textId="647CE5E3">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Management Strategy</w:t>
            </w:r>
          </w:p>
        </w:tc>
        <w:tc>
          <w:tcPr>
            <w:tcW w:w="341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2E211B5" w14:textId="6D2D66C9">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Stakeholder Groups Included</w:t>
            </w:r>
          </w:p>
        </w:tc>
      </w:tr>
      <w:tr w:rsidR="70B00F32" w:rsidTr="70B00F32" w14:paraId="6B29D3F8">
        <w:trPr>
          <w:trHeight w:val="300"/>
        </w:trPr>
        <w:tc>
          <w:tcPr>
            <w:tcW w:w="33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72769E1" w14:textId="0CFD2B10">
            <w:pPr>
              <w:bidi w:val="0"/>
              <w:spacing w:before="0" w:beforeAutospacing="off" w:after="0" w:afterAutospacing="off"/>
              <w:rPr>
                <w:rFonts w:ascii="Calibri" w:hAnsi="Calibri" w:eastAsia="Calibri" w:cs="Calibri"/>
                <w:i w:val="1"/>
                <w:iCs w:val="1"/>
                <w:color w:val="auto"/>
              </w:rPr>
            </w:pPr>
            <w:r w:rsidRPr="70B00F32" w:rsidR="70B00F32">
              <w:rPr>
                <w:rFonts w:ascii="Calibri" w:hAnsi="Calibri" w:eastAsia="Calibri" w:cs="Calibri"/>
                <w:b w:val="1"/>
                <w:bCs w:val="1"/>
                <w:color w:val="auto"/>
              </w:rPr>
              <w:t>High Power / High Interest</w:t>
            </w:r>
            <w:r w:rsidRPr="70B00F32" w:rsidR="70B00F32">
              <w:rPr>
                <w:rFonts w:ascii="Calibri" w:hAnsi="Calibri" w:eastAsia="Calibri" w:cs="Calibri"/>
                <w:color w:val="auto"/>
              </w:rPr>
              <w:t xml:space="preserve"> </w:t>
            </w:r>
            <w:r w:rsidRPr="70B00F32" w:rsidR="70B00F32">
              <w:rPr>
                <w:rFonts w:ascii="Calibri" w:hAnsi="Calibri" w:eastAsia="Calibri" w:cs="Calibri"/>
                <w:i w:val="1"/>
                <w:iCs w:val="1"/>
                <w:color w:val="auto"/>
              </w:rPr>
              <w:t>(Key Decision Makers)</w:t>
            </w:r>
          </w:p>
        </w:tc>
        <w:tc>
          <w:tcPr>
            <w:tcW w:w="260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0C8B4CC" w14:textId="6164645B">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Manage Closely</w:t>
            </w:r>
          </w:p>
        </w:tc>
        <w:tc>
          <w:tcPr>
            <w:tcW w:w="341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9E62560" w14:textId="2128A140">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Municipal Authorities &amp; Funding Partners</w:t>
            </w:r>
          </w:p>
          <w:p w:rsidR="70B00F32" w:rsidP="70B00F32" w:rsidRDefault="70B00F32" w14:paraId="55819AB5" w14:textId="54A69DE3">
            <w:pPr>
              <w:bidi w:val="0"/>
              <w:spacing w:before="0" w:beforeAutospacing="off" w:after="0" w:afterAutospacing="off"/>
              <w:rPr>
                <w:rFonts w:ascii="Calibri" w:hAnsi="Calibri" w:eastAsia="Calibri" w:cs="Calibri"/>
                <w:color w:val="auto"/>
              </w:rPr>
            </w:pPr>
          </w:p>
          <w:p w:rsidR="70B00F32" w:rsidP="70B00F32" w:rsidRDefault="70B00F32" w14:paraId="4DE0AD65" w14:textId="0A7CE0C7">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Transport Regulators &amp; Safety Bodies</w:t>
            </w:r>
          </w:p>
          <w:p w:rsidR="70B00F32" w:rsidP="70B00F32" w:rsidRDefault="70B00F32" w14:paraId="21CA930C" w14:textId="745D9CAC">
            <w:pPr>
              <w:bidi w:val="0"/>
              <w:spacing w:before="0" w:beforeAutospacing="off" w:after="0" w:afterAutospacing="off"/>
              <w:rPr>
                <w:rFonts w:ascii="Calibri" w:hAnsi="Calibri" w:eastAsia="Calibri" w:cs="Calibri"/>
                <w:color w:val="auto"/>
              </w:rPr>
            </w:pPr>
          </w:p>
          <w:p w:rsidR="70B00F32" w:rsidP="70B00F32" w:rsidRDefault="70B00F32" w14:paraId="31F31D6A" w14:textId="7F5D6290">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Rail, Bus, &amp; Freight Operating Companies</w:t>
            </w:r>
          </w:p>
          <w:p w:rsidR="70B00F32" w:rsidP="70B00F32" w:rsidRDefault="70B00F32" w14:paraId="1504C6DC" w14:textId="5D6AB200">
            <w:pPr>
              <w:bidi w:val="0"/>
              <w:spacing w:before="0" w:beforeAutospacing="off" w:after="0" w:afterAutospacing="off"/>
              <w:rPr>
                <w:rFonts w:ascii="Calibri" w:hAnsi="Calibri" w:eastAsia="Calibri" w:cs="Calibri"/>
                <w:color w:val="auto"/>
              </w:rPr>
            </w:pPr>
          </w:p>
          <w:p w:rsidR="70B00F32" w:rsidP="70B00F32" w:rsidRDefault="70B00F32" w14:paraId="3D20FEF9" w14:textId="1AB8309A">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Tier 1 Prime Construction Contractors</w:t>
            </w:r>
          </w:p>
        </w:tc>
      </w:tr>
      <w:tr w:rsidR="70B00F32" w:rsidTr="70B00F32" w14:paraId="6F1C787B">
        <w:trPr>
          <w:trHeight w:val="300"/>
        </w:trPr>
        <w:tc>
          <w:tcPr>
            <w:tcW w:w="33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C276F0F" w14:textId="6DB799DD">
            <w:pPr>
              <w:bidi w:val="0"/>
              <w:spacing w:before="0" w:beforeAutospacing="off" w:after="0" w:afterAutospacing="off"/>
              <w:rPr>
                <w:rFonts w:ascii="Calibri" w:hAnsi="Calibri" w:eastAsia="Calibri" w:cs="Calibri"/>
                <w:i w:val="1"/>
                <w:iCs w:val="1"/>
                <w:color w:val="auto"/>
              </w:rPr>
            </w:pPr>
            <w:r w:rsidRPr="70B00F32" w:rsidR="70B00F32">
              <w:rPr>
                <w:rFonts w:ascii="Calibri" w:hAnsi="Calibri" w:eastAsia="Calibri" w:cs="Calibri"/>
                <w:b w:val="1"/>
                <w:bCs w:val="1"/>
                <w:color w:val="auto"/>
              </w:rPr>
              <w:t>High Power / Medium Interest</w:t>
            </w:r>
            <w:r w:rsidRPr="70B00F32" w:rsidR="70B00F32">
              <w:rPr>
                <w:rFonts w:ascii="Calibri" w:hAnsi="Calibri" w:eastAsia="Calibri" w:cs="Calibri"/>
                <w:color w:val="auto"/>
              </w:rPr>
              <w:t xml:space="preserve"> </w:t>
            </w:r>
            <w:r w:rsidRPr="70B00F32" w:rsidR="70B00F32">
              <w:rPr>
                <w:rFonts w:ascii="Calibri" w:hAnsi="Calibri" w:eastAsia="Calibri" w:cs="Calibri"/>
                <w:i w:val="1"/>
                <w:iCs w:val="1"/>
                <w:color w:val="auto"/>
              </w:rPr>
              <w:t>(Context Setters)</w:t>
            </w:r>
          </w:p>
        </w:tc>
        <w:tc>
          <w:tcPr>
            <w:tcW w:w="260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85598B3" w14:textId="71E430A9">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Keep Satisfied</w:t>
            </w:r>
          </w:p>
        </w:tc>
        <w:tc>
          <w:tcPr>
            <w:tcW w:w="341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7D656BD" w14:textId="3154C875">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Statutory Planning &amp; Environmental Authorities</w:t>
            </w:r>
          </w:p>
          <w:p w:rsidR="70B00F32" w:rsidP="70B00F32" w:rsidRDefault="70B00F32" w14:paraId="62031F9D" w14:textId="7A5FEF16">
            <w:pPr>
              <w:bidi w:val="0"/>
              <w:spacing w:before="0" w:beforeAutospacing="off" w:after="0" w:afterAutospacing="off"/>
              <w:rPr>
                <w:rFonts w:ascii="Calibri" w:hAnsi="Calibri" w:eastAsia="Calibri" w:cs="Calibri"/>
                <w:color w:val="auto"/>
              </w:rPr>
            </w:pPr>
          </w:p>
          <w:p w:rsidR="70B00F32" w:rsidP="70B00F32" w:rsidRDefault="70B00F32" w14:paraId="7FD0A2C2" w14:textId="4D50FE66">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Regional Utility Providers</w:t>
            </w:r>
          </w:p>
        </w:tc>
      </w:tr>
      <w:tr w:rsidR="70B00F32" w:rsidTr="70B00F32" w14:paraId="67ED2E5C">
        <w:trPr>
          <w:trHeight w:val="300"/>
        </w:trPr>
        <w:tc>
          <w:tcPr>
            <w:tcW w:w="33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034344D" w14:textId="707EB2D2">
            <w:pPr>
              <w:bidi w:val="0"/>
              <w:spacing w:before="0" w:beforeAutospacing="off" w:after="0" w:afterAutospacing="off"/>
              <w:rPr>
                <w:rFonts w:ascii="Calibri" w:hAnsi="Calibri" w:eastAsia="Calibri" w:cs="Calibri"/>
                <w:i w:val="1"/>
                <w:iCs w:val="1"/>
                <w:color w:val="auto"/>
              </w:rPr>
            </w:pPr>
            <w:r w:rsidRPr="70B00F32" w:rsidR="70B00F32">
              <w:rPr>
                <w:rFonts w:ascii="Calibri" w:hAnsi="Calibri" w:eastAsia="Calibri" w:cs="Calibri"/>
                <w:b w:val="1"/>
                <w:bCs w:val="1"/>
                <w:color w:val="auto"/>
              </w:rPr>
              <w:t>Low Power / High Interest</w:t>
            </w:r>
            <w:r w:rsidRPr="70B00F32" w:rsidR="70B00F32">
              <w:rPr>
                <w:rFonts w:ascii="Calibri" w:hAnsi="Calibri" w:eastAsia="Calibri" w:cs="Calibri"/>
                <w:color w:val="auto"/>
              </w:rPr>
              <w:t xml:space="preserve"> </w:t>
            </w:r>
            <w:r w:rsidRPr="70B00F32" w:rsidR="70B00F32">
              <w:rPr>
                <w:rFonts w:ascii="Calibri" w:hAnsi="Calibri" w:eastAsia="Calibri" w:cs="Calibri"/>
                <w:i w:val="1"/>
                <w:iCs w:val="1"/>
                <w:color w:val="auto"/>
              </w:rPr>
              <w:t>(Impacted Groups)</w:t>
            </w:r>
          </w:p>
        </w:tc>
        <w:tc>
          <w:tcPr>
            <w:tcW w:w="260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12DECEB" w14:textId="65C44BEA">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Keep Informed &amp; Consulted</w:t>
            </w:r>
          </w:p>
        </w:tc>
        <w:tc>
          <w:tcPr>
            <w:tcW w:w="341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B397B4B" w14:textId="1F5F44CD">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Passenger Groups &amp; Commuter Associations</w:t>
            </w:r>
          </w:p>
          <w:p w:rsidR="70B00F32" w:rsidP="70B00F32" w:rsidRDefault="70B00F32" w14:paraId="1944C1F9" w14:textId="605390CE">
            <w:pPr>
              <w:bidi w:val="0"/>
              <w:spacing w:before="0" w:beforeAutospacing="off" w:after="0" w:afterAutospacing="off"/>
              <w:rPr>
                <w:rFonts w:ascii="Calibri" w:hAnsi="Calibri" w:eastAsia="Calibri" w:cs="Calibri"/>
                <w:color w:val="auto"/>
              </w:rPr>
            </w:pPr>
          </w:p>
          <w:p w:rsidR="70B00F32" w:rsidP="70B00F32" w:rsidRDefault="70B00F32" w14:paraId="5226CC22" w14:textId="69AD50C8">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Accessibility Advocacy Committees</w:t>
            </w:r>
          </w:p>
          <w:p w:rsidR="70B00F32" w:rsidP="70B00F32" w:rsidRDefault="70B00F32" w14:paraId="78ADC528" w14:textId="6B2ED082">
            <w:pPr>
              <w:bidi w:val="0"/>
              <w:spacing w:before="0" w:beforeAutospacing="off" w:after="0" w:afterAutospacing="off"/>
              <w:rPr>
                <w:rFonts w:ascii="Calibri" w:hAnsi="Calibri" w:eastAsia="Calibri" w:cs="Calibri"/>
                <w:color w:val="auto"/>
              </w:rPr>
            </w:pPr>
          </w:p>
          <w:p w:rsidR="70B00F32" w:rsidP="70B00F32" w:rsidRDefault="70B00F32" w14:paraId="5AA18D11" w14:textId="0E67CCEB">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Local Business Coalitions &amp; Merchant Associations</w:t>
            </w:r>
          </w:p>
          <w:p w:rsidR="70B00F32" w:rsidP="70B00F32" w:rsidRDefault="70B00F32" w14:paraId="68C7BBAF" w14:textId="258540A5">
            <w:pPr>
              <w:bidi w:val="0"/>
              <w:spacing w:before="0" w:beforeAutospacing="off" w:after="0" w:afterAutospacing="off"/>
              <w:rPr>
                <w:rFonts w:ascii="Calibri" w:hAnsi="Calibri" w:eastAsia="Calibri" w:cs="Calibri"/>
                <w:color w:val="auto"/>
              </w:rPr>
            </w:pPr>
          </w:p>
          <w:p w:rsidR="70B00F32" w:rsidP="70B00F32" w:rsidRDefault="70B00F32" w14:paraId="154E776E" w14:textId="37C8F158">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xml:space="preserve">• Adjacent Residents &amp; </w:t>
            </w:r>
            <w:r w:rsidRPr="70B00F32" w:rsidR="6A85F606">
              <w:rPr>
                <w:rFonts w:ascii="Calibri" w:hAnsi="Calibri" w:eastAsia="Calibri" w:cs="Calibri"/>
                <w:color w:val="auto"/>
              </w:rPr>
              <w:t>Neighbourhood</w:t>
            </w:r>
            <w:r w:rsidRPr="70B00F32" w:rsidR="70B00F32">
              <w:rPr>
                <w:rFonts w:ascii="Calibri" w:hAnsi="Calibri" w:eastAsia="Calibri" w:cs="Calibri"/>
                <w:color w:val="auto"/>
              </w:rPr>
              <w:t xml:space="preserve"> Groups</w:t>
            </w:r>
          </w:p>
        </w:tc>
      </w:tr>
      <w:tr w:rsidR="70B00F32" w:rsidTr="70B00F32" w14:paraId="2AF0C166">
        <w:trPr>
          <w:trHeight w:val="300"/>
        </w:trPr>
        <w:tc>
          <w:tcPr>
            <w:tcW w:w="33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F912DFC" w14:textId="0EEA5FEF">
            <w:pPr>
              <w:bidi w:val="0"/>
              <w:spacing w:before="0" w:beforeAutospacing="off" w:after="0" w:afterAutospacing="off"/>
              <w:rPr>
                <w:rFonts w:ascii="Calibri" w:hAnsi="Calibri" w:eastAsia="Calibri" w:cs="Calibri"/>
                <w:i w:val="1"/>
                <w:iCs w:val="1"/>
                <w:color w:val="auto"/>
              </w:rPr>
            </w:pPr>
            <w:r w:rsidRPr="70B00F32" w:rsidR="70B00F32">
              <w:rPr>
                <w:rFonts w:ascii="Calibri" w:hAnsi="Calibri" w:eastAsia="Calibri" w:cs="Calibri"/>
                <w:b w:val="1"/>
                <w:bCs w:val="1"/>
                <w:color w:val="auto"/>
              </w:rPr>
              <w:t>Low Power / Low Interest</w:t>
            </w:r>
            <w:r w:rsidRPr="70B00F32" w:rsidR="70B00F32">
              <w:rPr>
                <w:rFonts w:ascii="Calibri" w:hAnsi="Calibri" w:eastAsia="Calibri" w:cs="Calibri"/>
                <w:color w:val="auto"/>
              </w:rPr>
              <w:t xml:space="preserve"> </w:t>
            </w:r>
            <w:r w:rsidRPr="70B00F32" w:rsidR="70B00F32">
              <w:rPr>
                <w:rFonts w:ascii="Calibri" w:hAnsi="Calibri" w:eastAsia="Calibri" w:cs="Calibri"/>
                <w:i w:val="1"/>
                <w:iCs w:val="1"/>
                <w:color w:val="auto"/>
              </w:rPr>
              <w:t>(Broad Public)</w:t>
            </w:r>
          </w:p>
        </w:tc>
        <w:tc>
          <w:tcPr>
            <w:tcW w:w="260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209A652" w14:textId="589D598B">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Monitor via General Communications</w:t>
            </w:r>
          </w:p>
        </w:tc>
        <w:tc>
          <w:tcPr>
            <w:tcW w:w="3413"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F909DD7" w14:textId="1F5A4704">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General Public &amp; External Media</w:t>
            </w:r>
          </w:p>
          <w:p w:rsidR="70B00F32" w:rsidP="70B00F32" w:rsidRDefault="70B00F32" w14:paraId="7ECA8ADF" w14:textId="61598D8A">
            <w:pPr>
              <w:bidi w:val="0"/>
              <w:spacing w:before="0" w:beforeAutospacing="off" w:after="0" w:afterAutospacing="off"/>
              <w:rPr>
                <w:rFonts w:ascii="Calibri" w:hAnsi="Calibri" w:eastAsia="Calibri" w:cs="Calibri"/>
                <w:color w:val="auto"/>
              </w:rPr>
            </w:pPr>
          </w:p>
          <w:p w:rsidR="70B00F32" w:rsidP="70B00F32" w:rsidRDefault="70B00F32" w14:paraId="5796651E" w14:textId="56350ED2">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Regional Environmental Groups</w:t>
            </w:r>
          </w:p>
        </w:tc>
      </w:tr>
    </w:tbl>
    <w:p w:rsidR="70B00F32" w:rsidP="70B00F32" w:rsidRDefault="70B00F32" w14:paraId="57BD96B1" w14:textId="37A5DBB9">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p>
    <w:p w:rsidR="70B00F32" w:rsidP="70B00F32" w:rsidRDefault="70B00F32" w14:paraId="4007A14E" w14:textId="674393B7">
      <w:pPr>
        <w:pStyle w:val="Normal"/>
        <w:bidi w:val="0"/>
        <w:rPr>
          <w:rFonts w:ascii="Calibri" w:hAnsi="Calibri" w:eastAsia="Calibri" w:cs="Calibri"/>
          <w:noProof w:val="0"/>
          <w:lang w:val="en-GB"/>
        </w:rPr>
      </w:pPr>
    </w:p>
    <w:p w:rsidR="297BA5E0" w:rsidP="70B00F32" w:rsidRDefault="297BA5E0" w14:paraId="41E94A91" w14:textId="35580D38">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Engagement Approaches</w:t>
      </w:r>
    </w:p>
    <w:p w:rsidR="297BA5E0" w:rsidP="70B00F32" w:rsidRDefault="297BA5E0" w14:paraId="5CC1BA73" w14:textId="761F0A91">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Stakeholder engagement is executed across three structured channels:</w:t>
      </w:r>
    </w:p>
    <w:p w:rsidR="297BA5E0" w:rsidP="70B00F32" w:rsidRDefault="297BA5E0" w14:paraId="5905A9E5" w14:textId="7EEBC82E">
      <w:pPr>
        <w:pStyle w:val="ListParagraph"/>
        <w:numPr>
          <w:ilvl w:val="0"/>
          <w:numId w:val="11"/>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Executive Committees &amp; Project Board:</w:t>
      </w:r>
      <w:r w:rsidRPr="70B00F32" w:rsidR="297BA5E0">
        <w:rPr>
          <w:rFonts w:ascii="Calibri" w:hAnsi="Calibri" w:eastAsia="Calibri" w:cs="Calibri"/>
          <w:noProof w:val="0"/>
          <w:color w:val="auto"/>
          <w:sz w:val="24"/>
          <w:szCs w:val="24"/>
          <w:lang w:val="en-GB"/>
        </w:rPr>
        <w:t xml:space="preserve"> Encompasses executive leadership, municipal authorities, and transport operators conducting weekly operational reviews and managing formal approvals.</w:t>
      </w:r>
    </w:p>
    <w:p w:rsidR="297BA5E0" w:rsidP="70B00F32" w:rsidRDefault="297BA5E0" w14:paraId="510AEEBD" w14:textId="506B7DF6">
      <w:pPr>
        <w:pStyle w:val="ListParagraph"/>
        <w:numPr>
          <w:ilvl w:val="0"/>
          <w:numId w:val="11"/>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User Panel Consultations:</w:t>
      </w:r>
      <w:r w:rsidRPr="70B00F32" w:rsidR="297BA5E0">
        <w:rPr>
          <w:rFonts w:ascii="Calibri" w:hAnsi="Calibri" w:eastAsia="Calibri" w:cs="Calibri"/>
          <w:noProof w:val="0"/>
          <w:color w:val="auto"/>
          <w:sz w:val="24"/>
          <w:szCs w:val="24"/>
          <w:lang w:val="en-GB"/>
        </w:rPr>
        <w:t xml:space="preserve"> Involves disability panels, commuter groups, and accessibility advocates through bi-weekly design reviews to identify practical usability barriers early.</w:t>
      </w:r>
    </w:p>
    <w:p w:rsidR="297BA5E0" w:rsidP="70B00F32" w:rsidRDefault="297BA5E0" w14:paraId="1E433961" w14:textId="42F35FD7">
      <w:pPr>
        <w:pStyle w:val="ListParagraph"/>
        <w:numPr>
          <w:ilvl w:val="0"/>
          <w:numId w:val="11"/>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Community Updates:</w:t>
      </w:r>
      <w:r w:rsidRPr="70B00F32" w:rsidR="297BA5E0">
        <w:rPr>
          <w:rFonts w:ascii="Calibri" w:hAnsi="Calibri" w:eastAsia="Calibri" w:cs="Calibri"/>
          <w:noProof w:val="0"/>
          <w:color w:val="auto"/>
          <w:sz w:val="24"/>
          <w:szCs w:val="24"/>
          <w:lang w:val="en-GB"/>
        </w:rPr>
        <w:t xml:space="preserve"> Engages local business coalitions, residents, and the public via digital bulletins, dedicated liaison officers, and public town hall meetings to communicate traffic diversions and noise mitigation measures.</w:t>
      </w:r>
    </w:p>
    <w:p w:rsidR="297BA5E0" w:rsidP="70B00F32" w:rsidRDefault="297BA5E0" w14:paraId="0C52750D" w14:textId="1D49421B">
      <w:pPr>
        <w:pStyle w:val="ListParagraph"/>
        <w:numPr>
          <w:ilvl w:val="0"/>
          <w:numId w:val="11"/>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Stakeholder Log:</w:t>
      </w:r>
      <w:r w:rsidRPr="70B00F32" w:rsidR="297BA5E0">
        <w:rPr>
          <w:rFonts w:ascii="Calibri" w:hAnsi="Calibri" w:eastAsia="Calibri" w:cs="Calibri"/>
          <w:noProof w:val="0"/>
          <w:color w:val="auto"/>
          <w:sz w:val="24"/>
          <w:szCs w:val="24"/>
          <w:lang w:val="en-GB"/>
        </w:rPr>
        <w:t xml:space="preserve"> All inquiries, feedback, risks, and commitments will be tracked in a central Stakeholder Log to assign action items and monitor issue resolution.</w:t>
      </w:r>
    </w:p>
    <w:p w:rsidR="297BA5E0" w:rsidP="70B00F32" w:rsidRDefault="297BA5E0" w14:paraId="0161CB3A" w14:textId="0533ED17">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Allocation of Resources</w:t>
      </w:r>
    </w:p>
    <w:p w:rsidR="297BA5E0" w:rsidP="70B00F32" w:rsidRDefault="297BA5E0" w14:paraId="5A8D0D85" w14:textId="60F1B5F4">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Delivering this project within cost, time, and quality baselines requires the balanced deployment of human, financial, physical, and technological resources.</w:t>
      </w:r>
    </w:p>
    <w:p w:rsidR="297BA5E0" w:rsidP="70B00F32" w:rsidRDefault="297BA5E0" w14:paraId="08E3B15B" w14:textId="7770E5FB">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Human Resources &amp; Governance Structure</w:t>
      </w:r>
    </w:p>
    <w:p w:rsidR="297BA5E0" w:rsidP="70B00F32" w:rsidRDefault="297BA5E0" w14:paraId="698F707B" w14:textId="7E723086">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project management organization is structured hierarchically to ensure clear decision-making pathways:</w:t>
      </w:r>
    </w:p>
    <w:p w:rsidR="297BA5E0" w:rsidP="70B00F32" w:rsidRDefault="297BA5E0" w14:paraId="085783FB" w14:textId="1C3F6380">
      <w:pPr>
        <w:pStyle w:val="ListParagraph"/>
        <w:numPr>
          <w:ilvl w:val="0"/>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Project Sponsor &amp; Executive Board:</w:t>
      </w:r>
      <w:r w:rsidRPr="70B00F32" w:rsidR="297BA5E0">
        <w:rPr>
          <w:rFonts w:ascii="Calibri" w:hAnsi="Calibri" w:eastAsia="Calibri" w:cs="Calibri"/>
          <w:noProof w:val="0"/>
          <w:color w:val="auto"/>
          <w:sz w:val="24"/>
          <w:szCs w:val="24"/>
          <w:lang w:val="en-GB"/>
        </w:rPr>
        <w:t xml:space="preserve"> Top-level oversight body responsible for approving scope changes, securing capital funding, and ensuring alignment with municipal strategy.</w:t>
      </w:r>
    </w:p>
    <w:p w:rsidR="297BA5E0" w:rsidP="70B00F32" w:rsidRDefault="297BA5E0" w14:paraId="073E2D1E" w14:textId="076B7B4E">
      <w:pPr>
        <w:pStyle w:val="ListParagraph"/>
        <w:numPr>
          <w:ilvl w:val="1"/>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Project Manager:</w:t>
      </w:r>
      <w:r w:rsidRPr="70B00F32" w:rsidR="297BA5E0">
        <w:rPr>
          <w:rFonts w:ascii="Calibri" w:hAnsi="Calibri" w:eastAsia="Calibri" w:cs="Calibri"/>
          <w:noProof w:val="0"/>
          <w:color w:val="auto"/>
          <w:sz w:val="24"/>
          <w:szCs w:val="24"/>
          <w:lang w:val="en-GB"/>
        </w:rPr>
        <w:t xml:space="preserve"> Directs overall execution, managing workflows across cost, schedule, quality, risk, and procurement domains.</w:t>
      </w:r>
    </w:p>
    <w:p w:rsidR="297BA5E0" w:rsidP="70B00F32" w:rsidRDefault="297BA5E0" w14:paraId="1BECFBD6" w14:textId="1CA73606">
      <w:pPr>
        <w:pStyle w:val="ListParagraph"/>
        <w:numPr>
          <w:ilvl w:val="2"/>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Project Management Office (PMO):</w:t>
      </w:r>
      <w:r w:rsidRPr="70B00F32" w:rsidR="297BA5E0">
        <w:rPr>
          <w:rFonts w:ascii="Calibri" w:hAnsi="Calibri" w:eastAsia="Calibri" w:cs="Calibri"/>
          <w:noProof w:val="0"/>
          <w:color w:val="auto"/>
          <w:sz w:val="24"/>
          <w:szCs w:val="24"/>
          <w:lang w:val="en-GB"/>
        </w:rPr>
        <w:t xml:space="preserve"> Maintains project baselines, tracks Earned Value metrics, manages change controls, and compiles compliance reporting.</w:t>
      </w:r>
    </w:p>
    <w:p w:rsidR="297BA5E0" w:rsidP="70B00F32" w:rsidRDefault="297BA5E0" w14:paraId="3AE5B1CB" w14:textId="1A3431B0">
      <w:pPr>
        <w:pStyle w:val="ListParagraph"/>
        <w:numPr>
          <w:ilvl w:val="2"/>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Engineering &amp; Design Lead:</w:t>
      </w:r>
      <w:r w:rsidRPr="70B00F32" w:rsidR="297BA5E0">
        <w:rPr>
          <w:rFonts w:ascii="Calibri" w:hAnsi="Calibri" w:eastAsia="Calibri" w:cs="Calibri"/>
          <w:noProof w:val="0"/>
          <w:color w:val="auto"/>
          <w:sz w:val="24"/>
          <w:szCs w:val="24"/>
          <w:lang w:val="en-GB"/>
        </w:rPr>
        <w:t xml:space="preserve"> Directs structural, civil, architectural, and MEP engineering activities.</w:t>
      </w:r>
    </w:p>
    <w:p w:rsidR="297BA5E0" w:rsidP="70B00F32" w:rsidRDefault="297BA5E0" w14:paraId="14DEEFD4" w14:textId="5B0FCFB3">
      <w:pPr>
        <w:pStyle w:val="ListParagraph"/>
        <w:numPr>
          <w:ilvl w:val="2"/>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Site Operations &amp; Construction Works Lead:</w:t>
      </w:r>
      <w:r w:rsidRPr="70B00F32" w:rsidR="297BA5E0">
        <w:rPr>
          <w:rFonts w:ascii="Calibri" w:hAnsi="Calibri" w:eastAsia="Calibri" w:cs="Calibri"/>
          <w:noProof w:val="0"/>
          <w:color w:val="auto"/>
          <w:sz w:val="24"/>
          <w:szCs w:val="24"/>
          <w:lang w:val="en-GB"/>
        </w:rPr>
        <w:t xml:space="preserve"> Manages Tier 1 main contractors, site safety protocols, material logistics, and quality assurance inspections.</w:t>
      </w:r>
    </w:p>
    <w:p w:rsidR="297BA5E0" w:rsidP="70B00F32" w:rsidRDefault="297BA5E0" w14:paraId="1D11482F" w14:textId="3ACDB580">
      <w:pPr>
        <w:pStyle w:val="ListParagraph"/>
        <w:numPr>
          <w:ilvl w:val="2"/>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Digital Systems Integrator:</w:t>
      </w:r>
      <w:r w:rsidRPr="70B00F32" w:rsidR="297BA5E0">
        <w:rPr>
          <w:rFonts w:ascii="Calibri" w:hAnsi="Calibri" w:eastAsia="Calibri" w:cs="Calibri"/>
          <w:noProof w:val="0"/>
          <w:color w:val="auto"/>
          <w:sz w:val="24"/>
          <w:szCs w:val="24"/>
          <w:lang w:val="en-GB"/>
        </w:rPr>
        <w:t xml:space="preserve"> Oversees the deployment of passenger information platforms, digital wayfinding infrastructure, and freight management systems.</w:t>
      </w:r>
    </w:p>
    <w:p w:rsidR="297BA5E0" w:rsidP="70B00F32" w:rsidRDefault="297BA5E0" w14:paraId="272FB486" w14:textId="311FBD0C">
      <w:pPr>
        <w:pStyle w:val="ListParagraph"/>
        <w:numPr>
          <w:ilvl w:val="2"/>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Environmental &amp; Sustainability Officer:</w:t>
      </w:r>
      <w:r w:rsidRPr="70B00F32" w:rsidR="297BA5E0">
        <w:rPr>
          <w:rFonts w:ascii="Calibri" w:hAnsi="Calibri" w:eastAsia="Calibri" w:cs="Calibri"/>
          <w:noProof w:val="0"/>
          <w:color w:val="auto"/>
          <w:sz w:val="24"/>
          <w:szCs w:val="24"/>
          <w:lang w:val="en-GB"/>
        </w:rPr>
        <w:t xml:space="preserve"> Monitors green building material compliance, carbon accounting, and environmental mitigation protocols.</w:t>
      </w:r>
    </w:p>
    <w:p w:rsidR="297BA5E0" w:rsidP="70B00F32" w:rsidRDefault="297BA5E0" w14:paraId="0613D440" w14:textId="2B23A5C2">
      <w:pPr>
        <w:pStyle w:val="ListParagraph"/>
        <w:numPr>
          <w:ilvl w:val="2"/>
          <w:numId w:val="12"/>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Stakeholder &amp; Communications Lead:</w:t>
      </w:r>
      <w:r w:rsidRPr="70B00F32" w:rsidR="297BA5E0">
        <w:rPr>
          <w:rFonts w:ascii="Calibri" w:hAnsi="Calibri" w:eastAsia="Calibri" w:cs="Calibri"/>
          <w:noProof w:val="0"/>
          <w:color w:val="auto"/>
          <w:sz w:val="24"/>
          <w:szCs w:val="24"/>
          <w:lang w:val="en-GB"/>
        </w:rPr>
        <w:t xml:space="preserve"> Manages public outreach, liaison committees, business impact programs, and media relations.</w:t>
      </w:r>
    </w:p>
    <w:p w:rsidR="297BA5E0" w:rsidP="70B00F32" w:rsidRDefault="297BA5E0" w14:paraId="12FC1AEE" w14:textId="14CE3DA8">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Financial Resources</w:t>
      </w:r>
    </w:p>
    <w:p w:rsidR="297BA5E0" w:rsidP="70B00F32" w:rsidRDefault="297BA5E0" w14:paraId="493B4BED" w14:textId="712D6E67">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project budget is distributed strategically across key operational areas:</w:t>
      </w:r>
    </w:p>
    <w:tbl>
      <w:tblPr>
        <w:tblStyle w:val="TableNormal"/>
        <w:bidiVisual w:val="0"/>
        <w:tblW w:w="0" w:type="auto"/>
        <w:tblLook w:val="06A0" w:firstRow="1" w:lastRow="0" w:firstColumn="1" w:lastColumn="0" w:noHBand="1" w:noVBand="1"/>
      </w:tblPr>
      <w:tblGrid>
        <w:gridCol w:w="5728"/>
        <w:gridCol w:w="2682"/>
      </w:tblGrid>
      <w:tr w:rsidR="70B00F32" w:rsidTr="70B00F32" w14:paraId="0867A94C">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0053E59" w14:textId="5AE284AB">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Budget Distribution Category</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75C437A" w14:textId="13BD72F3">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Allocation Target (%)</w:t>
            </w:r>
          </w:p>
        </w:tc>
      </w:tr>
      <w:tr w:rsidR="70B00F32" w:rsidTr="70B00F32" w14:paraId="637662C2">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4F7AE635" w14:textId="11B3548F">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Main Construction &amp; Structural Works</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4711844F" w14:textId="1D79BC7C">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45%</w:t>
            </w:r>
          </w:p>
        </w:tc>
      </w:tr>
      <w:tr w:rsidR="70B00F32" w:rsidTr="70B00F32" w14:paraId="7D0C8A52">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7B3F090" w14:textId="28D43064">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Design, Engineering &amp; Statutory Approvals</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4C78928" w14:textId="37DFC215">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12%</w:t>
            </w:r>
          </w:p>
        </w:tc>
      </w:tr>
      <w:tr w:rsidR="70B00F32" w:rsidTr="70B00F32" w14:paraId="3A34C3FF">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C519516" w14:textId="4F31A644">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Temporary Multimodal Infrastructure</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025E3E7" w14:textId="61B9F531">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10%</w:t>
            </w:r>
          </w:p>
        </w:tc>
      </w:tr>
      <w:tr w:rsidR="70B00F32" w:rsidTr="70B00F32" w14:paraId="2388CF1C">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71B3857" w14:textId="5C71DF92">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Digital Systems &amp; Technology Integration</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7608E43" w14:textId="34852267">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8%</w:t>
            </w:r>
          </w:p>
        </w:tc>
      </w:tr>
      <w:tr w:rsidR="70B00F32" w:rsidTr="70B00F32" w14:paraId="32D24FE0">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6E25516" w14:textId="6FFD06BE">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PMO, Governance &amp; Site Management</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4449547" w14:textId="0A420DA2">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8%</w:t>
            </w:r>
          </w:p>
        </w:tc>
      </w:tr>
      <w:tr w:rsidR="70B00F32" w:rsidTr="70B00F32" w14:paraId="0957B235">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5655C1B" w14:textId="5CE61992">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Sustainability Infrastructure &amp; Green Features</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601B0EB" w14:textId="774DD996">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7%</w:t>
            </w:r>
          </w:p>
        </w:tc>
      </w:tr>
      <w:tr w:rsidR="70B00F32" w:rsidTr="70B00F32" w14:paraId="4688B6C1">
        <w:trPr>
          <w:trHeight w:val="300"/>
        </w:trPr>
        <w:tc>
          <w:tcPr>
            <w:tcW w:w="572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FCDDFAD" w14:textId="471EA04D">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Contingency Reserves (Risk &amp; Scope Changes)</w:t>
            </w:r>
          </w:p>
        </w:tc>
        <w:tc>
          <w:tcPr>
            <w:tcW w:w="26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144125F" w14:textId="37E612E1">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10%</w:t>
            </w:r>
          </w:p>
        </w:tc>
      </w:tr>
    </w:tbl>
    <w:p w:rsidR="297BA5E0" w:rsidP="70B00F32" w:rsidRDefault="297BA5E0" w14:paraId="6904E331" w14:textId="2F82F8E1">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Physical and Technological Resources</w:t>
      </w:r>
    </w:p>
    <w:p w:rsidR="297BA5E0" w:rsidP="70B00F32" w:rsidRDefault="297BA5E0" w14:paraId="5D1199D4" w14:textId="50A2ECC6">
      <w:pPr>
        <w:pStyle w:val="ListParagraph"/>
        <w:numPr>
          <w:ilvl w:val="0"/>
          <w:numId w:val="13"/>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Materials Management:</w:t>
      </w:r>
      <w:r w:rsidRPr="70B00F32" w:rsidR="297BA5E0">
        <w:rPr>
          <w:rFonts w:ascii="Calibri" w:hAnsi="Calibri" w:eastAsia="Calibri" w:cs="Calibri"/>
          <w:noProof w:val="0"/>
          <w:color w:val="auto"/>
          <w:sz w:val="24"/>
          <w:szCs w:val="24"/>
          <w:lang w:val="en-GB"/>
        </w:rPr>
        <w:t xml:space="preserve"> Early procurement strategies will be established for long-lead structural steel, specialized glazing, and high-capacity electrical transformers.</w:t>
      </w:r>
    </w:p>
    <w:p w:rsidR="297BA5E0" w:rsidP="70B00F32" w:rsidRDefault="297BA5E0" w14:paraId="1EEF5CC9" w14:textId="5ACFC9B6">
      <w:pPr>
        <w:pStyle w:val="ListParagraph"/>
        <w:numPr>
          <w:ilvl w:val="0"/>
          <w:numId w:val="13"/>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Site Logistics:</w:t>
      </w:r>
      <w:r w:rsidRPr="70B00F32" w:rsidR="297BA5E0">
        <w:rPr>
          <w:rFonts w:ascii="Calibri" w:hAnsi="Calibri" w:eastAsia="Calibri" w:cs="Calibri"/>
          <w:noProof w:val="0"/>
          <w:color w:val="auto"/>
          <w:sz w:val="24"/>
          <w:szCs w:val="24"/>
          <w:lang w:val="en-GB"/>
        </w:rPr>
        <w:t xml:space="preserve"> Dedicated material staging areas and off-peak delivery schedules will minimize urban traffic congestion around the central site.</w:t>
      </w:r>
    </w:p>
    <w:p w:rsidR="297BA5E0" w:rsidP="70B00F32" w:rsidRDefault="297BA5E0" w14:paraId="00D53C91" w14:textId="1CBCF20C">
      <w:pPr>
        <w:pStyle w:val="ListParagraph"/>
        <w:numPr>
          <w:ilvl w:val="0"/>
          <w:numId w:val="13"/>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Digital Tools:</w:t>
      </w:r>
      <w:r w:rsidRPr="70B00F32" w:rsidR="297BA5E0">
        <w:rPr>
          <w:rFonts w:ascii="Calibri" w:hAnsi="Calibri" w:eastAsia="Calibri" w:cs="Calibri"/>
          <w:noProof w:val="0"/>
          <w:color w:val="auto"/>
          <w:sz w:val="24"/>
          <w:szCs w:val="24"/>
          <w:lang w:val="en-GB"/>
        </w:rPr>
        <w:t xml:space="preserve"> Building Information </w:t>
      </w:r>
      <w:r w:rsidRPr="70B00F32" w:rsidR="79E95780">
        <w:rPr>
          <w:rFonts w:ascii="Calibri" w:hAnsi="Calibri" w:eastAsia="Calibri" w:cs="Calibri"/>
          <w:noProof w:val="0"/>
          <w:color w:val="auto"/>
          <w:sz w:val="24"/>
          <w:szCs w:val="24"/>
          <w:lang w:val="en-GB"/>
        </w:rPr>
        <w:t>Modelling</w:t>
      </w:r>
      <w:r w:rsidRPr="70B00F32" w:rsidR="297BA5E0">
        <w:rPr>
          <w:rFonts w:ascii="Calibri" w:hAnsi="Calibri" w:eastAsia="Calibri" w:cs="Calibri"/>
          <w:noProof w:val="0"/>
          <w:color w:val="auto"/>
          <w:sz w:val="24"/>
          <w:szCs w:val="24"/>
          <w:lang w:val="en-GB"/>
        </w:rPr>
        <w:t xml:space="preserve"> (BIM Level 2) will be used to coordinate design across disciplines and </w:t>
      </w:r>
      <w:r w:rsidRPr="70B00F32" w:rsidR="297BA5E0">
        <w:rPr>
          <w:rFonts w:ascii="Calibri" w:hAnsi="Calibri" w:eastAsia="Calibri" w:cs="Calibri"/>
          <w:noProof w:val="0"/>
          <w:color w:val="auto"/>
          <w:sz w:val="24"/>
          <w:szCs w:val="24"/>
          <w:lang w:val="en-GB"/>
        </w:rPr>
        <w:t>identify</w:t>
      </w:r>
      <w:r w:rsidRPr="70B00F32" w:rsidR="297BA5E0">
        <w:rPr>
          <w:rFonts w:ascii="Calibri" w:hAnsi="Calibri" w:eastAsia="Calibri" w:cs="Calibri"/>
          <w:noProof w:val="0"/>
          <w:color w:val="auto"/>
          <w:sz w:val="24"/>
          <w:szCs w:val="24"/>
          <w:lang w:val="en-GB"/>
        </w:rPr>
        <w:t xml:space="preserve"> physical utility clashes prior to construction.</w:t>
      </w:r>
    </w:p>
    <w:p w:rsidR="297BA5E0" w:rsidP="70B00F32" w:rsidRDefault="297BA5E0" w14:paraId="098ED01A" w14:textId="41627A6D">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Risk Analysis and Mitigation</w:t>
      </w:r>
    </w:p>
    <w:p w:rsidR="297BA5E0" w:rsidP="70B00F32" w:rsidRDefault="297BA5E0" w14:paraId="12265835" w14:textId="1C83CECD">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Operating under tight timelines to redevelop essential urban infrastructure creates exposure to operational, financial, technical, and political risks. Structured risk management involves continuous identification, qualitative assessment, mitigation planning, and regular governance reviews (Project Management Institute, 2021).</w:t>
      </w:r>
    </w:p>
    <w:p w:rsidR="297BA5E0" w:rsidP="70B00F32" w:rsidRDefault="297BA5E0" w14:paraId="00AE85DD" w14:textId="2F669859">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Risk Register</w:t>
      </w:r>
    </w:p>
    <w:tbl>
      <w:tblPr>
        <w:tblStyle w:val="TableNormal"/>
        <w:bidiVisual w:val="0"/>
        <w:tblW w:w="0" w:type="auto"/>
        <w:tblLook w:val="06A0" w:firstRow="1" w:lastRow="0" w:firstColumn="1" w:lastColumn="0" w:noHBand="1" w:noVBand="1"/>
      </w:tblPr>
      <w:tblGrid>
        <w:gridCol w:w="990"/>
        <w:gridCol w:w="2110"/>
        <w:gridCol w:w="1380"/>
        <w:gridCol w:w="1051"/>
        <w:gridCol w:w="1545"/>
        <w:gridCol w:w="2382"/>
      </w:tblGrid>
      <w:tr w:rsidR="70B00F32" w:rsidTr="70B00F32" w14:paraId="062434AB">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9AF166E" w14:textId="420CC5EA">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Risk ID</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33A9445" w14:textId="6BDEAAFC">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Risk Description</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D07BABF" w14:textId="2753C811">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Probability</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4935256D" w14:textId="2D128E56">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Impact</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46C957A5" w14:textId="1DD9FD93">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Rating</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072B036" w14:textId="3DE266A7">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Mitigation &amp; Response Strategy</w:t>
            </w:r>
          </w:p>
        </w:tc>
      </w:tr>
      <w:tr w:rsidR="70B00F32" w:rsidTr="70B00F32" w14:paraId="1A8CCE34">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AF27AE8" w14:textId="46A5853E">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R1</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459BB50D" w14:textId="5D75909E">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Unforeseen structural failures or site contamination during demolition.</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581A241" w14:textId="51EECDA0">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High</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5B11F56" w14:textId="063C315D">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High</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453A0058" w14:textId="37C929D4">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Critical</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6CDA7E0" w14:textId="60781FD2">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Conduct early intrusive surveys, establish a 10% schedule buffer, and implement real-time structural monitoring during clearance.</w:t>
            </w:r>
          </w:p>
        </w:tc>
      </w:tr>
      <w:tr w:rsidR="70B00F32" w:rsidTr="70B00F32" w14:paraId="79EECFDA">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E075D6C" w14:textId="0A9F09EE">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R2</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0D87DB5" w14:textId="506ABCEC">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Construction cost inflation and raw material price surges.</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494733E" w14:textId="1337A1A6">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Medium</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A870C62" w14:textId="7C910520">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High</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248C658" w14:textId="6F999C43">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High</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9F01775" w14:textId="23C9C512">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Use fixed-price NEC3/4 contracts, implement early material procurement, and maintain controlled contingency funds.</w:t>
            </w:r>
          </w:p>
        </w:tc>
      </w:tr>
      <w:tr w:rsidR="70B00F32" w:rsidTr="70B00F32" w14:paraId="396092A3">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1AE4EF0" w14:textId="7EAEBCB0">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R3</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7D42AD2" w14:textId="1A6E56CB">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Delays in securing statutory planning approvals.</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4097023" w14:textId="2FA4F1B0">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Medium</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DBF918B" w14:textId="39A702C6">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High</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EC1FC45" w14:textId="09965C04">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High</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FEB7464" w14:textId="029A9536">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Engage regulatory bodies early, submit advance planning packages, and utilize pre-approved design frameworks.</w:t>
            </w:r>
          </w:p>
        </w:tc>
      </w:tr>
      <w:tr w:rsidR="70B00F32" w:rsidTr="70B00F32" w14:paraId="4C014920">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19D09BA" w14:textId="68A54330">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R4</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20138DB" w14:textId="2581C35E">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Temporary multimodal transit facilities experience capacity bottlenecks.</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443F511" w14:textId="546B310C">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Medium</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234E1AA" w14:textId="206A591A">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High</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F338676" w14:textId="18B906CD">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High</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4A7C4BC" w14:textId="69064561">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Perform dynamic traffic simulations, deploy real-time PID signage, and maintain standby bus fleet reserves.</w:t>
            </w:r>
          </w:p>
        </w:tc>
      </w:tr>
      <w:tr w:rsidR="70B00F32" w:rsidTr="70B00F32" w14:paraId="22326C9B">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9D11757" w14:textId="6F28EAB5">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R5</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3F4F0E8" w14:textId="6D511533">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Material supply chain breakdowns or long delivery lead times.</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26CB599" w14:textId="144AE84B">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Medium</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1EAE692" w14:textId="6960DA4A">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High</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B0946A9" w14:textId="74FEA3C7">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High</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9E9C699" w14:textId="53619FED">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Pre-qualify secondary suppliers, source key materials regionally, and track long-lead items early.</w:t>
            </w:r>
          </w:p>
        </w:tc>
      </w:tr>
      <w:tr w:rsidR="70B00F32" w:rsidTr="70B00F32" w14:paraId="05B7FDF8">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5F72B34A" w14:textId="29D37588">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R6</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6EACB54" w14:textId="49898DB9">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Local community and business opposition due to disruption.</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82CF8D6" w14:textId="7C70FAE1">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Medium</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91B9758" w14:textId="186C8B71">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Medium</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0EA38EF" w14:textId="4B980150">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Medium</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F391CD8" w14:textId="734AE097">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Establish dedicated liaison teams, issue weekly public notices, and restrict high-noise work to daytime hours.</w:t>
            </w:r>
          </w:p>
        </w:tc>
      </w:tr>
      <w:tr w:rsidR="70B00F32" w:rsidTr="70B00F32" w14:paraId="124B01A2">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47BDB72" w14:textId="586FA066">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R7</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443BCC03" w14:textId="0C9E084A">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Systems integration failures or digital platform bugs.</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B9784CE" w14:textId="4FEDC67E">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Low</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CA92E16" w14:textId="2FF2C9E6">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Medium</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C6BFC30" w14:textId="433D78A8">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Low</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31CE56A" w14:textId="0F96D6F4">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Conduct off-site sandbox software testing and run parallel legacy testing before formal handover.</w:t>
            </w:r>
          </w:p>
        </w:tc>
      </w:tr>
      <w:tr w:rsidR="70B00F32" w:rsidTr="70B00F32" w14:paraId="10026EF7">
        <w:trPr>
          <w:trHeight w:val="300"/>
        </w:trPr>
        <w:tc>
          <w:tcPr>
            <w:tcW w:w="99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3903FE3" w14:textId="53DB351B">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R8</w:t>
            </w:r>
          </w:p>
        </w:tc>
        <w:tc>
          <w:tcPr>
            <w:tcW w:w="211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C662F47" w14:textId="5F430A3D">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On-site safety incidents or regulatory breaches.</w:t>
            </w:r>
          </w:p>
        </w:tc>
        <w:tc>
          <w:tcPr>
            <w:tcW w:w="138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8B869B2" w14:textId="4DF3D88E">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Low</w:t>
            </w:r>
          </w:p>
        </w:tc>
        <w:tc>
          <w:tcPr>
            <w:tcW w:w="1051"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18A5551" w14:textId="4AF53D41">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High</w:t>
            </w:r>
          </w:p>
        </w:tc>
        <w:tc>
          <w:tcPr>
            <w:tcW w:w="15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7DB1E9A" w14:textId="59405762">
            <w:pPr>
              <w:bidi w:val="0"/>
              <w:spacing w:before="0" w:beforeAutospacing="off" w:after="0" w:afterAutospacing="off"/>
              <w:rPr>
                <w:rFonts w:ascii="Calibri" w:hAnsi="Calibri" w:eastAsia="Calibri" w:cs="Calibri"/>
                <w:b w:val="1"/>
                <w:bCs w:val="1"/>
                <w:color w:val="auto"/>
                <w:sz w:val="20"/>
                <w:szCs w:val="20"/>
              </w:rPr>
            </w:pPr>
            <w:r w:rsidRPr="70B00F32" w:rsidR="70B00F32">
              <w:rPr>
                <w:rFonts w:ascii="Calibri" w:hAnsi="Calibri" w:eastAsia="Calibri" w:cs="Calibri"/>
                <w:b w:val="1"/>
                <w:bCs w:val="1"/>
                <w:color w:val="auto"/>
                <w:sz w:val="20"/>
                <w:szCs w:val="20"/>
              </w:rPr>
              <w:t>High</w:t>
            </w:r>
          </w:p>
        </w:tc>
        <w:tc>
          <w:tcPr>
            <w:tcW w:w="238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7DA6496" w14:textId="234CD65F">
            <w:pPr>
              <w:bidi w:val="0"/>
              <w:spacing w:before="0" w:beforeAutospacing="off" w:after="0" w:afterAutospacing="off"/>
              <w:rPr>
                <w:rFonts w:ascii="Calibri" w:hAnsi="Calibri" w:eastAsia="Calibri" w:cs="Calibri"/>
                <w:color w:val="auto"/>
                <w:sz w:val="20"/>
                <w:szCs w:val="20"/>
              </w:rPr>
            </w:pPr>
            <w:r w:rsidRPr="70B00F32" w:rsidR="70B00F32">
              <w:rPr>
                <w:rFonts w:ascii="Calibri" w:hAnsi="Calibri" w:eastAsia="Calibri" w:cs="Calibri"/>
                <w:color w:val="auto"/>
                <w:sz w:val="20"/>
                <w:szCs w:val="20"/>
              </w:rPr>
              <w:t>Enforce site-wide safety standards, conduct daily safety briefings, and execute unannounced third-party audits.</w:t>
            </w:r>
          </w:p>
        </w:tc>
      </w:tr>
    </w:tbl>
    <w:p w:rsidR="70B00F32" w:rsidP="70B00F32" w:rsidRDefault="70B00F32" w14:paraId="486DFF5D" w14:textId="2396ABCE">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p>
    <w:p w:rsidR="70B00F32" w:rsidP="70B00F32" w:rsidRDefault="70B00F32" w14:paraId="13F7B614" w14:textId="6A4B9364">
      <w:pPr>
        <w:pStyle w:val="Normal"/>
        <w:bidi w:val="0"/>
        <w:rPr>
          <w:rFonts w:ascii="Calibri" w:hAnsi="Calibri" w:eastAsia="Calibri" w:cs="Calibri"/>
          <w:noProof w:val="0"/>
          <w:lang w:val="en-GB"/>
        </w:rPr>
      </w:pPr>
    </w:p>
    <w:p w:rsidR="297BA5E0" w:rsidP="70B00F32" w:rsidRDefault="297BA5E0" w14:paraId="261344A7" w14:textId="07C87CF4">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Probability-Impact Matrix</w:t>
      </w:r>
    </w:p>
    <w:tbl>
      <w:tblPr>
        <w:tblStyle w:val="TableNormal"/>
        <w:bidiVisual w:val="0"/>
        <w:tblW w:w="0" w:type="auto"/>
        <w:tblInd w:w="-795" w:type="dxa"/>
        <w:tblLook w:val="06A0" w:firstRow="1" w:lastRow="0" w:firstColumn="1" w:lastColumn="0" w:noHBand="1" w:noVBand="1"/>
      </w:tblPr>
      <w:tblGrid>
        <w:gridCol w:w="2214"/>
        <w:gridCol w:w="1872"/>
        <w:gridCol w:w="2658"/>
        <w:gridCol w:w="4846"/>
      </w:tblGrid>
      <w:tr w:rsidR="70B00F32" w:rsidTr="70B00F32" w14:paraId="0EDECD7C">
        <w:trPr>
          <w:trHeight w:val="300"/>
        </w:trPr>
        <w:tc>
          <w:tcPr>
            <w:tcW w:w="221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359C975" w14:textId="7C5F4C38">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Probability / Impact</w:t>
            </w:r>
          </w:p>
        </w:tc>
        <w:tc>
          <w:tcPr>
            <w:tcW w:w="187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29863546" w14:textId="4CA14529">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Low Impact</w:t>
            </w:r>
          </w:p>
        </w:tc>
        <w:tc>
          <w:tcPr>
            <w:tcW w:w="265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B2A70BB" w14:textId="688C70EE">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Medium Impact</w:t>
            </w:r>
          </w:p>
        </w:tc>
        <w:tc>
          <w:tcPr>
            <w:tcW w:w="48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4DA5243" w14:textId="4556CD31">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High Impact</w:t>
            </w:r>
          </w:p>
        </w:tc>
      </w:tr>
      <w:tr w:rsidR="70B00F32" w:rsidTr="70B00F32" w14:paraId="0D5FFFC3">
        <w:trPr>
          <w:trHeight w:val="300"/>
        </w:trPr>
        <w:tc>
          <w:tcPr>
            <w:tcW w:w="221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3502AAA" w14:textId="7914A7A0">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High Probability</w:t>
            </w:r>
          </w:p>
        </w:tc>
        <w:tc>
          <w:tcPr>
            <w:tcW w:w="187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C804FA4" w14:textId="1877015A">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Moderate Risk</w:t>
            </w:r>
          </w:p>
        </w:tc>
        <w:tc>
          <w:tcPr>
            <w:tcW w:w="265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39C05E84" w14:textId="2EB39E71">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High Risk</w:t>
            </w:r>
          </w:p>
        </w:tc>
        <w:tc>
          <w:tcPr>
            <w:tcW w:w="48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BAAD48E" w14:textId="3D8336F5">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Critical Risk</w:t>
            </w:r>
          </w:p>
          <w:p w:rsidR="70B00F32" w:rsidP="70B00F32" w:rsidRDefault="70B00F32" w14:paraId="3DA93140" w14:textId="7E7596C7">
            <w:pPr>
              <w:bidi w:val="0"/>
              <w:spacing w:before="0" w:beforeAutospacing="off" w:after="0" w:afterAutospacing="off"/>
              <w:rPr>
                <w:rFonts w:ascii="Calibri" w:hAnsi="Calibri" w:eastAsia="Calibri" w:cs="Calibri"/>
                <w:color w:val="auto"/>
              </w:rPr>
            </w:pPr>
          </w:p>
          <w:p w:rsidR="70B00F32" w:rsidP="70B00F32" w:rsidRDefault="70B00F32" w14:paraId="7E6574C0" w14:textId="5A76AC25">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R1: Unforeseen Site Conditions / Demolition</w:t>
            </w:r>
          </w:p>
        </w:tc>
      </w:tr>
      <w:tr w:rsidR="70B00F32" w:rsidTr="70B00F32" w14:paraId="447F9D97">
        <w:trPr>
          <w:trHeight w:val="300"/>
        </w:trPr>
        <w:tc>
          <w:tcPr>
            <w:tcW w:w="221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8C8B2ED" w14:textId="546D926D">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Medium Probability</w:t>
            </w:r>
          </w:p>
        </w:tc>
        <w:tc>
          <w:tcPr>
            <w:tcW w:w="187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1CFAA19B" w14:textId="31C2E18C">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Low Risk</w:t>
            </w:r>
          </w:p>
        </w:tc>
        <w:tc>
          <w:tcPr>
            <w:tcW w:w="265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EEC3215" w14:textId="1960ABF3">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Moderate Risk</w:t>
            </w:r>
          </w:p>
          <w:p w:rsidR="70B00F32" w:rsidP="70B00F32" w:rsidRDefault="70B00F32" w14:paraId="6457ADF1" w14:textId="4278A6A8">
            <w:pPr>
              <w:bidi w:val="0"/>
              <w:spacing w:before="0" w:beforeAutospacing="off" w:after="0" w:afterAutospacing="off"/>
              <w:rPr>
                <w:rFonts w:ascii="Calibri" w:hAnsi="Calibri" w:eastAsia="Calibri" w:cs="Calibri"/>
                <w:color w:val="auto"/>
              </w:rPr>
            </w:pPr>
          </w:p>
          <w:p w:rsidR="70B00F32" w:rsidP="70B00F32" w:rsidRDefault="70B00F32" w14:paraId="0835D185" w14:textId="613348C8">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R6: Community Friction</w:t>
            </w:r>
          </w:p>
        </w:tc>
        <w:tc>
          <w:tcPr>
            <w:tcW w:w="48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F04A833" w14:textId="17086954">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High Risk</w:t>
            </w:r>
          </w:p>
          <w:p w:rsidR="70B00F32" w:rsidP="70B00F32" w:rsidRDefault="70B00F32" w14:paraId="5BCB5153" w14:textId="6B55DE21">
            <w:pPr>
              <w:bidi w:val="0"/>
              <w:spacing w:before="0" w:beforeAutospacing="off" w:after="0" w:afterAutospacing="off"/>
              <w:rPr>
                <w:rFonts w:ascii="Calibri" w:hAnsi="Calibri" w:eastAsia="Calibri" w:cs="Calibri"/>
                <w:color w:val="auto"/>
              </w:rPr>
            </w:pPr>
          </w:p>
          <w:p w:rsidR="70B00F32" w:rsidP="70B00F32" w:rsidRDefault="70B00F32" w14:paraId="5C39481E" w14:textId="52F223DE">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R2: Cost Inflation</w:t>
            </w:r>
          </w:p>
          <w:p w:rsidR="70B00F32" w:rsidP="70B00F32" w:rsidRDefault="70B00F32" w14:paraId="4028CAC0" w14:textId="7E181411">
            <w:pPr>
              <w:bidi w:val="0"/>
              <w:spacing w:before="0" w:beforeAutospacing="off" w:after="0" w:afterAutospacing="off"/>
              <w:rPr>
                <w:rFonts w:ascii="Calibri" w:hAnsi="Calibri" w:eastAsia="Calibri" w:cs="Calibri"/>
                <w:color w:val="auto"/>
              </w:rPr>
            </w:pPr>
          </w:p>
          <w:p w:rsidR="70B00F32" w:rsidP="70B00F32" w:rsidRDefault="70B00F32" w14:paraId="53187987" w14:textId="549516FB">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R3: Planning Delays</w:t>
            </w:r>
          </w:p>
          <w:p w:rsidR="70B00F32" w:rsidP="70B00F32" w:rsidRDefault="70B00F32" w14:paraId="6DD07827" w14:textId="18A3AF1F">
            <w:pPr>
              <w:bidi w:val="0"/>
              <w:spacing w:before="0" w:beforeAutospacing="off" w:after="0" w:afterAutospacing="off"/>
              <w:rPr>
                <w:rFonts w:ascii="Calibri" w:hAnsi="Calibri" w:eastAsia="Calibri" w:cs="Calibri"/>
                <w:color w:val="auto"/>
              </w:rPr>
            </w:pPr>
          </w:p>
          <w:p w:rsidR="70B00F32" w:rsidP="70B00F32" w:rsidRDefault="70B00F32" w14:paraId="2271AC86" w14:textId="71165B4C">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R4: Temp Transit Capacity</w:t>
            </w:r>
          </w:p>
          <w:p w:rsidR="70B00F32" w:rsidP="70B00F32" w:rsidRDefault="70B00F32" w14:paraId="66FBBD75" w14:textId="1D69CD27">
            <w:pPr>
              <w:bidi w:val="0"/>
              <w:spacing w:before="0" w:beforeAutospacing="off" w:after="0" w:afterAutospacing="off"/>
              <w:rPr>
                <w:rFonts w:ascii="Calibri" w:hAnsi="Calibri" w:eastAsia="Calibri" w:cs="Calibri"/>
                <w:color w:val="auto"/>
              </w:rPr>
            </w:pPr>
          </w:p>
          <w:p w:rsidR="70B00F32" w:rsidP="70B00F32" w:rsidRDefault="70B00F32" w14:paraId="2EA9C922" w14:textId="55282B34">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R5: Supply Chain Disruptions</w:t>
            </w:r>
          </w:p>
        </w:tc>
      </w:tr>
      <w:tr w:rsidR="70B00F32" w:rsidTr="70B00F32" w14:paraId="55CD5489">
        <w:trPr>
          <w:trHeight w:val="300"/>
        </w:trPr>
        <w:tc>
          <w:tcPr>
            <w:tcW w:w="221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6CF1EE6C" w14:textId="41783E11">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Low Probability</w:t>
            </w:r>
          </w:p>
        </w:tc>
        <w:tc>
          <w:tcPr>
            <w:tcW w:w="187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4205A3F" w14:textId="6EF70621">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Low Risk</w:t>
            </w:r>
          </w:p>
          <w:p w:rsidR="70B00F32" w:rsidP="70B00F32" w:rsidRDefault="70B00F32" w14:paraId="5C0B2727" w14:textId="1C29D5E3">
            <w:pPr>
              <w:bidi w:val="0"/>
              <w:spacing w:before="0" w:beforeAutospacing="off" w:after="0" w:afterAutospacing="off"/>
              <w:rPr>
                <w:rFonts w:ascii="Calibri" w:hAnsi="Calibri" w:eastAsia="Calibri" w:cs="Calibri"/>
                <w:color w:val="auto"/>
              </w:rPr>
            </w:pPr>
          </w:p>
          <w:p w:rsidR="70B00F32" w:rsidP="70B00F32" w:rsidRDefault="70B00F32" w14:paraId="3E5D66EF" w14:textId="752BAFA2">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R7: Digital Bugs</w:t>
            </w:r>
          </w:p>
        </w:tc>
        <w:tc>
          <w:tcPr>
            <w:tcW w:w="265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75ECF164" w14:textId="66C6154F">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Low Risk</w:t>
            </w:r>
          </w:p>
        </w:tc>
        <w:tc>
          <w:tcPr>
            <w:tcW w:w="48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0B00F32" w:rsidP="70B00F32" w:rsidRDefault="70B00F32" w14:paraId="04E86C21" w14:textId="54E19AE2">
            <w:pPr>
              <w:bidi w:val="0"/>
              <w:spacing w:before="0" w:beforeAutospacing="off" w:after="0" w:afterAutospacing="off"/>
              <w:rPr>
                <w:rFonts w:ascii="Calibri" w:hAnsi="Calibri" w:eastAsia="Calibri" w:cs="Calibri"/>
                <w:b w:val="1"/>
                <w:bCs w:val="1"/>
                <w:color w:val="auto"/>
              </w:rPr>
            </w:pPr>
            <w:r w:rsidRPr="70B00F32" w:rsidR="70B00F32">
              <w:rPr>
                <w:rFonts w:ascii="Calibri" w:hAnsi="Calibri" w:eastAsia="Calibri" w:cs="Calibri"/>
                <w:b w:val="1"/>
                <w:bCs w:val="1"/>
                <w:color w:val="auto"/>
              </w:rPr>
              <w:t>High Risk</w:t>
            </w:r>
          </w:p>
          <w:p w:rsidR="70B00F32" w:rsidP="70B00F32" w:rsidRDefault="70B00F32" w14:paraId="1B647B24" w14:textId="55369A78">
            <w:pPr>
              <w:bidi w:val="0"/>
              <w:spacing w:before="0" w:beforeAutospacing="off" w:after="0" w:afterAutospacing="off"/>
              <w:rPr>
                <w:rFonts w:ascii="Calibri" w:hAnsi="Calibri" w:eastAsia="Calibri" w:cs="Calibri"/>
                <w:color w:val="auto"/>
              </w:rPr>
            </w:pPr>
          </w:p>
          <w:p w:rsidR="70B00F32" w:rsidP="70B00F32" w:rsidRDefault="70B00F32" w14:paraId="723B54E3" w14:textId="568BF42B">
            <w:pPr>
              <w:bidi w:val="0"/>
              <w:spacing w:before="0" w:beforeAutospacing="off" w:after="0" w:afterAutospacing="off"/>
              <w:rPr>
                <w:rFonts w:ascii="Calibri" w:hAnsi="Calibri" w:eastAsia="Calibri" w:cs="Calibri"/>
                <w:color w:val="auto"/>
              </w:rPr>
            </w:pPr>
            <w:r w:rsidRPr="70B00F32" w:rsidR="70B00F32">
              <w:rPr>
                <w:rFonts w:ascii="Calibri" w:hAnsi="Calibri" w:eastAsia="Calibri" w:cs="Calibri"/>
                <w:color w:val="auto"/>
              </w:rPr>
              <w:t>• R8: On-Site Safety Incidents</w:t>
            </w:r>
          </w:p>
        </w:tc>
      </w:tr>
    </w:tbl>
    <w:p w:rsidR="297BA5E0" w:rsidP="70B00F32" w:rsidRDefault="297BA5E0" w14:paraId="562C34C8" w14:textId="6E89C557">
      <w:pPr>
        <w:pStyle w:val="Heading3"/>
        <w:bidi w:val="0"/>
        <w:spacing w:before="0" w:beforeAutospacing="off" w:after="281" w:afterAutospacing="off"/>
        <w:rPr>
          <w:rFonts w:ascii="Calibri" w:hAnsi="Calibri" w:eastAsia="Calibri" w:cs="Calibri"/>
          <w:b w:val="1"/>
          <w:bCs w:val="1"/>
          <w:noProof w:val="0"/>
          <w:color w:val="auto"/>
          <w:sz w:val="28"/>
          <w:szCs w:val="28"/>
          <w:lang w:val="en-GB"/>
        </w:rPr>
      </w:pPr>
      <w:r w:rsidRPr="70B00F32" w:rsidR="297BA5E0">
        <w:rPr>
          <w:rFonts w:ascii="Calibri" w:hAnsi="Calibri" w:eastAsia="Calibri" w:cs="Calibri"/>
          <w:b w:val="1"/>
          <w:bCs w:val="1"/>
          <w:noProof w:val="0"/>
          <w:color w:val="auto"/>
          <w:sz w:val="28"/>
          <w:szCs w:val="28"/>
          <w:lang w:val="en-GB"/>
        </w:rPr>
        <w:t>Critical Risk Analysis &amp; Strategic Trade-Offs</w:t>
      </w:r>
    </w:p>
    <w:p w:rsidR="297BA5E0" w:rsidP="70B00F32" w:rsidRDefault="297BA5E0" w14:paraId="3DE62F82" w14:textId="793CC1A7">
      <w:pPr>
        <w:pStyle w:val="ListParagraph"/>
        <w:numPr>
          <w:ilvl w:val="0"/>
          <w:numId w:val="14"/>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Critical Path Management (R1 &amp; R3):</w:t>
      </w:r>
      <w:r w:rsidRPr="70B00F32" w:rsidR="297BA5E0">
        <w:rPr>
          <w:rFonts w:ascii="Calibri" w:hAnsi="Calibri" w:eastAsia="Calibri" w:cs="Calibri"/>
          <w:noProof w:val="0"/>
          <w:color w:val="auto"/>
          <w:sz w:val="24"/>
          <w:szCs w:val="24"/>
          <w:lang w:val="en-GB"/>
        </w:rPr>
        <w:t xml:space="preserve"> Structural demolition complications and regulatory approval delays pose significant threats to the critical path. A delay in these early activities compounds across all subsequent phases. To mitigate this risk, early site investigations and advance consultations with planning authorities will be prioritized.</w:t>
      </w:r>
    </w:p>
    <w:p w:rsidR="297BA5E0" w:rsidP="70B00F32" w:rsidRDefault="297BA5E0" w14:paraId="09C2D749" w14:textId="38C7FB18">
      <w:pPr>
        <w:pStyle w:val="ListParagraph"/>
        <w:numPr>
          <w:ilvl w:val="0"/>
          <w:numId w:val="14"/>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Temporary Transit Capacity (R4):</w:t>
      </w:r>
      <w:r w:rsidRPr="70B00F32" w:rsidR="297BA5E0">
        <w:rPr>
          <w:rFonts w:ascii="Calibri" w:hAnsi="Calibri" w:eastAsia="Calibri" w:cs="Calibri"/>
          <w:noProof w:val="0"/>
          <w:color w:val="auto"/>
          <w:sz w:val="24"/>
          <w:szCs w:val="24"/>
          <w:lang w:val="en-GB"/>
        </w:rPr>
        <w:t xml:space="preserve"> Inadequate capacity at temporary transit facilities directly impacts public mobility and local commercial activity. Real-time passenger tracking and standby shuttle fleets will be deployed to respond dynamically to demand surges.</w:t>
      </w:r>
    </w:p>
    <w:p w:rsidR="297BA5E0" w:rsidP="70B00F32" w:rsidRDefault="297BA5E0" w14:paraId="7BDDD0C1" w14:textId="5106D322">
      <w:pPr>
        <w:pStyle w:val="ListParagraph"/>
        <w:numPr>
          <w:ilvl w:val="0"/>
          <w:numId w:val="14"/>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Speed vs. Quality Trade-Off:</w:t>
      </w:r>
      <w:r w:rsidRPr="70B00F32" w:rsidR="297BA5E0">
        <w:rPr>
          <w:rFonts w:ascii="Calibri" w:hAnsi="Calibri" w:eastAsia="Calibri" w:cs="Calibri"/>
          <w:noProof w:val="0"/>
          <w:color w:val="auto"/>
          <w:sz w:val="24"/>
          <w:szCs w:val="24"/>
          <w:lang w:val="en-GB"/>
        </w:rPr>
        <w:t xml:space="preserve"> Accelerating reconstruction reduces public disruption but increases the risk of design errors, procurement inflation, and quality defects. Conversely, an extended construction schedule allows for deeper design refinement but prolongs local economic losses. To balance these priorities, time-critical preliminary activities—such as survey work, long-lead procurement, and site setup—will be accelerated, while maintaining rigorous design reviews and safety inspections.</w:t>
      </w:r>
    </w:p>
    <w:p w:rsidR="297BA5E0" w:rsidP="70B00F32" w:rsidRDefault="297BA5E0" w14:paraId="46FC34CD" w14:textId="2C7CDDEE">
      <w:pPr>
        <w:pStyle w:val="ListParagraph"/>
        <w:numPr>
          <w:ilvl w:val="0"/>
          <w:numId w:val="14"/>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Phased Delivery Strategy:</w:t>
      </w:r>
      <w:r w:rsidRPr="70B00F32" w:rsidR="297BA5E0">
        <w:rPr>
          <w:rFonts w:ascii="Calibri" w:hAnsi="Calibri" w:eastAsia="Calibri" w:cs="Calibri"/>
          <w:noProof w:val="0"/>
          <w:color w:val="auto"/>
          <w:sz w:val="24"/>
          <w:szCs w:val="24"/>
          <w:lang w:val="en-GB"/>
        </w:rPr>
        <w:t xml:space="preserve"> A phased construction strategy is selected over a single-stage complete site closure. While phased construction increases staging complexity and requires dynamic traffic management, it maintains basic transport services during construction, preserving local economic continuity and public support.</w:t>
      </w:r>
    </w:p>
    <w:p w:rsidR="297BA5E0" w:rsidP="70B00F32" w:rsidRDefault="297BA5E0" w14:paraId="3A84A2FE" w14:textId="3A5A755F">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Conclusion</w:t>
      </w:r>
    </w:p>
    <w:p w:rsidR="297BA5E0" w:rsidP="70B00F32" w:rsidRDefault="297BA5E0" w14:paraId="715C1E27" w14:textId="4DEBD8F5">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The Central Transport Hub Redevelopment Project provides a comprehensive response to the infrastructure crisis caused by the facility's emergency closure. Simply establishing temporary transit options or applying digital retrofits would fail to address fundamental structural safety issues. Rebuilding the central hub while embedding temporary transit management, digital passenger networks, and sustainable infrastructure resolves immediate transit disruptions while delivering a modern, resilient asset for the city.</w:t>
      </w:r>
    </w:p>
    <w:p w:rsidR="297BA5E0" w:rsidP="70B00F32" w:rsidRDefault="297BA5E0" w14:paraId="1F2E727F" w14:textId="5E540294">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This Project Management Plan applies structured methodologies to guide execution:</w:t>
      </w:r>
    </w:p>
    <w:p w:rsidR="297BA5E0" w:rsidP="70B00F32" w:rsidRDefault="297BA5E0" w14:paraId="41A47047" w14:textId="15A569C0">
      <w:pPr>
        <w:pStyle w:val="ListParagraph"/>
        <w:numPr>
          <w:ilvl w:val="0"/>
          <w:numId w:val="15"/>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Clear Baselines:</w:t>
      </w:r>
      <w:r w:rsidRPr="70B00F32" w:rsidR="297BA5E0">
        <w:rPr>
          <w:rFonts w:ascii="Calibri" w:hAnsi="Calibri" w:eastAsia="Calibri" w:cs="Calibri"/>
          <w:noProof w:val="0"/>
          <w:color w:val="auto"/>
          <w:sz w:val="24"/>
          <w:szCs w:val="24"/>
          <w:lang w:val="en-GB"/>
        </w:rPr>
        <w:t xml:space="preserve"> SMART objectives establish explicit performance metrics, while the Work Breakdown Structure (WBS) decomposes project scope into manageable, accountable work packages.</w:t>
      </w:r>
    </w:p>
    <w:p w:rsidR="297BA5E0" w:rsidP="70B00F32" w:rsidRDefault="297BA5E0" w14:paraId="02C09329" w14:textId="56498DF6">
      <w:pPr>
        <w:pStyle w:val="ListParagraph"/>
        <w:numPr>
          <w:ilvl w:val="0"/>
          <w:numId w:val="15"/>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Strategic Visibility:</w:t>
      </w:r>
      <w:r w:rsidRPr="70B00F32" w:rsidR="297BA5E0">
        <w:rPr>
          <w:rFonts w:ascii="Calibri" w:hAnsi="Calibri" w:eastAsia="Calibri" w:cs="Calibri"/>
          <w:noProof w:val="0"/>
          <w:color w:val="auto"/>
          <w:sz w:val="24"/>
          <w:szCs w:val="24"/>
          <w:lang w:val="en-GB"/>
        </w:rPr>
        <w:t xml:space="preserve"> The Quad Chart clarifies core drivers, while the 30-month Gantt Chart establishes operational sequences and key project milestones.</w:t>
      </w:r>
    </w:p>
    <w:p w:rsidR="297BA5E0" w:rsidP="70B00F32" w:rsidRDefault="297BA5E0" w14:paraId="723C8B00" w14:textId="1EAE6D80">
      <w:pPr>
        <w:pStyle w:val="ListParagraph"/>
        <w:numPr>
          <w:ilvl w:val="0"/>
          <w:numId w:val="15"/>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Stakeholder Alignment:</w:t>
      </w:r>
      <w:r w:rsidRPr="70B00F32" w:rsidR="297BA5E0">
        <w:rPr>
          <w:rFonts w:ascii="Calibri" w:hAnsi="Calibri" w:eastAsia="Calibri" w:cs="Calibri"/>
          <w:noProof w:val="0"/>
          <w:color w:val="auto"/>
          <w:sz w:val="24"/>
          <w:szCs w:val="24"/>
          <w:lang w:val="en-GB"/>
        </w:rPr>
        <w:t xml:space="preserve"> Differentiated stakeholder engagement strategies foster collaboration across municipal authorities, transport operators, business owners, and passenger advocacy groups.</w:t>
      </w:r>
    </w:p>
    <w:p w:rsidR="297BA5E0" w:rsidP="70B00F32" w:rsidRDefault="297BA5E0" w14:paraId="623B4A65" w14:textId="1CAC7D31">
      <w:pPr>
        <w:pStyle w:val="ListParagraph"/>
        <w:numPr>
          <w:ilvl w:val="0"/>
          <w:numId w:val="15"/>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Active Risk Management:</w:t>
      </w:r>
      <w:r w:rsidRPr="70B00F32" w:rsidR="297BA5E0">
        <w:rPr>
          <w:rFonts w:ascii="Calibri" w:hAnsi="Calibri" w:eastAsia="Calibri" w:cs="Calibri"/>
          <w:noProof w:val="0"/>
          <w:color w:val="auto"/>
          <w:sz w:val="24"/>
          <w:szCs w:val="24"/>
          <w:lang w:val="en-GB"/>
        </w:rPr>
        <w:t xml:space="preserve"> Quantitative risk matrices and targeted mitigation strategies address construction, financial, and operational risks, supported by a phased delivery model that maintains public mobility.</w:t>
      </w:r>
    </w:p>
    <w:p w:rsidR="297BA5E0" w:rsidP="70B00F32" w:rsidRDefault="297BA5E0" w14:paraId="1CB802BD" w14:textId="7B880EEF">
      <w:p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noProof w:val="0"/>
          <w:color w:val="auto"/>
          <w:sz w:val="24"/>
          <w:szCs w:val="24"/>
          <w:lang w:val="en-GB"/>
        </w:rPr>
        <w:t>Successful execution relies on integrated program governance, ensuring physical reconstruction, digital systems, environmental features, and community relations operate as a unified program. By deploying these project management principles, the plan restores essential transport capacity while building an accessible, sustainable, and digitally connected hub that supports long-term regional development.</w:t>
      </w:r>
    </w:p>
    <w:p w:rsidR="297BA5E0" w:rsidP="70B00F32" w:rsidRDefault="297BA5E0" w14:paraId="278BF003" w14:textId="3875C8B9">
      <w:pPr>
        <w:pStyle w:val="Heading2"/>
        <w:bidi w:val="0"/>
        <w:spacing w:before="0" w:beforeAutospacing="off" w:after="299" w:afterAutospacing="off"/>
        <w:rPr>
          <w:rFonts w:ascii="Calibri" w:hAnsi="Calibri" w:eastAsia="Calibri" w:cs="Calibri"/>
          <w:b w:val="1"/>
          <w:bCs w:val="1"/>
          <w:noProof w:val="0"/>
          <w:color w:val="auto"/>
          <w:sz w:val="36"/>
          <w:szCs w:val="36"/>
          <w:lang w:val="en-GB"/>
        </w:rPr>
      </w:pPr>
      <w:r w:rsidRPr="70B00F32" w:rsidR="297BA5E0">
        <w:rPr>
          <w:rFonts w:ascii="Calibri" w:hAnsi="Calibri" w:eastAsia="Calibri" w:cs="Calibri"/>
          <w:b w:val="1"/>
          <w:bCs w:val="1"/>
          <w:noProof w:val="0"/>
          <w:color w:val="auto"/>
          <w:sz w:val="36"/>
          <w:szCs w:val="36"/>
          <w:lang w:val="en-GB"/>
        </w:rPr>
        <w:t>References</w:t>
      </w:r>
    </w:p>
    <w:p w:rsidR="297BA5E0" w:rsidP="70B00F32" w:rsidRDefault="297BA5E0" w14:paraId="323F709D" w14:textId="22F54257">
      <w:pPr>
        <w:pStyle w:val="ListParagraph"/>
        <w:numPr>
          <w:ilvl w:val="0"/>
          <w:numId w:val="1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Association for Project Management (APM)</w:t>
      </w:r>
      <w:r w:rsidRPr="70B00F32" w:rsidR="297BA5E0">
        <w:rPr>
          <w:rFonts w:ascii="Calibri" w:hAnsi="Calibri" w:eastAsia="Calibri" w:cs="Calibri"/>
          <w:noProof w:val="0"/>
          <w:color w:val="auto"/>
          <w:sz w:val="24"/>
          <w:szCs w:val="24"/>
          <w:lang w:val="en-GB"/>
        </w:rPr>
        <w:t xml:space="preserve"> (2019) </w:t>
      </w:r>
      <w:r w:rsidRPr="70B00F32" w:rsidR="297BA5E0">
        <w:rPr>
          <w:rFonts w:ascii="Calibri" w:hAnsi="Calibri" w:eastAsia="Calibri" w:cs="Calibri"/>
          <w:i w:val="1"/>
          <w:iCs w:val="1"/>
          <w:noProof w:val="0"/>
          <w:color w:val="auto"/>
          <w:sz w:val="24"/>
          <w:szCs w:val="24"/>
          <w:lang w:val="en-GB"/>
        </w:rPr>
        <w:t>APM Body of Knowledge</w:t>
      </w:r>
      <w:r w:rsidRPr="70B00F32" w:rsidR="297BA5E0">
        <w:rPr>
          <w:rFonts w:ascii="Calibri" w:hAnsi="Calibri" w:eastAsia="Calibri" w:cs="Calibri"/>
          <w:noProof w:val="0"/>
          <w:color w:val="auto"/>
          <w:sz w:val="24"/>
          <w:szCs w:val="24"/>
          <w:lang w:val="en-GB"/>
        </w:rPr>
        <w:t>. 7th edn. Buckinghamshire: Association for Project Management.</w:t>
      </w:r>
    </w:p>
    <w:p w:rsidR="297BA5E0" w:rsidP="70B00F32" w:rsidRDefault="297BA5E0" w14:paraId="26853B8C" w14:textId="2E042232">
      <w:pPr>
        <w:pStyle w:val="ListParagraph"/>
        <w:numPr>
          <w:ilvl w:val="0"/>
          <w:numId w:val="1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Bourne, L.</w:t>
      </w:r>
      <w:r w:rsidRPr="70B00F32" w:rsidR="297BA5E0">
        <w:rPr>
          <w:rFonts w:ascii="Calibri" w:hAnsi="Calibri" w:eastAsia="Calibri" w:cs="Calibri"/>
          <w:noProof w:val="0"/>
          <w:color w:val="auto"/>
          <w:sz w:val="24"/>
          <w:szCs w:val="24"/>
          <w:lang w:val="en-GB"/>
        </w:rPr>
        <w:t xml:space="preserve"> (2016) </w:t>
      </w:r>
      <w:r w:rsidRPr="70B00F32" w:rsidR="297BA5E0">
        <w:rPr>
          <w:rFonts w:ascii="Calibri" w:hAnsi="Calibri" w:eastAsia="Calibri" w:cs="Calibri"/>
          <w:i w:val="1"/>
          <w:iCs w:val="1"/>
          <w:noProof w:val="0"/>
          <w:color w:val="auto"/>
          <w:sz w:val="24"/>
          <w:szCs w:val="24"/>
          <w:lang w:val="en-GB"/>
        </w:rPr>
        <w:t>Stakeholder Relationship Management: A Maturity Model for Organisational Implementation</w:t>
      </w:r>
      <w:r w:rsidRPr="70B00F32" w:rsidR="297BA5E0">
        <w:rPr>
          <w:rFonts w:ascii="Calibri" w:hAnsi="Calibri" w:eastAsia="Calibri" w:cs="Calibri"/>
          <w:noProof w:val="0"/>
          <w:color w:val="auto"/>
          <w:sz w:val="24"/>
          <w:szCs w:val="24"/>
          <w:lang w:val="en-GB"/>
        </w:rPr>
        <w:t>. 2nd edn. Abingdon: Routledge.</w:t>
      </w:r>
    </w:p>
    <w:p w:rsidR="297BA5E0" w:rsidP="70B00F32" w:rsidRDefault="297BA5E0" w14:paraId="401B9F91" w14:textId="193020A4">
      <w:pPr>
        <w:pStyle w:val="ListParagraph"/>
        <w:numPr>
          <w:ilvl w:val="0"/>
          <w:numId w:val="1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Cleden, D.</w:t>
      </w:r>
      <w:r w:rsidRPr="70B00F32" w:rsidR="297BA5E0">
        <w:rPr>
          <w:rFonts w:ascii="Calibri" w:hAnsi="Calibri" w:eastAsia="Calibri" w:cs="Calibri"/>
          <w:noProof w:val="0"/>
          <w:color w:val="auto"/>
          <w:sz w:val="24"/>
          <w:szCs w:val="24"/>
          <w:lang w:val="en-GB"/>
        </w:rPr>
        <w:t xml:space="preserve"> (2017) </w:t>
      </w:r>
      <w:r w:rsidRPr="70B00F32" w:rsidR="297BA5E0">
        <w:rPr>
          <w:rFonts w:ascii="Calibri" w:hAnsi="Calibri" w:eastAsia="Calibri" w:cs="Calibri"/>
          <w:i w:val="1"/>
          <w:iCs w:val="1"/>
          <w:noProof w:val="0"/>
          <w:color w:val="auto"/>
          <w:sz w:val="24"/>
          <w:szCs w:val="24"/>
          <w:lang w:val="en-GB"/>
        </w:rPr>
        <w:t>Managing Project Uncertainty</w:t>
      </w:r>
      <w:r w:rsidRPr="70B00F32" w:rsidR="297BA5E0">
        <w:rPr>
          <w:rFonts w:ascii="Calibri" w:hAnsi="Calibri" w:eastAsia="Calibri" w:cs="Calibri"/>
          <w:noProof w:val="0"/>
          <w:color w:val="auto"/>
          <w:sz w:val="24"/>
          <w:szCs w:val="24"/>
          <w:lang w:val="en-GB"/>
        </w:rPr>
        <w:t>. 2nd edn. Abingdon: Routledge.</w:t>
      </w:r>
    </w:p>
    <w:p w:rsidR="297BA5E0" w:rsidP="70B00F32" w:rsidRDefault="297BA5E0" w14:paraId="22E56FD5" w14:textId="5BCA37A2">
      <w:pPr>
        <w:pStyle w:val="ListParagraph"/>
        <w:numPr>
          <w:ilvl w:val="0"/>
          <w:numId w:val="1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Freeman, R.E.</w:t>
      </w:r>
      <w:r w:rsidRPr="70B00F32" w:rsidR="297BA5E0">
        <w:rPr>
          <w:rFonts w:ascii="Calibri" w:hAnsi="Calibri" w:eastAsia="Calibri" w:cs="Calibri"/>
          <w:noProof w:val="0"/>
          <w:color w:val="auto"/>
          <w:sz w:val="24"/>
          <w:szCs w:val="24"/>
          <w:lang w:val="en-GB"/>
        </w:rPr>
        <w:t xml:space="preserve"> (1984) </w:t>
      </w:r>
      <w:r w:rsidRPr="70B00F32" w:rsidR="297BA5E0">
        <w:rPr>
          <w:rFonts w:ascii="Calibri" w:hAnsi="Calibri" w:eastAsia="Calibri" w:cs="Calibri"/>
          <w:i w:val="1"/>
          <w:iCs w:val="1"/>
          <w:noProof w:val="0"/>
          <w:color w:val="auto"/>
          <w:sz w:val="24"/>
          <w:szCs w:val="24"/>
          <w:lang w:val="en-GB"/>
        </w:rPr>
        <w:t>Strategic Management: A Stakeholder Approach</w:t>
      </w:r>
      <w:r w:rsidRPr="70B00F32" w:rsidR="297BA5E0">
        <w:rPr>
          <w:rFonts w:ascii="Calibri" w:hAnsi="Calibri" w:eastAsia="Calibri" w:cs="Calibri"/>
          <w:noProof w:val="0"/>
          <w:color w:val="auto"/>
          <w:sz w:val="24"/>
          <w:szCs w:val="24"/>
          <w:lang w:val="en-GB"/>
        </w:rPr>
        <w:t>. Boston: Pitman.</w:t>
      </w:r>
    </w:p>
    <w:p w:rsidR="297BA5E0" w:rsidP="70B00F32" w:rsidRDefault="297BA5E0" w14:paraId="444FBBBB" w14:textId="59BEFAA0">
      <w:pPr>
        <w:pStyle w:val="ListParagraph"/>
        <w:numPr>
          <w:ilvl w:val="0"/>
          <w:numId w:val="1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Kerzner, H.</w:t>
      </w:r>
      <w:r w:rsidRPr="70B00F32" w:rsidR="297BA5E0">
        <w:rPr>
          <w:rFonts w:ascii="Calibri" w:hAnsi="Calibri" w:eastAsia="Calibri" w:cs="Calibri"/>
          <w:noProof w:val="0"/>
          <w:color w:val="auto"/>
          <w:sz w:val="24"/>
          <w:szCs w:val="24"/>
          <w:lang w:val="en-GB"/>
        </w:rPr>
        <w:t xml:space="preserve"> (2022) </w:t>
      </w:r>
      <w:r w:rsidRPr="70B00F32" w:rsidR="297BA5E0">
        <w:rPr>
          <w:rFonts w:ascii="Calibri" w:hAnsi="Calibri" w:eastAsia="Calibri" w:cs="Calibri"/>
          <w:i w:val="1"/>
          <w:iCs w:val="1"/>
          <w:noProof w:val="0"/>
          <w:color w:val="auto"/>
          <w:sz w:val="24"/>
          <w:szCs w:val="24"/>
          <w:lang w:val="en-GB"/>
        </w:rPr>
        <w:t>Project Management: A Systems Approach to Planning, Scheduling, and Controlling</w:t>
      </w:r>
      <w:r w:rsidRPr="70B00F32" w:rsidR="297BA5E0">
        <w:rPr>
          <w:rFonts w:ascii="Calibri" w:hAnsi="Calibri" w:eastAsia="Calibri" w:cs="Calibri"/>
          <w:noProof w:val="0"/>
          <w:color w:val="auto"/>
          <w:sz w:val="24"/>
          <w:szCs w:val="24"/>
          <w:lang w:val="en-GB"/>
        </w:rPr>
        <w:t>. 13th edn. Hoboken, NJ: Wiley.</w:t>
      </w:r>
    </w:p>
    <w:p w:rsidR="297BA5E0" w:rsidP="70B00F32" w:rsidRDefault="297BA5E0" w14:paraId="0CB853A0" w14:textId="0A6A3A71">
      <w:pPr>
        <w:pStyle w:val="ListParagraph"/>
        <w:numPr>
          <w:ilvl w:val="0"/>
          <w:numId w:val="1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Meredith, J.R., Shafer, S.M. and Mantel, S.J.</w:t>
      </w:r>
      <w:r w:rsidRPr="70B00F32" w:rsidR="297BA5E0">
        <w:rPr>
          <w:rFonts w:ascii="Calibri" w:hAnsi="Calibri" w:eastAsia="Calibri" w:cs="Calibri"/>
          <w:noProof w:val="0"/>
          <w:color w:val="auto"/>
          <w:sz w:val="24"/>
          <w:szCs w:val="24"/>
          <w:lang w:val="en-GB"/>
        </w:rPr>
        <w:t xml:space="preserve"> (2017) </w:t>
      </w:r>
      <w:r w:rsidRPr="70B00F32" w:rsidR="297BA5E0">
        <w:rPr>
          <w:rFonts w:ascii="Calibri" w:hAnsi="Calibri" w:eastAsia="Calibri" w:cs="Calibri"/>
          <w:i w:val="1"/>
          <w:iCs w:val="1"/>
          <w:noProof w:val="0"/>
          <w:color w:val="auto"/>
          <w:sz w:val="24"/>
          <w:szCs w:val="24"/>
          <w:lang w:val="en-GB"/>
        </w:rPr>
        <w:t>Project Management: A Strategic Managerial Approach</w:t>
      </w:r>
      <w:r w:rsidRPr="70B00F32" w:rsidR="297BA5E0">
        <w:rPr>
          <w:rFonts w:ascii="Calibri" w:hAnsi="Calibri" w:eastAsia="Calibri" w:cs="Calibri"/>
          <w:noProof w:val="0"/>
          <w:color w:val="auto"/>
          <w:sz w:val="24"/>
          <w:szCs w:val="24"/>
          <w:lang w:val="en-GB"/>
        </w:rPr>
        <w:t>. 10th edn. Hoboken, NJ: Wiley.</w:t>
      </w:r>
    </w:p>
    <w:p w:rsidR="297BA5E0" w:rsidP="70B00F32" w:rsidRDefault="297BA5E0" w14:paraId="1D1F73B5" w14:textId="5FE7F7B8">
      <w:pPr>
        <w:pStyle w:val="ListParagraph"/>
        <w:numPr>
          <w:ilvl w:val="0"/>
          <w:numId w:val="16"/>
        </w:numPr>
        <w:bidi w:val="0"/>
        <w:spacing w:before="0" w:beforeAutospacing="off" w:after="240" w:afterAutospacing="off"/>
        <w:rPr>
          <w:rFonts w:ascii="Calibri" w:hAnsi="Calibri" w:eastAsia="Calibri" w:cs="Calibri"/>
          <w:noProof w:val="0"/>
          <w:color w:val="auto"/>
          <w:sz w:val="24"/>
          <w:szCs w:val="24"/>
          <w:lang w:val="en-GB"/>
        </w:rPr>
      </w:pPr>
      <w:r w:rsidRPr="70B00F32" w:rsidR="297BA5E0">
        <w:rPr>
          <w:rFonts w:ascii="Calibri" w:hAnsi="Calibri" w:eastAsia="Calibri" w:cs="Calibri"/>
          <w:b w:val="1"/>
          <w:bCs w:val="1"/>
          <w:noProof w:val="0"/>
          <w:color w:val="auto"/>
          <w:sz w:val="24"/>
          <w:szCs w:val="24"/>
          <w:lang w:val="en-GB"/>
        </w:rPr>
        <w:t>Müller, R. and Turner, R.</w:t>
      </w:r>
      <w:r w:rsidRPr="70B00F32" w:rsidR="297BA5E0">
        <w:rPr>
          <w:rFonts w:ascii="Calibri" w:hAnsi="Calibri" w:eastAsia="Calibri" w:cs="Calibri"/>
          <w:noProof w:val="0"/>
          <w:color w:val="auto"/>
          <w:sz w:val="24"/>
          <w:szCs w:val="24"/>
          <w:lang w:val="en-GB"/>
        </w:rPr>
        <w:t xml:space="preserve"> (2010) ‘Leadership competency profiles of successful project managers’, </w:t>
      </w:r>
      <w:r w:rsidRPr="70B00F32" w:rsidR="297BA5E0">
        <w:rPr>
          <w:rFonts w:ascii="Calibri" w:hAnsi="Calibri" w:eastAsia="Calibri" w:cs="Calibri"/>
          <w:i w:val="1"/>
          <w:iCs w:val="1"/>
          <w:noProof w:val="0"/>
          <w:color w:val="auto"/>
          <w:sz w:val="24"/>
          <w:szCs w:val="24"/>
          <w:lang w:val="en-GB"/>
        </w:rPr>
        <w:t>International Journal of Project Management</w:t>
      </w:r>
      <w:r w:rsidRPr="70B00F32" w:rsidR="297BA5E0">
        <w:rPr>
          <w:rFonts w:ascii="Calibri" w:hAnsi="Calibri" w:eastAsia="Calibri" w:cs="Calibri"/>
          <w:noProof w:val="0"/>
          <w:color w:val="auto"/>
          <w:sz w:val="24"/>
          <w:szCs w:val="24"/>
          <w:lang w:val="en-GB"/>
        </w:rPr>
        <w:t>, 28(5), pp. 437–448.</w:t>
      </w:r>
    </w:p>
    <w:p w:rsidR="297BA5E0" w:rsidP="70B00F32" w:rsidRDefault="297BA5E0" w14:paraId="2E0F2364" w14:textId="1CB9B6CA">
      <w:pPr>
        <w:pStyle w:val="ListParagraph"/>
        <w:numPr>
          <w:ilvl w:val="0"/>
          <w:numId w:val="16"/>
        </w:numPr>
        <w:bidi w:val="0"/>
        <w:spacing w:before="0" w:beforeAutospacing="off" w:after="240" w:afterAutospacing="off"/>
        <w:rPr>
          <w:rFonts w:ascii="sans-serif" w:hAnsi="sans-serif" w:eastAsia="sans-serif" w:cs="sans-serif"/>
          <w:noProof w:val="0"/>
          <w:color w:val="auto"/>
          <w:sz w:val="24"/>
          <w:szCs w:val="24"/>
          <w:lang w:val="en-GB"/>
        </w:rPr>
      </w:pPr>
      <w:r w:rsidRPr="70B00F32" w:rsidR="297BA5E0">
        <w:rPr>
          <w:rFonts w:ascii="sans-serif" w:hAnsi="sans-serif" w:eastAsia="sans-serif" w:cs="sans-serif"/>
          <w:b w:val="1"/>
          <w:bCs w:val="1"/>
          <w:noProof w:val="0"/>
          <w:color w:val="auto"/>
          <w:sz w:val="24"/>
          <w:szCs w:val="24"/>
          <w:lang w:val="en-GB"/>
        </w:rPr>
        <w:t>Nicholas, J.M. and Steyn, H.</w:t>
      </w:r>
      <w:r w:rsidRPr="70B00F32" w:rsidR="297BA5E0">
        <w:rPr>
          <w:rFonts w:ascii="sans-serif" w:hAnsi="sans-serif" w:eastAsia="sans-serif" w:cs="sans-serif"/>
          <w:noProof w:val="0"/>
          <w:color w:val="auto"/>
          <w:sz w:val="24"/>
          <w:szCs w:val="24"/>
          <w:lang w:val="en-GB"/>
        </w:rPr>
        <w:t xml:space="preserve"> (2020) </w:t>
      </w:r>
      <w:r w:rsidRPr="70B00F32" w:rsidR="297BA5E0">
        <w:rPr>
          <w:rFonts w:ascii="sans-serif" w:hAnsi="sans-serif" w:eastAsia="sans-serif" w:cs="sans-serif"/>
          <w:i w:val="1"/>
          <w:iCs w:val="1"/>
          <w:noProof w:val="0"/>
          <w:color w:val="auto"/>
          <w:sz w:val="24"/>
          <w:szCs w:val="24"/>
          <w:lang w:val="en-GB"/>
        </w:rPr>
        <w:t>Project Management for Engineering, Business and Technology</w:t>
      </w:r>
      <w:r w:rsidRPr="70B00F32" w:rsidR="297BA5E0">
        <w:rPr>
          <w:rFonts w:ascii="sans-serif" w:hAnsi="sans-serif" w:eastAsia="sans-serif" w:cs="sans-serif"/>
          <w:noProof w:val="0"/>
          <w:color w:val="auto"/>
          <w:sz w:val="24"/>
          <w:szCs w:val="24"/>
          <w:lang w:val="en-GB"/>
        </w:rPr>
        <w:t>. 6th edn. Abingdon: Routledge.</w:t>
      </w:r>
    </w:p>
    <w:p w:rsidR="297BA5E0" w:rsidP="70B00F32" w:rsidRDefault="297BA5E0" w14:paraId="737E9FFE" w14:textId="56612B4C">
      <w:pPr>
        <w:pStyle w:val="ListParagraph"/>
        <w:numPr>
          <w:ilvl w:val="0"/>
          <w:numId w:val="16"/>
        </w:numPr>
        <w:bidi w:val="0"/>
        <w:spacing w:before="0" w:beforeAutospacing="off" w:after="240" w:afterAutospacing="off"/>
        <w:rPr>
          <w:rFonts w:ascii="sans-serif" w:hAnsi="sans-serif" w:eastAsia="sans-serif" w:cs="sans-serif"/>
          <w:noProof w:val="0"/>
          <w:color w:val="auto"/>
          <w:sz w:val="24"/>
          <w:szCs w:val="24"/>
          <w:lang w:val="en-GB"/>
        </w:rPr>
      </w:pPr>
      <w:r w:rsidRPr="70B00F32" w:rsidR="297BA5E0">
        <w:rPr>
          <w:rFonts w:ascii="sans-serif" w:hAnsi="sans-serif" w:eastAsia="sans-serif" w:cs="sans-serif"/>
          <w:b w:val="1"/>
          <w:bCs w:val="1"/>
          <w:noProof w:val="0"/>
          <w:color w:val="auto"/>
          <w:sz w:val="24"/>
          <w:szCs w:val="24"/>
          <w:lang w:val="en-GB"/>
        </w:rPr>
        <w:t>Pinto, J.K.</w:t>
      </w:r>
      <w:r w:rsidRPr="70B00F32" w:rsidR="297BA5E0">
        <w:rPr>
          <w:rFonts w:ascii="sans-serif" w:hAnsi="sans-serif" w:eastAsia="sans-serif" w:cs="sans-serif"/>
          <w:noProof w:val="0"/>
          <w:color w:val="auto"/>
          <w:sz w:val="24"/>
          <w:szCs w:val="24"/>
          <w:lang w:val="en-GB"/>
        </w:rPr>
        <w:t xml:space="preserve"> (2019) </w:t>
      </w:r>
      <w:r w:rsidRPr="70B00F32" w:rsidR="297BA5E0">
        <w:rPr>
          <w:rFonts w:ascii="sans-serif" w:hAnsi="sans-serif" w:eastAsia="sans-serif" w:cs="sans-serif"/>
          <w:i w:val="1"/>
          <w:iCs w:val="1"/>
          <w:noProof w:val="0"/>
          <w:color w:val="auto"/>
          <w:sz w:val="24"/>
          <w:szCs w:val="24"/>
          <w:lang w:val="en-GB"/>
        </w:rPr>
        <w:t>Project Management: Achieving Competitive Advantage</w:t>
      </w:r>
      <w:r w:rsidRPr="70B00F32" w:rsidR="297BA5E0">
        <w:rPr>
          <w:rFonts w:ascii="sans-serif" w:hAnsi="sans-serif" w:eastAsia="sans-serif" w:cs="sans-serif"/>
          <w:noProof w:val="0"/>
          <w:color w:val="auto"/>
          <w:sz w:val="24"/>
          <w:szCs w:val="24"/>
          <w:lang w:val="en-GB"/>
        </w:rPr>
        <w:t>. 5th edn. Harlow: Pearson.</w:t>
      </w:r>
    </w:p>
    <w:p w:rsidR="297BA5E0" w:rsidP="70B00F32" w:rsidRDefault="297BA5E0" w14:paraId="07D8236A" w14:textId="5B97BF99">
      <w:pPr>
        <w:pStyle w:val="ListParagraph"/>
        <w:numPr>
          <w:ilvl w:val="0"/>
          <w:numId w:val="16"/>
        </w:numPr>
        <w:bidi w:val="0"/>
        <w:spacing w:before="0" w:beforeAutospacing="off" w:after="240" w:afterAutospacing="off"/>
        <w:rPr>
          <w:rFonts w:ascii="sans-serif" w:hAnsi="sans-serif" w:eastAsia="sans-serif" w:cs="sans-serif"/>
          <w:noProof w:val="0"/>
          <w:color w:val="auto"/>
          <w:sz w:val="24"/>
          <w:szCs w:val="24"/>
          <w:lang w:val="en-GB"/>
        </w:rPr>
      </w:pPr>
      <w:r w:rsidRPr="70B00F32" w:rsidR="297BA5E0">
        <w:rPr>
          <w:rFonts w:ascii="sans-serif" w:hAnsi="sans-serif" w:eastAsia="sans-serif" w:cs="sans-serif"/>
          <w:b w:val="1"/>
          <w:bCs w:val="1"/>
          <w:noProof w:val="0"/>
          <w:color w:val="auto"/>
          <w:sz w:val="24"/>
          <w:szCs w:val="24"/>
          <w:lang w:val="en-GB"/>
        </w:rPr>
        <w:t>Project Management Institute</w:t>
      </w:r>
      <w:r w:rsidRPr="70B00F32" w:rsidR="297BA5E0">
        <w:rPr>
          <w:rFonts w:ascii="sans-serif" w:hAnsi="sans-serif" w:eastAsia="sans-serif" w:cs="sans-serif"/>
          <w:noProof w:val="0"/>
          <w:color w:val="auto"/>
          <w:sz w:val="24"/>
          <w:szCs w:val="24"/>
          <w:lang w:val="en-GB"/>
        </w:rPr>
        <w:t xml:space="preserve"> (2021) </w:t>
      </w:r>
      <w:r w:rsidRPr="70B00F32" w:rsidR="297BA5E0">
        <w:rPr>
          <w:rFonts w:ascii="sans-serif" w:hAnsi="sans-serif" w:eastAsia="sans-serif" w:cs="sans-serif"/>
          <w:i w:val="1"/>
          <w:iCs w:val="1"/>
          <w:noProof w:val="0"/>
          <w:color w:val="auto"/>
          <w:sz w:val="24"/>
          <w:szCs w:val="24"/>
          <w:lang w:val="en-GB"/>
        </w:rPr>
        <w:t>A Guide to the Project Management Body of Knowledge (PMBOK Guide)</w:t>
      </w:r>
      <w:r w:rsidRPr="70B00F32" w:rsidR="297BA5E0">
        <w:rPr>
          <w:rFonts w:ascii="sans-serif" w:hAnsi="sans-serif" w:eastAsia="sans-serif" w:cs="sans-serif"/>
          <w:noProof w:val="0"/>
          <w:color w:val="auto"/>
          <w:sz w:val="24"/>
          <w:szCs w:val="24"/>
          <w:lang w:val="en-GB"/>
        </w:rPr>
        <w:t>. 7th edn. Newtown Square, PA: Project Management Institute.</w:t>
      </w:r>
    </w:p>
    <w:p w:rsidR="297BA5E0" w:rsidP="70B00F32" w:rsidRDefault="297BA5E0" w14:paraId="59D6F316" w14:textId="4A41D2F8">
      <w:pPr>
        <w:pStyle w:val="ListParagraph"/>
        <w:numPr>
          <w:ilvl w:val="0"/>
          <w:numId w:val="16"/>
        </w:numPr>
        <w:bidi w:val="0"/>
        <w:spacing w:before="0" w:beforeAutospacing="off" w:after="240" w:afterAutospacing="off"/>
        <w:rPr>
          <w:rFonts w:ascii="sans-serif" w:hAnsi="sans-serif" w:eastAsia="sans-serif" w:cs="sans-serif"/>
          <w:noProof w:val="0"/>
          <w:color w:val="auto"/>
          <w:sz w:val="24"/>
          <w:szCs w:val="24"/>
          <w:lang w:val="en-GB"/>
        </w:rPr>
      </w:pPr>
      <w:r w:rsidRPr="70B00F32" w:rsidR="297BA5E0">
        <w:rPr>
          <w:rFonts w:ascii="sans-serif" w:hAnsi="sans-serif" w:eastAsia="sans-serif" w:cs="sans-serif"/>
          <w:b w:val="1"/>
          <w:bCs w:val="1"/>
          <w:noProof w:val="0"/>
          <w:color w:val="auto"/>
          <w:sz w:val="24"/>
          <w:szCs w:val="24"/>
          <w:lang w:val="en-GB"/>
        </w:rPr>
        <w:t>Too, E.G. and Weaver, P.</w:t>
      </w:r>
      <w:r w:rsidRPr="70B00F32" w:rsidR="297BA5E0">
        <w:rPr>
          <w:rFonts w:ascii="sans-serif" w:hAnsi="sans-serif" w:eastAsia="sans-serif" w:cs="sans-serif"/>
          <w:noProof w:val="0"/>
          <w:color w:val="auto"/>
          <w:sz w:val="24"/>
          <w:szCs w:val="24"/>
          <w:lang w:val="en-GB"/>
        </w:rPr>
        <w:t xml:space="preserve"> (2014) ‘The management of project management: A conceptual framework for project governance’, </w:t>
      </w:r>
      <w:r w:rsidRPr="70B00F32" w:rsidR="297BA5E0">
        <w:rPr>
          <w:rFonts w:ascii="sans-serif" w:hAnsi="sans-serif" w:eastAsia="sans-serif" w:cs="sans-serif"/>
          <w:i w:val="1"/>
          <w:iCs w:val="1"/>
          <w:noProof w:val="0"/>
          <w:color w:val="auto"/>
          <w:sz w:val="24"/>
          <w:szCs w:val="24"/>
          <w:lang w:val="en-GB"/>
        </w:rPr>
        <w:t>International Journal of Project Management</w:t>
      </w:r>
      <w:r w:rsidRPr="70B00F32" w:rsidR="297BA5E0">
        <w:rPr>
          <w:rFonts w:ascii="sans-serif" w:hAnsi="sans-serif" w:eastAsia="sans-serif" w:cs="sans-serif"/>
          <w:noProof w:val="0"/>
          <w:color w:val="auto"/>
          <w:sz w:val="24"/>
          <w:szCs w:val="24"/>
          <w:lang w:val="en-GB"/>
        </w:rPr>
        <w:t>, 32(8), pp. 1382–1394.</w:t>
      </w:r>
    </w:p>
    <w:p w:rsidR="297BA5E0" w:rsidP="70B00F32" w:rsidRDefault="297BA5E0" w14:paraId="4E243C66" w14:textId="3C09FC37">
      <w:pPr>
        <w:pStyle w:val="ListParagraph"/>
        <w:numPr>
          <w:ilvl w:val="0"/>
          <w:numId w:val="16"/>
        </w:numPr>
        <w:bidi w:val="0"/>
        <w:spacing w:before="0" w:beforeAutospacing="off" w:after="240" w:afterAutospacing="off"/>
        <w:rPr>
          <w:rFonts w:ascii="sans-serif" w:hAnsi="sans-serif" w:eastAsia="sans-serif" w:cs="sans-serif"/>
          <w:noProof w:val="0"/>
          <w:color w:val="auto"/>
          <w:sz w:val="24"/>
          <w:szCs w:val="24"/>
          <w:lang w:val="en-GB"/>
        </w:rPr>
      </w:pPr>
      <w:r w:rsidRPr="70B00F32" w:rsidR="297BA5E0">
        <w:rPr>
          <w:rFonts w:ascii="sans-serif" w:hAnsi="sans-serif" w:eastAsia="sans-serif" w:cs="sans-serif"/>
          <w:b w:val="1"/>
          <w:bCs w:val="1"/>
          <w:noProof w:val="0"/>
          <w:color w:val="auto"/>
          <w:sz w:val="24"/>
          <w:szCs w:val="24"/>
          <w:lang w:val="en-GB"/>
        </w:rPr>
        <w:t>Turner, J.R.</w:t>
      </w:r>
      <w:r w:rsidRPr="70B00F32" w:rsidR="297BA5E0">
        <w:rPr>
          <w:rFonts w:ascii="sans-serif" w:hAnsi="sans-serif" w:eastAsia="sans-serif" w:cs="sans-serif"/>
          <w:noProof w:val="0"/>
          <w:color w:val="auto"/>
          <w:sz w:val="24"/>
          <w:szCs w:val="24"/>
          <w:lang w:val="en-GB"/>
        </w:rPr>
        <w:t xml:space="preserve"> (2014) </w:t>
      </w:r>
      <w:r w:rsidRPr="70B00F32" w:rsidR="297BA5E0">
        <w:rPr>
          <w:rFonts w:ascii="sans-serif" w:hAnsi="sans-serif" w:eastAsia="sans-serif" w:cs="sans-serif"/>
          <w:i w:val="1"/>
          <w:iCs w:val="1"/>
          <w:noProof w:val="0"/>
          <w:color w:val="auto"/>
          <w:sz w:val="24"/>
          <w:szCs w:val="24"/>
          <w:lang w:val="en-GB"/>
        </w:rPr>
        <w:t>The Handbook of Project-Based Management</w:t>
      </w:r>
      <w:r w:rsidRPr="70B00F32" w:rsidR="297BA5E0">
        <w:rPr>
          <w:rFonts w:ascii="sans-serif" w:hAnsi="sans-serif" w:eastAsia="sans-serif" w:cs="sans-serif"/>
          <w:noProof w:val="0"/>
          <w:color w:val="auto"/>
          <w:sz w:val="24"/>
          <w:szCs w:val="24"/>
          <w:lang w:val="en-GB"/>
        </w:rPr>
        <w:t>. 4th edn. New York: McGraw-Hill.</w:t>
      </w:r>
    </w:p>
    <w:p w:rsidR="297BA5E0" w:rsidP="70B00F32" w:rsidRDefault="297BA5E0" w14:paraId="1139BD58" w14:textId="37533543">
      <w:pPr>
        <w:pStyle w:val="ListParagraph"/>
        <w:numPr>
          <w:ilvl w:val="0"/>
          <w:numId w:val="16"/>
        </w:numPr>
        <w:bidi w:val="0"/>
        <w:spacing w:before="0" w:beforeAutospacing="off" w:after="240" w:afterAutospacing="off"/>
        <w:rPr>
          <w:rFonts w:ascii="sans-serif" w:hAnsi="sans-serif" w:eastAsia="sans-serif" w:cs="sans-serif"/>
          <w:noProof w:val="0"/>
          <w:color w:val="auto"/>
          <w:sz w:val="24"/>
          <w:szCs w:val="24"/>
          <w:lang w:val="en-GB"/>
        </w:rPr>
      </w:pPr>
      <w:r w:rsidRPr="70B00F32" w:rsidR="297BA5E0">
        <w:rPr>
          <w:rFonts w:ascii="sans-serif" w:hAnsi="sans-serif" w:eastAsia="sans-serif" w:cs="sans-serif"/>
          <w:b w:val="1"/>
          <w:bCs w:val="1"/>
          <w:noProof w:val="0"/>
          <w:color w:val="auto"/>
          <w:sz w:val="24"/>
          <w:szCs w:val="24"/>
          <w:lang w:val="en-GB"/>
        </w:rPr>
        <w:t>Winch, G.M.</w:t>
      </w:r>
      <w:r w:rsidRPr="70B00F32" w:rsidR="297BA5E0">
        <w:rPr>
          <w:rFonts w:ascii="sans-serif" w:hAnsi="sans-serif" w:eastAsia="sans-serif" w:cs="sans-serif"/>
          <w:noProof w:val="0"/>
          <w:color w:val="auto"/>
          <w:sz w:val="24"/>
          <w:szCs w:val="24"/>
          <w:lang w:val="en-GB"/>
        </w:rPr>
        <w:t xml:space="preserve"> (2010) </w:t>
      </w:r>
      <w:r w:rsidRPr="70B00F32" w:rsidR="297BA5E0">
        <w:rPr>
          <w:rFonts w:ascii="sans-serif" w:hAnsi="sans-serif" w:eastAsia="sans-serif" w:cs="sans-serif"/>
          <w:i w:val="1"/>
          <w:iCs w:val="1"/>
          <w:noProof w:val="0"/>
          <w:color w:val="auto"/>
          <w:sz w:val="24"/>
          <w:szCs w:val="24"/>
          <w:lang w:val="en-GB"/>
        </w:rPr>
        <w:t>Managing Construction Projects</w:t>
      </w:r>
      <w:r w:rsidRPr="70B00F32" w:rsidR="297BA5E0">
        <w:rPr>
          <w:rFonts w:ascii="sans-serif" w:hAnsi="sans-serif" w:eastAsia="sans-serif" w:cs="sans-serif"/>
          <w:noProof w:val="0"/>
          <w:color w:val="auto"/>
          <w:sz w:val="24"/>
          <w:szCs w:val="24"/>
          <w:lang w:val="en-GB"/>
        </w:rPr>
        <w:t>. 2nd edn. Chichester: Wiley-Blackwell.</w:t>
      </w:r>
    </w:p>
    <w:p w:rsidR="297BA5E0" w:rsidP="70B00F32" w:rsidRDefault="297BA5E0" w14:paraId="509C565A" w14:textId="6F546AA7">
      <w:pPr>
        <w:pStyle w:val="ListParagraph"/>
        <w:numPr>
          <w:ilvl w:val="0"/>
          <w:numId w:val="16"/>
        </w:numPr>
        <w:bidi w:val="0"/>
        <w:spacing w:before="0" w:beforeAutospacing="off" w:after="240" w:afterAutospacing="off"/>
        <w:rPr>
          <w:rFonts w:ascii="sans-serif" w:hAnsi="sans-serif" w:eastAsia="sans-serif" w:cs="sans-serif"/>
          <w:noProof w:val="0"/>
          <w:color w:val="auto"/>
          <w:sz w:val="24"/>
          <w:szCs w:val="24"/>
          <w:lang w:val="en-GB"/>
        </w:rPr>
      </w:pPr>
      <w:r w:rsidRPr="70B00F32" w:rsidR="297BA5E0">
        <w:rPr>
          <w:rFonts w:ascii="sans-serif" w:hAnsi="sans-serif" w:eastAsia="sans-serif" w:cs="sans-serif"/>
          <w:b w:val="1"/>
          <w:bCs w:val="1"/>
          <w:noProof w:val="0"/>
          <w:color w:val="auto"/>
          <w:sz w:val="24"/>
          <w:szCs w:val="24"/>
          <w:lang w:val="en-GB"/>
        </w:rPr>
        <w:t>Zwikael, O. and Smyrk, J.</w:t>
      </w:r>
      <w:r w:rsidRPr="70B00F32" w:rsidR="297BA5E0">
        <w:rPr>
          <w:rFonts w:ascii="sans-serif" w:hAnsi="sans-serif" w:eastAsia="sans-serif" w:cs="sans-serif"/>
          <w:noProof w:val="0"/>
          <w:color w:val="auto"/>
          <w:sz w:val="24"/>
          <w:szCs w:val="24"/>
          <w:lang w:val="en-GB"/>
        </w:rPr>
        <w:t xml:space="preserve"> (2012) </w:t>
      </w:r>
      <w:r w:rsidRPr="70B00F32" w:rsidR="297BA5E0">
        <w:rPr>
          <w:rFonts w:ascii="sans-serif" w:hAnsi="sans-serif" w:eastAsia="sans-serif" w:cs="sans-serif"/>
          <w:i w:val="1"/>
          <w:iCs w:val="1"/>
          <w:noProof w:val="0"/>
          <w:color w:val="auto"/>
          <w:sz w:val="24"/>
          <w:szCs w:val="24"/>
          <w:lang w:val="en-GB"/>
        </w:rPr>
        <w:t>Project Management for the Creation of Organisational Value</w:t>
      </w:r>
      <w:r w:rsidRPr="70B00F32" w:rsidR="297BA5E0">
        <w:rPr>
          <w:rFonts w:ascii="sans-serif" w:hAnsi="sans-serif" w:eastAsia="sans-serif" w:cs="sans-serif"/>
          <w:noProof w:val="0"/>
          <w:color w:val="auto"/>
          <w:sz w:val="24"/>
          <w:szCs w:val="24"/>
          <w:lang w:val="en-GB"/>
        </w:rPr>
        <w:t>. London: Springer.</w:t>
      </w:r>
    </w:p>
    <w:p w:rsidR="70B00F32" w:rsidP="70B00F32" w:rsidRDefault="70B00F32" w14:paraId="626C72E9" w14:textId="4BEF9219">
      <w:pPr>
        <w:pStyle w:val="Normal"/>
        <w:spacing w:before="240" w:beforeAutospacing="off" w:after="240" w:afterAutospacing="off"/>
        <w:ind w:left="0"/>
        <w:rPr>
          <w:rFonts w:ascii="Aptos" w:hAnsi="Aptos" w:eastAsia="Aptos" w:cs="Aptos"/>
          <w:noProof w:val="0"/>
          <w:sz w:val="24"/>
          <w:szCs w:val="24"/>
          <w:lang w:val="en-GB"/>
        </w:rPr>
      </w:pPr>
    </w:p>
    <w:p w:rsidR="70B00F32" w:rsidP="70B00F32" w:rsidRDefault="70B00F32" w14:paraId="6E1A78E6" w14:textId="0FC00CBA">
      <w:pPr>
        <w:pStyle w:val="Normal"/>
        <w:spacing w:before="240" w:beforeAutospacing="off" w:after="240" w:afterAutospacing="off"/>
        <w:rPr>
          <w:rFonts w:ascii="Aptos" w:hAnsi="Aptos" w:eastAsia="Aptos" w:cs="Aptos"/>
          <w:noProof w:val="0"/>
          <w:sz w:val="24"/>
          <w:szCs w:val="24"/>
          <w:lang w:val="en-GB"/>
        </w:rPr>
      </w:pPr>
    </w:p>
    <w:p w:rsidR="70B00F32" w:rsidP="70B00F32" w:rsidRDefault="70B00F32" w14:paraId="596EAEE1" w14:textId="4695FE9C">
      <w:pPr>
        <w:pStyle w:val="Normal"/>
        <w:spacing w:before="240" w:beforeAutospacing="off" w:after="240" w:afterAutospacing="off"/>
        <w:rPr>
          <w:rFonts w:ascii="Aptos" w:hAnsi="Aptos" w:eastAsia="Aptos" w:cs="Aptos"/>
          <w:noProof w:val="0"/>
          <w:sz w:val="24"/>
          <w:szCs w:val="24"/>
          <w:lang w:val="en-GB"/>
        </w:rPr>
      </w:pPr>
    </w:p>
    <w:p w:rsidR="1643823B" w:rsidP="70B00F32" w:rsidRDefault="1643823B" w14:paraId="38719AAF" w14:textId="4D80C7C4">
      <w:pPr>
        <w:pStyle w:val="Normal"/>
      </w:pPr>
      <w:r w:rsidRPr="70B00F32" w:rsidR="1643823B">
        <w:rPr>
          <w:rFonts w:ascii="Calibri" w:hAnsi="Calibri" w:eastAsia="Calibri" w:cs="Calibri"/>
          <w:noProof w:val="0"/>
          <w:color w:val="auto"/>
          <w:sz w:val="24"/>
          <w:szCs w:val="24"/>
          <w:lang w:val="en-GB"/>
        </w:rPr>
        <w:t xml:space="preserve">   </w:t>
      </w:r>
    </w:p>
    <w:sectPr>
      <w:pgSz w:w="12240" w:h="15840" w:orient="portrait"/>
      <w:pgMar w:top="1440" w:right="1440" w:bottom="1440" w:left="1440" w:header="720" w:footer="720" w:gutter="0"/>
      <w:cols w:space="720"/>
      <w:docGrid w:linePitch="360"/>
      <w:titlePg w:val="1"/>
      <w:headerReference w:type="default" r:id="R0f9b5489e047480e"/>
      <w:headerReference w:type="even" r:id="R06a61db4d97f4705"/>
      <w:headerReference w:type="first" r:id="R49d35df13b3e44c8"/>
      <w:footerReference w:type="default" r:id="Rcb76aa9cc5a14155"/>
      <w:footerReference w:type="even" r:id="R5dc3d8b0cff94c10"/>
      <w:footerReference w:type="first" r:id="R2030a827df274c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B00F32" w:rsidTr="70B00F32" w14:paraId="146D5939">
      <w:trPr>
        <w:trHeight w:val="300"/>
      </w:trPr>
      <w:tc>
        <w:tcPr>
          <w:tcW w:w="3005" w:type="dxa"/>
          <w:tcMar/>
        </w:tcPr>
        <w:p w:rsidR="70B00F32" w:rsidP="70B00F32" w:rsidRDefault="70B00F32" w14:paraId="5E8BE7AF" w14:textId="6635891F">
          <w:pPr>
            <w:pStyle w:val="Header"/>
            <w:bidi w:val="0"/>
            <w:ind w:left="-115"/>
            <w:jc w:val="left"/>
          </w:pPr>
        </w:p>
      </w:tc>
      <w:tc>
        <w:tcPr>
          <w:tcW w:w="3005" w:type="dxa"/>
          <w:tcMar/>
        </w:tcPr>
        <w:p w:rsidR="70B00F32" w:rsidP="70B00F32" w:rsidRDefault="70B00F32" w14:paraId="691E595B" w14:textId="6A4C8062">
          <w:pPr>
            <w:pStyle w:val="Header"/>
            <w:bidi w:val="0"/>
            <w:jc w:val="center"/>
          </w:pPr>
        </w:p>
      </w:tc>
      <w:tc>
        <w:tcPr>
          <w:tcW w:w="3005" w:type="dxa"/>
          <w:tcMar/>
        </w:tcPr>
        <w:p w:rsidR="70B00F32" w:rsidP="70B00F32" w:rsidRDefault="70B00F32" w14:paraId="2D781DC1" w14:textId="2BD337A9">
          <w:pPr>
            <w:pStyle w:val="Header"/>
            <w:bidi w:val="0"/>
            <w:ind w:right="-115"/>
            <w:jc w:val="right"/>
          </w:pPr>
        </w:p>
      </w:tc>
    </w:tr>
  </w:tbl>
  <w:p w:rsidR="70B00F32" w:rsidP="70B00F32" w:rsidRDefault="70B00F32" w14:paraId="0490739E" w14:textId="1DB682B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B00F32" w:rsidTr="70B00F32" w14:paraId="717B7370">
      <w:trPr>
        <w:trHeight w:val="300"/>
      </w:trPr>
      <w:tc>
        <w:tcPr>
          <w:tcW w:w="3005" w:type="dxa"/>
          <w:tcMar/>
        </w:tcPr>
        <w:p w:rsidR="70B00F32" w:rsidP="70B00F32" w:rsidRDefault="70B00F32" w14:paraId="44707B90" w14:textId="1AF7A3D6">
          <w:pPr>
            <w:pStyle w:val="Header"/>
            <w:bidi w:val="0"/>
            <w:ind w:left="-115"/>
            <w:jc w:val="left"/>
          </w:pPr>
        </w:p>
      </w:tc>
      <w:tc>
        <w:tcPr>
          <w:tcW w:w="3005" w:type="dxa"/>
          <w:tcMar/>
        </w:tcPr>
        <w:p w:rsidR="70B00F32" w:rsidP="70B00F32" w:rsidRDefault="70B00F32" w14:paraId="1A01F2EA" w14:textId="24F60ED6">
          <w:pPr>
            <w:pStyle w:val="Header"/>
            <w:bidi w:val="0"/>
            <w:jc w:val="center"/>
          </w:pPr>
        </w:p>
      </w:tc>
      <w:tc>
        <w:tcPr>
          <w:tcW w:w="3005" w:type="dxa"/>
          <w:tcMar/>
        </w:tcPr>
        <w:p w:rsidR="70B00F32" w:rsidP="70B00F32" w:rsidRDefault="70B00F32" w14:paraId="6C0CE11D" w14:textId="1CD5EE6B">
          <w:pPr>
            <w:pStyle w:val="Header"/>
            <w:bidi w:val="0"/>
            <w:ind w:right="-115"/>
            <w:jc w:val="right"/>
          </w:pPr>
        </w:p>
      </w:tc>
    </w:tr>
  </w:tbl>
  <w:p w:rsidR="70B00F32" w:rsidP="70B00F32" w:rsidRDefault="70B00F32" w14:paraId="32447742" w14:textId="591AAEE4">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B00F32" w:rsidTr="70B00F32" w14:paraId="106E75BE">
      <w:trPr>
        <w:trHeight w:val="300"/>
      </w:trPr>
      <w:tc>
        <w:tcPr>
          <w:tcW w:w="3005" w:type="dxa"/>
          <w:tcMar/>
        </w:tcPr>
        <w:p w:rsidR="70B00F32" w:rsidP="70B00F32" w:rsidRDefault="70B00F32" w14:paraId="6DF37B31" w14:textId="7ED1E8D5">
          <w:pPr>
            <w:pStyle w:val="Header"/>
            <w:bidi w:val="0"/>
            <w:ind w:left="-115"/>
            <w:jc w:val="left"/>
          </w:pPr>
        </w:p>
      </w:tc>
      <w:tc>
        <w:tcPr>
          <w:tcW w:w="3005" w:type="dxa"/>
          <w:tcMar/>
        </w:tcPr>
        <w:p w:rsidR="70B00F32" w:rsidP="70B00F32" w:rsidRDefault="70B00F32" w14:paraId="5FDE9F6E" w14:textId="02270B53">
          <w:pPr>
            <w:pStyle w:val="Header"/>
            <w:bidi w:val="0"/>
            <w:jc w:val="center"/>
          </w:pPr>
        </w:p>
      </w:tc>
      <w:tc>
        <w:tcPr>
          <w:tcW w:w="3005" w:type="dxa"/>
          <w:tcMar/>
        </w:tcPr>
        <w:p w:rsidR="70B00F32" w:rsidP="70B00F32" w:rsidRDefault="70B00F32" w14:paraId="0E31F976" w14:textId="0A528229">
          <w:pPr>
            <w:pStyle w:val="Header"/>
            <w:bidi w:val="0"/>
            <w:ind w:right="-115"/>
            <w:jc w:val="right"/>
          </w:pPr>
        </w:p>
      </w:tc>
    </w:tr>
  </w:tbl>
  <w:p w:rsidR="70B00F32" w:rsidP="70B00F32" w:rsidRDefault="70B00F32" w14:paraId="0FBFEABD" w14:textId="2801505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B00F32" w:rsidTr="70B00F32" w14:paraId="18B0C991">
      <w:trPr>
        <w:trHeight w:val="300"/>
      </w:trPr>
      <w:tc>
        <w:tcPr>
          <w:tcW w:w="3005" w:type="dxa"/>
          <w:tcMar/>
        </w:tcPr>
        <w:p w:rsidR="70B00F32" w:rsidP="70B00F32" w:rsidRDefault="70B00F32" w14:paraId="2D424E1A" w14:textId="0539926A">
          <w:pPr>
            <w:pStyle w:val="Header"/>
            <w:bidi w:val="0"/>
            <w:ind w:left="-115"/>
            <w:jc w:val="left"/>
          </w:pPr>
          <w:r w:rsidR="70B00F32">
            <w:rPr/>
            <w:t xml:space="preserve">Cristian Calin </w:t>
          </w:r>
        </w:p>
      </w:tc>
      <w:tc>
        <w:tcPr>
          <w:tcW w:w="3005" w:type="dxa"/>
          <w:tcMar/>
        </w:tcPr>
        <w:p w:rsidR="70B00F32" w:rsidP="70B00F32" w:rsidRDefault="70B00F32" w14:paraId="129DBC9F" w14:textId="574E6013">
          <w:pPr>
            <w:pStyle w:val="Header"/>
            <w:bidi w:val="0"/>
            <w:jc w:val="center"/>
          </w:pPr>
          <w:r w:rsidR="70B00F32">
            <w:rPr/>
            <w:t>2410078</w:t>
          </w:r>
        </w:p>
      </w:tc>
      <w:tc>
        <w:tcPr>
          <w:tcW w:w="3005" w:type="dxa"/>
          <w:tcMar/>
        </w:tcPr>
        <w:p w:rsidR="70B00F32" w:rsidP="70B00F32" w:rsidRDefault="70B00F32" w14:paraId="122BA977" w14:textId="78E5197A">
          <w:pPr>
            <w:pStyle w:val="Header"/>
            <w:bidi w:val="0"/>
            <w:ind w:right="-115"/>
            <w:jc w:val="right"/>
          </w:pPr>
          <w:r w:rsidR="70B00F32">
            <w:rPr/>
            <w:t>Date- 25/07/2026</w:t>
          </w:r>
        </w:p>
      </w:tc>
    </w:tr>
  </w:tbl>
  <w:p w:rsidR="70B00F32" w:rsidP="70B00F32" w:rsidRDefault="70B00F32" w14:paraId="0FE31192" w14:textId="63E221B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B00F32" w:rsidTr="70B00F32" w14:paraId="64CCD7D0">
      <w:trPr>
        <w:trHeight w:val="300"/>
      </w:trPr>
      <w:tc>
        <w:tcPr>
          <w:tcW w:w="3005" w:type="dxa"/>
          <w:tcMar/>
        </w:tcPr>
        <w:p w:rsidR="70B00F32" w:rsidP="70B00F32" w:rsidRDefault="70B00F32" w14:paraId="2F96140E" w14:textId="62B2D568">
          <w:pPr>
            <w:pStyle w:val="Header"/>
            <w:bidi w:val="0"/>
            <w:ind w:left="-115"/>
            <w:jc w:val="left"/>
          </w:pPr>
        </w:p>
      </w:tc>
      <w:tc>
        <w:tcPr>
          <w:tcW w:w="3005" w:type="dxa"/>
          <w:tcMar/>
        </w:tcPr>
        <w:p w:rsidR="70B00F32" w:rsidP="70B00F32" w:rsidRDefault="70B00F32" w14:paraId="1AF2001D" w14:textId="73BCA5B3">
          <w:pPr>
            <w:pStyle w:val="Header"/>
            <w:bidi w:val="0"/>
            <w:jc w:val="center"/>
          </w:pPr>
        </w:p>
      </w:tc>
      <w:tc>
        <w:tcPr>
          <w:tcW w:w="3005" w:type="dxa"/>
          <w:tcMar/>
        </w:tcPr>
        <w:p w:rsidR="70B00F32" w:rsidP="70B00F32" w:rsidRDefault="70B00F32" w14:paraId="69A2B962" w14:textId="6ABFB1F6">
          <w:pPr>
            <w:pStyle w:val="Header"/>
            <w:bidi w:val="0"/>
            <w:ind w:right="-115"/>
            <w:jc w:val="right"/>
          </w:pPr>
        </w:p>
      </w:tc>
    </w:tr>
  </w:tbl>
  <w:p w:rsidR="70B00F32" w:rsidP="70B00F32" w:rsidRDefault="70B00F32" w14:paraId="2BFC9333" w14:textId="147FC400">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B00F32" w:rsidTr="70B00F32" w14:paraId="6049F78C">
      <w:trPr>
        <w:trHeight w:val="300"/>
      </w:trPr>
      <w:tc>
        <w:tcPr>
          <w:tcW w:w="3005" w:type="dxa"/>
          <w:tcMar/>
        </w:tcPr>
        <w:p w:rsidR="70B00F32" w:rsidP="70B00F32" w:rsidRDefault="70B00F32" w14:paraId="3077CFF2" w14:textId="59676FFC">
          <w:pPr>
            <w:pStyle w:val="Header"/>
            <w:bidi w:val="0"/>
            <w:ind w:left="-115"/>
            <w:jc w:val="left"/>
          </w:pPr>
          <w:r w:rsidR="70B00F32">
            <w:rPr/>
            <w:t>Cristian Calin</w:t>
          </w:r>
        </w:p>
      </w:tc>
      <w:tc>
        <w:tcPr>
          <w:tcW w:w="3005" w:type="dxa"/>
          <w:tcMar/>
        </w:tcPr>
        <w:p w:rsidR="70B00F32" w:rsidP="70B00F32" w:rsidRDefault="70B00F32" w14:paraId="643F9E42" w14:textId="46CE6351">
          <w:pPr>
            <w:pStyle w:val="Header"/>
            <w:bidi w:val="0"/>
            <w:jc w:val="center"/>
          </w:pPr>
          <w:r w:rsidR="70B00F32">
            <w:rPr/>
            <w:t>2410078</w:t>
          </w:r>
        </w:p>
      </w:tc>
      <w:tc>
        <w:tcPr>
          <w:tcW w:w="3005" w:type="dxa"/>
          <w:tcMar/>
        </w:tcPr>
        <w:p w:rsidR="70B00F32" w:rsidP="70B00F32" w:rsidRDefault="70B00F32" w14:paraId="63B5D215" w14:textId="16BE0D1E">
          <w:pPr>
            <w:pStyle w:val="Header"/>
            <w:bidi w:val="0"/>
            <w:ind w:right="-115"/>
            <w:jc w:val="right"/>
          </w:pPr>
          <w:r w:rsidR="70B00F32">
            <w:rPr/>
            <w:t>Date- 25/07/2026</w:t>
          </w:r>
        </w:p>
      </w:tc>
    </w:tr>
  </w:tbl>
  <w:p w:rsidR="70B00F32" w:rsidP="70B00F32" w:rsidRDefault="70B00F32" w14:paraId="5D85BB93" w14:textId="27B58B49">
    <w:pPr>
      <w:pStyle w:val="Header"/>
      <w:bidi w:val="0"/>
    </w:pPr>
  </w:p>
</w:hdr>
</file>

<file path=word/numbering.xml><?xml version="1.0" encoding="utf-8"?>
<w:numbering xmlns:w="http://schemas.openxmlformats.org/wordprocessingml/2006/main">
  <w:abstractNum xmlns:w="http://schemas.openxmlformats.org/wordprocessingml/2006/main" w:abstractNumId="16">
    <w:nsid w:val="58777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07b4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dd0d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02ee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d320c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25c24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7347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086b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670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dd4d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229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5721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2eb4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e412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288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b167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2332B7"/>
    <w:rsid w:val="029263DB"/>
    <w:rsid w:val="0363D0BD"/>
    <w:rsid w:val="053F11D3"/>
    <w:rsid w:val="05999893"/>
    <w:rsid w:val="05999893"/>
    <w:rsid w:val="06977D67"/>
    <w:rsid w:val="077FBC18"/>
    <w:rsid w:val="08E3408D"/>
    <w:rsid w:val="09F61627"/>
    <w:rsid w:val="0AA9E207"/>
    <w:rsid w:val="0C544ABD"/>
    <w:rsid w:val="0CF4532B"/>
    <w:rsid w:val="0D66D842"/>
    <w:rsid w:val="0DF350DF"/>
    <w:rsid w:val="0FD23E57"/>
    <w:rsid w:val="115BA98A"/>
    <w:rsid w:val="129A15D5"/>
    <w:rsid w:val="12B987E9"/>
    <w:rsid w:val="1352A0A6"/>
    <w:rsid w:val="13648049"/>
    <w:rsid w:val="13800545"/>
    <w:rsid w:val="1424B9BE"/>
    <w:rsid w:val="1643823B"/>
    <w:rsid w:val="172C99D2"/>
    <w:rsid w:val="17AC8D27"/>
    <w:rsid w:val="181AB497"/>
    <w:rsid w:val="1DDB72DB"/>
    <w:rsid w:val="1F9664F1"/>
    <w:rsid w:val="23B77D4D"/>
    <w:rsid w:val="2540D83B"/>
    <w:rsid w:val="297BA5E0"/>
    <w:rsid w:val="29C4D9FD"/>
    <w:rsid w:val="2C62866B"/>
    <w:rsid w:val="2C62866B"/>
    <w:rsid w:val="2E5AEF85"/>
    <w:rsid w:val="2EB1C758"/>
    <w:rsid w:val="2F8F26DB"/>
    <w:rsid w:val="326561A4"/>
    <w:rsid w:val="32F4EE77"/>
    <w:rsid w:val="33F8F29F"/>
    <w:rsid w:val="357C4556"/>
    <w:rsid w:val="361759A9"/>
    <w:rsid w:val="361BC926"/>
    <w:rsid w:val="3A24BE75"/>
    <w:rsid w:val="3C6EC8C6"/>
    <w:rsid w:val="3D137811"/>
    <w:rsid w:val="4031B483"/>
    <w:rsid w:val="4289E089"/>
    <w:rsid w:val="435A47C0"/>
    <w:rsid w:val="43A12ED3"/>
    <w:rsid w:val="491F4455"/>
    <w:rsid w:val="4A9AD2DF"/>
    <w:rsid w:val="4C1A40AB"/>
    <w:rsid w:val="4C434030"/>
    <w:rsid w:val="4EBD39EB"/>
    <w:rsid w:val="4FBE473D"/>
    <w:rsid w:val="4FE29F18"/>
    <w:rsid w:val="500463C3"/>
    <w:rsid w:val="53F88B08"/>
    <w:rsid w:val="55CF9DD7"/>
    <w:rsid w:val="562A9D2D"/>
    <w:rsid w:val="597108CC"/>
    <w:rsid w:val="5CE834BA"/>
    <w:rsid w:val="5F0C9799"/>
    <w:rsid w:val="6117C4F8"/>
    <w:rsid w:val="61FC9F81"/>
    <w:rsid w:val="648074EC"/>
    <w:rsid w:val="6A85F606"/>
    <w:rsid w:val="6B59CF14"/>
    <w:rsid w:val="6B602D34"/>
    <w:rsid w:val="6D542590"/>
    <w:rsid w:val="6D542590"/>
    <w:rsid w:val="6DBE24FD"/>
    <w:rsid w:val="70B00F32"/>
    <w:rsid w:val="713572D4"/>
    <w:rsid w:val="7470EFFC"/>
    <w:rsid w:val="750161E6"/>
    <w:rsid w:val="76E7CE12"/>
    <w:rsid w:val="78C92204"/>
    <w:rsid w:val="7951D759"/>
    <w:rsid w:val="79E95780"/>
    <w:rsid w:val="7A6466DF"/>
    <w:rsid w:val="7B849638"/>
    <w:rsid w:val="7B849638"/>
    <w:rsid w:val="7BBF3D5E"/>
    <w:rsid w:val="7C233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7B4E0"/>
  <w15:chartTrackingRefBased/>
  <w15:docId w15:val="{E3FDC610-18B7-481D-80EC-3F12013349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5CF9DD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5CF9DD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5CF9DD7"/>
    <w:pPr>
      <w:spacing/>
      <w:ind w:left="720"/>
      <w:contextualSpacing/>
    </w:pPr>
  </w:style>
  <w:style w:type="paragraph" w:styleId="Header">
    <w:uiPriority w:val="99"/>
    <w:name w:val="header"/>
    <w:basedOn w:val="Normal"/>
    <w:unhideWhenUsed/>
    <w:rsid w:val="70B00F32"/>
    <w:pPr>
      <w:tabs>
        <w:tab w:val="center" w:leader="none" w:pos="4680"/>
        <w:tab w:val="right" w:leader="none" w:pos="9360"/>
      </w:tabs>
      <w:spacing w:after="0" w:line="240" w:lineRule="auto"/>
    </w:pPr>
  </w:style>
  <w:style w:type="paragraph" w:styleId="Footer">
    <w:uiPriority w:val="99"/>
    <w:name w:val="footer"/>
    <w:basedOn w:val="Normal"/>
    <w:unhideWhenUsed/>
    <w:rsid w:val="70B00F3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c024b8d2c9e4d57" /><Relationship Type="http://schemas.openxmlformats.org/officeDocument/2006/relationships/image" Target="/media/image2.png" Id="rId583938693" /><Relationship Type="http://schemas.openxmlformats.org/officeDocument/2006/relationships/image" Target="/media/image3.png" Id="rId1873214617" /><Relationship Type="http://schemas.openxmlformats.org/officeDocument/2006/relationships/header" Target="/word/header.xml" Id="R0f9b5489e047480e" /><Relationship Type="http://schemas.openxmlformats.org/officeDocument/2006/relationships/header" Target="/word/header2.xml" Id="R06a61db4d97f4705" /><Relationship Type="http://schemas.openxmlformats.org/officeDocument/2006/relationships/header" Target="/word/header3.xml" Id="R49d35df13b3e44c8" /><Relationship Type="http://schemas.openxmlformats.org/officeDocument/2006/relationships/footer" Target="/word/footer.xml" Id="Rcb76aa9cc5a14155" /><Relationship Type="http://schemas.openxmlformats.org/officeDocument/2006/relationships/footer" Target="/word/footer2.xml" Id="R5dc3d8b0cff94c10" /><Relationship Type="http://schemas.openxmlformats.org/officeDocument/2006/relationships/footer" Target="/word/footer3.xml" Id="R2030a827df274c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Cristian Calin (2410078)</dc:creator>
  <keywords/>
  <dc:description/>
  <lastModifiedBy>Cristian Calin (2410078)</lastModifiedBy>
  <revision>3</revision>
  <dcterms:created xsi:type="dcterms:W3CDTF">2026-07-25T13:28:57.7687646Z</dcterms:created>
  <dcterms:modified xsi:type="dcterms:W3CDTF">2026-07-25T15:37:03.6322246Z</dcterms:modified>
</coreProperties>
</file>