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0BEA" w:rsidRDefault="004573C9">
      <w:pPr>
        <w:rPr>
          <w:noProof/>
        </w:rPr>
      </w:pPr>
      <w:r>
        <w:rPr>
          <w:noProof/>
        </w:rPr>
        <mc:AlternateContent>
          <mc:Choice Requires="wps">
            <w:drawing>
              <wp:anchor distT="45720" distB="45720" distL="114300" distR="114300" simplePos="0" relativeHeight="251660288" behindDoc="0" locked="0" layoutInCell="1" allowOverlap="1">
                <wp:simplePos x="0" y="0"/>
                <wp:positionH relativeFrom="column">
                  <wp:posOffset>563880</wp:posOffset>
                </wp:positionH>
                <wp:positionV relativeFrom="paragraph">
                  <wp:posOffset>-807720</wp:posOffset>
                </wp:positionV>
                <wp:extent cx="4404360" cy="1404620"/>
                <wp:effectExtent l="0" t="0" r="0"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4360" cy="1404620"/>
                        </a:xfrm>
                        <a:prstGeom prst="rect">
                          <a:avLst/>
                        </a:prstGeom>
                        <a:solidFill>
                          <a:srgbClr val="FFFFFF"/>
                        </a:solidFill>
                        <a:ln w="9525">
                          <a:noFill/>
                          <a:miter lim="800000"/>
                          <a:headEnd/>
                          <a:tailEnd/>
                        </a:ln>
                      </wps:spPr>
                      <wps:txbx>
                        <w:txbxContent>
                          <w:p w:rsidR="00F52D8F" w:rsidRPr="00C50630" w:rsidRDefault="00F52D8F" w:rsidP="002F7224">
                            <w:pPr>
                              <w:pBdr>
                                <w:bottom w:val="single" w:sz="4" w:space="1" w:color="auto"/>
                              </w:pBdr>
                              <w:rPr>
                                <w:b/>
                                <w:color w:val="002060"/>
                                <w:sz w:val="44"/>
                              </w:rPr>
                            </w:pPr>
                            <w:r w:rsidRPr="00C50630">
                              <w:rPr>
                                <w:b/>
                                <w:color w:val="002060"/>
                                <w:sz w:val="44"/>
                              </w:rPr>
                              <w:t>Employee Learning &amp; Development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4.4pt;margin-top:-63.6pt;width:346.8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" stroked="f">
                <v:textbox style="mso-fit-shape-to-text:t">
                  <w:txbxContent>
                    <w:p w:rsidR="00F52D8F" w:rsidRPr="00C50630" w:rsidRDefault="00F52D8F" w:rsidP="002F7224">
                      <w:pPr>
                        <w:pBdr>
                          <w:bottom w:val="single" w:sz="4" w:space="1" w:color="auto"/>
                        </w:pBdr>
                        <w:rPr>
                          <w:b/>
                          <w:color w:val="002060"/>
                          <w:sz w:val="44"/>
                        </w:rPr>
                      </w:pPr>
                      <w:r w:rsidRPr="00C50630">
                        <w:rPr>
                          <w:b/>
                          <w:color w:val="002060"/>
                          <w:sz w:val="44"/>
                        </w:rPr>
                        <w:t>Employee Learning &amp; Development</w:t>
                      </w:r>
                    </w:p>
                  </w:txbxContent>
                </v:textbox>
              </v:shape>
            </w:pict>
          </mc:Fallback>
        </mc:AlternateContent>
      </w:r>
      <w:r w:rsidR="00C50630" w:rsidRPr="002F7224">
        <w:rPr>
          <w:noProof/>
          <w:sz w:val="40"/>
        </w:rPr>
        <mc:AlternateContent>
          <mc:Choice Requires="wps">
            <w:drawing>
              <wp:anchor distT="45720" distB="45720" distL="114300" distR="114300" simplePos="0" relativeHeight="251666432" behindDoc="0" locked="0" layoutInCell="1" allowOverlap="1">
                <wp:simplePos x="0" y="0"/>
                <wp:positionH relativeFrom="margin">
                  <wp:align>center</wp:align>
                </wp:positionH>
                <wp:positionV relativeFrom="paragraph">
                  <wp:posOffset>6766560</wp:posOffset>
                </wp:positionV>
                <wp:extent cx="7353300" cy="299466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3300" cy="2994660"/>
                        </a:xfrm>
                        <a:prstGeom prst="rect">
                          <a:avLst/>
                        </a:prstGeom>
                        <a:solidFill>
                          <a:srgbClr val="FFFFFF"/>
                        </a:solidFill>
                        <a:ln w="9525">
                          <a:noFill/>
                          <a:miter lim="800000"/>
                          <a:headEnd/>
                          <a:tailEnd/>
                        </a:ln>
                      </wps:spPr>
                      <wps:txbx>
                        <w:txbxContent>
                          <w:p w:rsidR="00F52D8F" w:rsidRPr="00C50630" w:rsidRDefault="00F52D8F" w:rsidP="002F7224">
                            <w:pPr>
                              <w:rPr>
                                <w:rFonts w:cstheme="minorHAnsi"/>
                                <w:b/>
                                <w:i/>
                                <w:color w:val="002060"/>
                                <w:szCs w:val="18"/>
                                <w:u w:val="single"/>
                              </w:rPr>
                            </w:pPr>
                            <w:r w:rsidRPr="00C50630">
                              <w:rPr>
                                <w:rFonts w:cstheme="minorHAnsi"/>
                                <w:b/>
                                <w:i/>
                                <w:color w:val="002060"/>
                                <w:szCs w:val="18"/>
                                <w:u w:val="single"/>
                              </w:rPr>
                              <w:t>L&amp;D approaches</w:t>
                            </w:r>
                            <w:r>
                              <w:rPr>
                                <w:rFonts w:cstheme="minorHAnsi"/>
                                <w:b/>
                                <w:i/>
                                <w:color w:val="002060"/>
                                <w:szCs w:val="18"/>
                                <w:u w:val="single"/>
                              </w:rPr>
                              <w:t xml:space="preserve"> (AC 6.3)</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Facilitation is the enabling of learning and development, providing the resources and environment needed for the group of trainees to</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explore and</w:t>
                            </w:r>
                            <w:r>
                              <w:rPr>
                                <w:rFonts w:asciiTheme="minorHAnsi" w:hAnsiTheme="minorHAnsi" w:cstheme="minorHAnsi"/>
                                <w:sz w:val="20"/>
                                <w:szCs w:val="18"/>
                              </w:rPr>
                              <w:t xml:space="preserve"> </w:t>
                            </w:r>
                            <w:r w:rsidRPr="00C50630">
                              <w:rPr>
                                <w:rFonts w:asciiTheme="minorHAnsi" w:hAnsiTheme="minorHAnsi" w:cstheme="minorHAnsi"/>
                                <w:sz w:val="20"/>
                                <w:szCs w:val="18"/>
                              </w:rPr>
                              <w:t>consider different ideas and opinions (Gardener, 2017). The facilitator acts as an impartial guide through the process,</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supporting the participants towards</w:t>
                            </w:r>
                            <w:r>
                              <w:rPr>
                                <w:rFonts w:asciiTheme="minorHAnsi" w:hAnsiTheme="minorHAnsi" w:cstheme="minorHAnsi"/>
                                <w:sz w:val="20"/>
                                <w:szCs w:val="18"/>
                              </w:rPr>
                              <w:t xml:space="preserve"> </w:t>
                            </w:r>
                            <w:r w:rsidRPr="00C50630">
                              <w:rPr>
                                <w:rFonts w:asciiTheme="minorHAnsi" w:hAnsiTheme="minorHAnsi" w:cstheme="minorHAnsi"/>
                                <w:sz w:val="20"/>
                                <w:szCs w:val="18"/>
                              </w:rPr>
                              <w:t>achieve the desired goal or outcome (</w:t>
                            </w:r>
                            <w:proofErr w:type="spellStart"/>
                            <w:r w:rsidRPr="00C50630">
                              <w:rPr>
                                <w:rFonts w:asciiTheme="minorHAnsi" w:hAnsiTheme="minorHAnsi" w:cstheme="minorHAnsi"/>
                                <w:sz w:val="20"/>
                                <w:szCs w:val="18"/>
                              </w:rPr>
                              <w:t>McBrown</w:t>
                            </w:r>
                            <w:proofErr w:type="spellEnd"/>
                            <w:r w:rsidRPr="00C50630">
                              <w:rPr>
                                <w:rFonts w:asciiTheme="minorHAnsi" w:hAnsiTheme="minorHAnsi" w:cstheme="minorHAnsi"/>
                                <w:sz w:val="20"/>
                                <w:szCs w:val="18"/>
                              </w:rPr>
                              <w:t>, 2021). Skilled facilitators can provide a structured</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process and encouraging learning environment,</w:t>
                            </w:r>
                            <w:r>
                              <w:rPr>
                                <w:rFonts w:asciiTheme="minorHAnsi" w:hAnsiTheme="minorHAnsi" w:cstheme="minorHAnsi"/>
                                <w:sz w:val="20"/>
                                <w:szCs w:val="18"/>
                              </w:rPr>
                              <w:t xml:space="preserve"> </w:t>
                            </w:r>
                            <w:r w:rsidRPr="00C50630">
                              <w:rPr>
                                <w:rFonts w:asciiTheme="minorHAnsi" w:hAnsiTheme="minorHAnsi" w:cstheme="minorHAnsi"/>
                                <w:sz w:val="20"/>
                                <w:szCs w:val="18"/>
                              </w:rPr>
                              <w:t>however, as the facilitator is the key component of this training, if they are not well</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trained or prepared, the process may not be as successful (Crampton,</w:t>
                            </w:r>
                            <w:r>
                              <w:rPr>
                                <w:rFonts w:asciiTheme="minorHAnsi" w:hAnsiTheme="minorHAnsi" w:cstheme="minorHAnsi"/>
                                <w:sz w:val="20"/>
                                <w:szCs w:val="18"/>
                              </w:rPr>
                              <w:t xml:space="preserve"> </w:t>
                            </w:r>
                            <w:r w:rsidRPr="00C50630">
                              <w:rPr>
                                <w:rFonts w:asciiTheme="minorHAnsi" w:hAnsiTheme="minorHAnsi" w:cstheme="minorHAnsi"/>
                                <w:sz w:val="20"/>
                                <w:szCs w:val="18"/>
                              </w:rPr>
                              <w:t xml:space="preserve">2022). On-the-job training offers learning opportunities for trainees </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to observe a colleague with adequate skill and/or experience performing a task, in</w:t>
                            </w:r>
                            <w:r>
                              <w:rPr>
                                <w:rFonts w:asciiTheme="minorHAnsi" w:hAnsiTheme="minorHAnsi" w:cstheme="minorHAnsi"/>
                                <w:sz w:val="20"/>
                                <w:szCs w:val="18"/>
                              </w:rPr>
                              <w:t xml:space="preserve"> </w:t>
                            </w:r>
                            <w:r w:rsidRPr="00C50630">
                              <w:rPr>
                                <w:rFonts w:asciiTheme="minorHAnsi" w:hAnsiTheme="minorHAnsi" w:cstheme="minorHAnsi"/>
                                <w:sz w:val="20"/>
                                <w:szCs w:val="18"/>
                              </w:rPr>
                              <w:t>order to understand the needs of the job (Hayden,</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2022</w:t>
                            </w:r>
                            <w:r w:rsidR="00BD6200">
                              <w:rPr>
                                <w:rFonts w:asciiTheme="minorHAnsi" w:hAnsiTheme="minorHAnsi" w:cstheme="minorHAnsi"/>
                                <w:sz w:val="20"/>
                                <w:szCs w:val="18"/>
                              </w:rPr>
                              <w:t>b</w:t>
                            </w:r>
                            <w:r w:rsidRPr="00C50630">
                              <w:rPr>
                                <w:rFonts w:asciiTheme="minorHAnsi" w:hAnsiTheme="minorHAnsi" w:cstheme="minorHAnsi"/>
                                <w:sz w:val="20"/>
                                <w:szCs w:val="18"/>
                              </w:rPr>
                              <w:t>). On-the-job training is a cost-effective and timely method that can be conducted immediately</w:t>
                            </w:r>
                            <w:r>
                              <w:rPr>
                                <w:rFonts w:asciiTheme="minorHAnsi" w:hAnsiTheme="minorHAnsi" w:cstheme="minorHAnsi"/>
                                <w:sz w:val="20"/>
                                <w:szCs w:val="18"/>
                              </w:rPr>
                              <w:t xml:space="preserve"> </w:t>
                            </w:r>
                            <w:r w:rsidRPr="00C50630">
                              <w:rPr>
                                <w:rFonts w:asciiTheme="minorHAnsi" w:hAnsiTheme="minorHAnsi" w:cstheme="minorHAnsi"/>
                                <w:sz w:val="20"/>
                                <w:szCs w:val="18"/>
                              </w:rPr>
                              <w:t>and with the participation of the</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trainee in the comfort of their own work environment, however, the knowledge and experience of the trainer could</w:t>
                            </w:r>
                            <w:r>
                              <w:rPr>
                                <w:rFonts w:asciiTheme="minorHAnsi" w:hAnsiTheme="minorHAnsi" w:cstheme="minorHAnsi"/>
                                <w:sz w:val="20"/>
                                <w:szCs w:val="18"/>
                              </w:rPr>
                              <w:t xml:space="preserve"> </w:t>
                            </w:r>
                            <w:r w:rsidRPr="00C50630">
                              <w:rPr>
                                <w:rFonts w:asciiTheme="minorHAnsi" w:hAnsiTheme="minorHAnsi" w:cstheme="minorHAnsi"/>
                                <w:sz w:val="20"/>
                                <w:szCs w:val="18"/>
                              </w:rPr>
                              <w:t>potentially affect the</w:t>
                            </w:r>
                          </w:p>
                          <w:p w:rsidR="00F52D8F" w:rsidRPr="00C50630"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standard of training the trainee receives (</w:t>
                            </w:r>
                            <w:proofErr w:type="spellStart"/>
                            <w:r w:rsidRPr="00C50630">
                              <w:rPr>
                                <w:rFonts w:asciiTheme="minorHAnsi" w:hAnsiTheme="minorHAnsi" w:cstheme="minorHAnsi"/>
                                <w:sz w:val="20"/>
                                <w:szCs w:val="18"/>
                              </w:rPr>
                              <w:t>Rishipal</w:t>
                            </w:r>
                            <w:proofErr w:type="spellEnd"/>
                            <w:r w:rsidRPr="00C50630">
                              <w:rPr>
                                <w:rFonts w:asciiTheme="minorHAnsi" w:hAnsiTheme="minorHAnsi" w:cstheme="minorHAnsi"/>
                                <w:sz w:val="20"/>
                                <w:szCs w:val="18"/>
                              </w:rPr>
                              <w:t xml:space="preserve">, 2011). </w:t>
                            </w:r>
                          </w:p>
                          <w:p w:rsidR="00F52D8F" w:rsidRPr="00C50630"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Coaching and mentoring are similar development processes predicated on conversations aimed at supporting a person in improving either</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a specific skill</w:t>
                            </w:r>
                            <w:r>
                              <w:rPr>
                                <w:rFonts w:asciiTheme="minorHAnsi" w:hAnsiTheme="minorHAnsi" w:cstheme="minorHAnsi"/>
                                <w:sz w:val="20"/>
                                <w:szCs w:val="18"/>
                              </w:rPr>
                              <w:t xml:space="preserve"> </w:t>
                            </w:r>
                            <w:r w:rsidRPr="00C50630">
                              <w:rPr>
                                <w:rFonts w:asciiTheme="minorHAnsi" w:hAnsiTheme="minorHAnsi" w:cstheme="minorHAnsi"/>
                                <w:sz w:val="20"/>
                                <w:szCs w:val="18"/>
                              </w:rPr>
                              <w:t>or more general work performance (</w:t>
                            </w:r>
                            <w:proofErr w:type="spellStart"/>
                            <w:r w:rsidRPr="00C50630">
                              <w:rPr>
                                <w:rFonts w:asciiTheme="minorHAnsi" w:hAnsiTheme="minorHAnsi" w:cstheme="minorHAnsi"/>
                                <w:sz w:val="20"/>
                                <w:szCs w:val="18"/>
                              </w:rPr>
                              <w:t>Parsloe</w:t>
                            </w:r>
                            <w:proofErr w:type="spellEnd"/>
                            <w:r w:rsidRPr="00C50630">
                              <w:rPr>
                                <w:rFonts w:asciiTheme="minorHAnsi" w:hAnsiTheme="minorHAnsi" w:cstheme="minorHAnsi"/>
                                <w:sz w:val="20"/>
                                <w:szCs w:val="18"/>
                              </w:rPr>
                              <w:t xml:space="preserve"> and </w:t>
                            </w:r>
                            <w:proofErr w:type="spellStart"/>
                            <w:r w:rsidRPr="00C50630">
                              <w:rPr>
                                <w:rFonts w:asciiTheme="minorHAnsi" w:hAnsiTheme="minorHAnsi" w:cstheme="minorHAnsi"/>
                                <w:sz w:val="20"/>
                                <w:szCs w:val="18"/>
                              </w:rPr>
                              <w:t>Leedham</w:t>
                            </w:r>
                            <w:proofErr w:type="spellEnd"/>
                            <w:r w:rsidRPr="00C50630">
                              <w:rPr>
                                <w:rFonts w:asciiTheme="minorHAnsi" w:hAnsiTheme="minorHAnsi" w:cstheme="minorHAnsi"/>
                                <w:sz w:val="20"/>
                                <w:szCs w:val="18"/>
                              </w:rPr>
                              <w:t>, 2017). Coaching can be provided in a defined time-frame or be</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incorporated into a leadership</w:t>
                            </w:r>
                            <w:r>
                              <w:rPr>
                                <w:rFonts w:asciiTheme="minorHAnsi" w:hAnsiTheme="minorHAnsi" w:cstheme="minorHAnsi"/>
                                <w:sz w:val="20"/>
                                <w:szCs w:val="18"/>
                              </w:rPr>
                              <w:t xml:space="preserve"> </w:t>
                            </w:r>
                            <w:r w:rsidRPr="00C50630">
                              <w:rPr>
                                <w:rFonts w:asciiTheme="minorHAnsi" w:hAnsiTheme="minorHAnsi" w:cstheme="minorHAnsi"/>
                                <w:sz w:val="20"/>
                                <w:szCs w:val="18"/>
                              </w:rPr>
                              <w:t>and management style, and is more of a partnership than mentoring, assisting and supporting the</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individual the skills they are aiming to develop</w:t>
                            </w:r>
                            <w:r>
                              <w:rPr>
                                <w:rFonts w:asciiTheme="minorHAnsi" w:hAnsiTheme="minorHAnsi" w:cstheme="minorHAnsi"/>
                                <w:sz w:val="20"/>
                                <w:szCs w:val="18"/>
                              </w:rPr>
                              <w:t xml:space="preserve"> </w:t>
                            </w:r>
                            <w:r w:rsidRPr="00C50630">
                              <w:rPr>
                                <w:rFonts w:asciiTheme="minorHAnsi" w:hAnsiTheme="minorHAnsi" w:cstheme="minorHAnsi"/>
                                <w:sz w:val="20"/>
                                <w:szCs w:val="18"/>
                              </w:rPr>
                              <w:t>(Blakemore, 2014). Mentoring is a long-term relationship wherein the mentor acts as a rol</w:t>
                            </w:r>
                            <w:r>
                              <w:rPr>
                                <w:rFonts w:asciiTheme="minorHAnsi" w:hAnsiTheme="minorHAnsi" w:cstheme="minorHAnsi"/>
                                <w:sz w:val="20"/>
                                <w:szCs w:val="18"/>
                              </w:rPr>
                              <w:t>e</w:t>
                            </w:r>
                          </w:p>
                          <w:p w:rsidR="00F52D8F" w:rsidRPr="00C14AAF" w:rsidRDefault="00F52D8F" w:rsidP="00C14AAF">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model and source of knowledge and experience for the</w:t>
                            </w:r>
                            <w:r>
                              <w:rPr>
                                <w:rFonts w:asciiTheme="minorHAnsi" w:hAnsiTheme="minorHAnsi" w:cstheme="minorHAnsi"/>
                                <w:sz w:val="20"/>
                                <w:szCs w:val="18"/>
                              </w:rPr>
                              <w:t xml:space="preserve"> </w:t>
                            </w:r>
                            <w:r w:rsidRPr="00C50630">
                              <w:rPr>
                                <w:rFonts w:asciiTheme="minorHAnsi" w:hAnsiTheme="minorHAnsi" w:cstheme="minorHAnsi"/>
                                <w:sz w:val="20"/>
                                <w:szCs w:val="18"/>
                              </w:rPr>
                              <w:t xml:space="preserve">mentee to learn from (Zachary, 2005).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532.8pt;width:579pt;height:235.8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" stroked="f">
                <v:textbox>
                  <w:txbxContent>
                    <w:p w:rsidR="00F52D8F" w:rsidRPr="00C50630" w:rsidRDefault="00F52D8F" w:rsidP="002F7224">
                      <w:pPr>
                        <w:rPr>
                          <w:rFonts w:cstheme="minorHAnsi"/>
                          <w:b/>
                          <w:i/>
                          <w:color w:val="002060"/>
                          <w:szCs w:val="18"/>
                          <w:u w:val="single"/>
                        </w:rPr>
                      </w:pPr>
                      <w:r w:rsidRPr="00C50630">
                        <w:rPr>
                          <w:rFonts w:cstheme="minorHAnsi"/>
                          <w:b/>
                          <w:i/>
                          <w:color w:val="002060"/>
                          <w:szCs w:val="18"/>
                          <w:u w:val="single"/>
                        </w:rPr>
                        <w:t>L&amp;D approaches</w:t>
                      </w:r>
                      <w:r>
                        <w:rPr>
                          <w:rFonts w:cstheme="minorHAnsi"/>
                          <w:b/>
                          <w:i/>
                          <w:color w:val="002060"/>
                          <w:szCs w:val="18"/>
                          <w:u w:val="single"/>
                        </w:rPr>
                        <w:t xml:space="preserve"> (AC 6.3)</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Facilitation is the enabling of learning and development, providing the resources and environment needed for the group of trainees to</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explore and</w:t>
                      </w:r>
                      <w:r>
                        <w:rPr>
                          <w:rFonts w:asciiTheme="minorHAnsi" w:hAnsiTheme="minorHAnsi" w:cstheme="minorHAnsi"/>
                          <w:sz w:val="20"/>
                          <w:szCs w:val="18"/>
                        </w:rPr>
                        <w:t xml:space="preserve"> </w:t>
                      </w:r>
                      <w:r w:rsidRPr="00C50630">
                        <w:rPr>
                          <w:rFonts w:asciiTheme="minorHAnsi" w:hAnsiTheme="minorHAnsi" w:cstheme="minorHAnsi"/>
                          <w:sz w:val="20"/>
                          <w:szCs w:val="18"/>
                        </w:rPr>
                        <w:t>consider different ideas and opinions (Gardener, 2017). The facilitator acts as an impartial guide through the process,</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supporting the participants towards</w:t>
                      </w:r>
                      <w:r>
                        <w:rPr>
                          <w:rFonts w:asciiTheme="minorHAnsi" w:hAnsiTheme="minorHAnsi" w:cstheme="minorHAnsi"/>
                          <w:sz w:val="20"/>
                          <w:szCs w:val="18"/>
                        </w:rPr>
                        <w:t xml:space="preserve"> </w:t>
                      </w:r>
                      <w:r w:rsidRPr="00C50630">
                        <w:rPr>
                          <w:rFonts w:asciiTheme="minorHAnsi" w:hAnsiTheme="minorHAnsi" w:cstheme="minorHAnsi"/>
                          <w:sz w:val="20"/>
                          <w:szCs w:val="18"/>
                        </w:rPr>
                        <w:t>achieve the desired goal or outcome (</w:t>
                      </w:r>
                      <w:proofErr w:type="spellStart"/>
                      <w:r w:rsidRPr="00C50630">
                        <w:rPr>
                          <w:rFonts w:asciiTheme="minorHAnsi" w:hAnsiTheme="minorHAnsi" w:cstheme="minorHAnsi"/>
                          <w:sz w:val="20"/>
                          <w:szCs w:val="18"/>
                        </w:rPr>
                        <w:t>McBrown</w:t>
                      </w:r>
                      <w:proofErr w:type="spellEnd"/>
                      <w:r w:rsidRPr="00C50630">
                        <w:rPr>
                          <w:rFonts w:asciiTheme="minorHAnsi" w:hAnsiTheme="minorHAnsi" w:cstheme="minorHAnsi"/>
                          <w:sz w:val="20"/>
                          <w:szCs w:val="18"/>
                        </w:rPr>
                        <w:t>, 2021). Skilled facilitators can provide a structured</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process and encouraging learning environment,</w:t>
                      </w:r>
                      <w:r>
                        <w:rPr>
                          <w:rFonts w:asciiTheme="minorHAnsi" w:hAnsiTheme="minorHAnsi" w:cstheme="minorHAnsi"/>
                          <w:sz w:val="20"/>
                          <w:szCs w:val="18"/>
                        </w:rPr>
                        <w:t xml:space="preserve"> </w:t>
                      </w:r>
                      <w:r w:rsidRPr="00C50630">
                        <w:rPr>
                          <w:rFonts w:asciiTheme="minorHAnsi" w:hAnsiTheme="minorHAnsi" w:cstheme="minorHAnsi"/>
                          <w:sz w:val="20"/>
                          <w:szCs w:val="18"/>
                        </w:rPr>
                        <w:t>however, as the facilitator is the key component of this training, if they are not well</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trained or prepared, the process may not be as successful (Crampton,</w:t>
                      </w:r>
                      <w:r>
                        <w:rPr>
                          <w:rFonts w:asciiTheme="minorHAnsi" w:hAnsiTheme="minorHAnsi" w:cstheme="minorHAnsi"/>
                          <w:sz w:val="20"/>
                          <w:szCs w:val="18"/>
                        </w:rPr>
                        <w:t xml:space="preserve"> </w:t>
                      </w:r>
                      <w:r w:rsidRPr="00C50630">
                        <w:rPr>
                          <w:rFonts w:asciiTheme="minorHAnsi" w:hAnsiTheme="minorHAnsi" w:cstheme="minorHAnsi"/>
                          <w:sz w:val="20"/>
                          <w:szCs w:val="18"/>
                        </w:rPr>
                        <w:t xml:space="preserve">2022). On-the-job training offers learning opportunities for trainees </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to observe a colleague with adequate skill and/or experience performing a task, in</w:t>
                      </w:r>
                      <w:r>
                        <w:rPr>
                          <w:rFonts w:asciiTheme="minorHAnsi" w:hAnsiTheme="minorHAnsi" w:cstheme="minorHAnsi"/>
                          <w:sz w:val="20"/>
                          <w:szCs w:val="18"/>
                        </w:rPr>
                        <w:t xml:space="preserve"> </w:t>
                      </w:r>
                      <w:r w:rsidRPr="00C50630">
                        <w:rPr>
                          <w:rFonts w:asciiTheme="minorHAnsi" w:hAnsiTheme="minorHAnsi" w:cstheme="minorHAnsi"/>
                          <w:sz w:val="20"/>
                          <w:szCs w:val="18"/>
                        </w:rPr>
                        <w:t>order to understand the needs of the job (Hayden,</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2022</w:t>
                      </w:r>
                      <w:r w:rsidR="00BD6200">
                        <w:rPr>
                          <w:rFonts w:asciiTheme="minorHAnsi" w:hAnsiTheme="minorHAnsi" w:cstheme="minorHAnsi"/>
                          <w:sz w:val="20"/>
                          <w:szCs w:val="18"/>
                        </w:rPr>
                        <w:t>b</w:t>
                      </w:r>
                      <w:r w:rsidRPr="00C50630">
                        <w:rPr>
                          <w:rFonts w:asciiTheme="minorHAnsi" w:hAnsiTheme="minorHAnsi" w:cstheme="minorHAnsi"/>
                          <w:sz w:val="20"/>
                          <w:szCs w:val="18"/>
                        </w:rPr>
                        <w:t>). On-the-job training is a cost-effective and timely method that can be conducted immediately</w:t>
                      </w:r>
                      <w:r>
                        <w:rPr>
                          <w:rFonts w:asciiTheme="minorHAnsi" w:hAnsiTheme="minorHAnsi" w:cstheme="minorHAnsi"/>
                          <w:sz w:val="20"/>
                          <w:szCs w:val="18"/>
                        </w:rPr>
                        <w:t xml:space="preserve"> </w:t>
                      </w:r>
                      <w:r w:rsidRPr="00C50630">
                        <w:rPr>
                          <w:rFonts w:asciiTheme="minorHAnsi" w:hAnsiTheme="minorHAnsi" w:cstheme="minorHAnsi"/>
                          <w:sz w:val="20"/>
                          <w:szCs w:val="18"/>
                        </w:rPr>
                        <w:t>and with the participation of the</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trainee in the comfort of their own work environment, however, the knowledge and experience of the trainer could</w:t>
                      </w:r>
                      <w:r>
                        <w:rPr>
                          <w:rFonts w:asciiTheme="minorHAnsi" w:hAnsiTheme="minorHAnsi" w:cstheme="minorHAnsi"/>
                          <w:sz w:val="20"/>
                          <w:szCs w:val="18"/>
                        </w:rPr>
                        <w:t xml:space="preserve"> </w:t>
                      </w:r>
                      <w:r w:rsidRPr="00C50630">
                        <w:rPr>
                          <w:rFonts w:asciiTheme="minorHAnsi" w:hAnsiTheme="minorHAnsi" w:cstheme="minorHAnsi"/>
                          <w:sz w:val="20"/>
                          <w:szCs w:val="18"/>
                        </w:rPr>
                        <w:t>potentially affect the</w:t>
                      </w:r>
                    </w:p>
                    <w:p w:rsidR="00F52D8F" w:rsidRPr="00C50630"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standard of training the trainee receives (</w:t>
                      </w:r>
                      <w:proofErr w:type="spellStart"/>
                      <w:r w:rsidRPr="00C50630">
                        <w:rPr>
                          <w:rFonts w:asciiTheme="minorHAnsi" w:hAnsiTheme="minorHAnsi" w:cstheme="minorHAnsi"/>
                          <w:sz w:val="20"/>
                          <w:szCs w:val="18"/>
                        </w:rPr>
                        <w:t>Rishipal</w:t>
                      </w:r>
                      <w:proofErr w:type="spellEnd"/>
                      <w:r w:rsidRPr="00C50630">
                        <w:rPr>
                          <w:rFonts w:asciiTheme="minorHAnsi" w:hAnsiTheme="minorHAnsi" w:cstheme="minorHAnsi"/>
                          <w:sz w:val="20"/>
                          <w:szCs w:val="18"/>
                        </w:rPr>
                        <w:t xml:space="preserve">, 2011). </w:t>
                      </w:r>
                    </w:p>
                    <w:p w:rsidR="00F52D8F" w:rsidRPr="00C50630"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Coaching and mentoring are similar development processes predicated on conversations aimed at supporting a person in improving either</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a specific skill</w:t>
                      </w:r>
                      <w:r>
                        <w:rPr>
                          <w:rFonts w:asciiTheme="minorHAnsi" w:hAnsiTheme="minorHAnsi" w:cstheme="minorHAnsi"/>
                          <w:sz w:val="20"/>
                          <w:szCs w:val="18"/>
                        </w:rPr>
                        <w:t xml:space="preserve"> </w:t>
                      </w:r>
                      <w:r w:rsidRPr="00C50630">
                        <w:rPr>
                          <w:rFonts w:asciiTheme="minorHAnsi" w:hAnsiTheme="minorHAnsi" w:cstheme="minorHAnsi"/>
                          <w:sz w:val="20"/>
                          <w:szCs w:val="18"/>
                        </w:rPr>
                        <w:t>or more general work performance (</w:t>
                      </w:r>
                      <w:proofErr w:type="spellStart"/>
                      <w:r w:rsidRPr="00C50630">
                        <w:rPr>
                          <w:rFonts w:asciiTheme="minorHAnsi" w:hAnsiTheme="minorHAnsi" w:cstheme="minorHAnsi"/>
                          <w:sz w:val="20"/>
                          <w:szCs w:val="18"/>
                        </w:rPr>
                        <w:t>Parsloe</w:t>
                      </w:r>
                      <w:proofErr w:type="spellEnd"/>
                      <w:r w:rsidRPr="00C50630">
                        <w:rPr>
                          <w:rFonts w:asciiTheme="minorHAnsi" w:hAnsiTheme="minorHAnsi" w:cstheme="minorHAnsi"/>
                          <w:sz w:val="20"/>
                          <w:szCs w:val="18"/>
                        </w:rPr>
                        <w:t xml:space="preserve"> and </w:t>
                      </w:r>
                      <w:proofErr w:type="spellStart"/>
                      <w:r w:rsidRPr="00C50630">
                        <w:rPr>
                          <w:rFonts w:asciiTheme="minorHAnsi" w:hAnsiTheme="minorHAnsi" w:cstheme="minorHAnsi"/>
                          <w:sz w:val="20"/>
                          <w:szCs w:val="18"/>
                        </w:rPr>
                        <w:t>Leedham</w:t>
                      </w:r>
                      <w:proofErr w:type="spellEnd"/>
                      <w:r w:rsidRPr="00C50630">
                        <w:rPr>
                          <w:rFonts w:asciiTheme="minorHAnsi" w:hAnsiTheme="minorHAnsi" w:cstheme="minorHAnsi"/>
                          <w:sz w:val="20"/>
                          <w:szCs w:val="18"/>
                        </w:rPr>
                        <w:t>, 2017). Coaching can be provided in a defined time-frame or be</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incorporated into a leadership</w:t>
                      </w:r>
                      <w:r>
                        <w:rPr>
                          <w:rFonts w:asciiTheme="minorHAnsi" w:hAnsiTheme="minorHAnsi" w:cstheme="minorHAnsi"/>
                          <w:sz w:val="20"/>
                          <w:szCs w:val="18"/>
                        </w:rPr>
                        <w:t xml:space="preserve"> </w:t>
                      </w:r>
                      <w:r w:rsidRPr="00C50630">
                        <w:rPr>
                          <w:rFonts w:asciiTheme="minorHAnsi" w:hAnsiTheme="minorHAnsi" w:cstheme="minorHAnsi"/>
                          <w:sz w:val="20"/>
                          <w:szCs w:val="18"/>
                        </w:rPr>
                        <w:t>and management style, and is more of a partnership than mentoring, assisting and supporting the</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individual the skills they are aiming to develop</w:t>
                      </w:r>
                      <w:r>
                        <w:rPr>
                          <w:rFonts w:asciiTheme="minorHAnsi" w:hAnsiTheme="minorHAnsi" w:cstheme="minorHAnsi"/>
                          <w:sz w:val="20"/>
                          <w:szCs w:val="18"/>
                        </w:rPr>
                        <w:t xml:space="preserve"> </w:t>
                      </w:r>
                      <w:r w:rsidRPr="00C50630">
                        <w:rPr>
                          <w:rFonts w:asciiTheme="minorHAnsi" w:hAnsiTheme="minorHAnsi" w:cstheme="minorHAnsi"/>
                          <w:sz w:val="20"/>
                          <w:szCs w:val="18"/>
                        </w:rPr>
                        <w:t>(Blakemore, 2014). Mentoring is a long-term relationship wherein the mentor acts as a rol</w:t>
                      </w:r>
                      <w:r>
                        <w:rPr>
                          <w:rFonts w:asciiTheme="minorHAnsi" w:hAnsiTheme="minorHAnsi" w:cstheme="minorHAnsi"/>
                          <w:sz w:val="20"/>
                          <w:szCs w:val="18"/>
                        </w:rPr>
                        <w:t>e</w:t>
                      </w:r>
                    </w:p>
                    <w:p w:rsidR="00F52D8F" w:rsidRPr="00C14AAF" w:rsidRDefault="00F52D8F" w:rsidP="00C14AAF">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model and source of knowledge and experience for the</w:t>
                      </w:r>
                      <w:r>
                        <w:rPr>
                          <w:rFonts w:asciiTheme="minorHAnsi" w:hAnsiTheme="minorHAnsi" w:cstheme="minorHAnsi"/>
                          <w:sz w:val="20"/>
                          <w:szCs w:val="18"/>
                        </w:rPr>
                        <w:t xml:space="preserve"> </w:t>
                      </w:r>
                      <w:r w:rsidRPr="00C50630">
                        <w:rPr>
                          <w:rFonts w:asciiTheme="minorHAnsi" w:hAnsiTheme="minorHAnsi" w:cstheme="minorHAnsi"/>
                          <w:sz w:val="20"/>
                          <w:szCs w:val="18"/>
                        </w:rPr>
                        <w:t xml:space="preserve">mentee to learn from (Zachary, 2005). </w:t>
                      </w:r>
                    </w:p>
                  </w:txbxContent>
                </v:textbox>
                <w10:wrap anchorx="margin"/>
              </v:shape>
            </w:pict>
          </mc:Fallback>
        </mc:AlternateContent>
      </w:r>
      <w:r w:rsidR="00C50630">
        <w:rPr>
          <w:noProof/>
        </w:rPr>
        <mc:AlternateContent>
          <mc:Choice Requires="wps">
            <w:drawing>
              <wp:anchor distT="45720" distB="45720" distL="114300" distR="114300" simplePos="0" relativeHeight="251668480" behindDoc="0" locked="0" layoutInCell="1" allowOverlap="1">
                <wp:simplePos x="0" y="0"/>
                <wp:positionH relativeFrom="page">
                  <wp:posOffset>99060</wp:posOffset>
                </wp:positionH>
                <wp:positionV relativeFrom="paragraph">
                  <wp:posOffset>3581400</wp:posOffset>
                </wp:positionV>
                <wp:extent cx="7071360" cy="313182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3131820"/>
                        </a:xfrm>
                        <a:prstGeom prst="rect">
                          <a:avLst/>
                        </a:prstGeom>
                        <a:solidFill>
                          <a:srgbClr val="FFFFFF"/>
                        </a:solidFill>
                        <a:ln w="9525">
                          <a:noFill/>
                          <a:miter lim="800000"/>
                          <a:headEnd/>
                          <a:tailEnd/>
                        </a:ln>
                      </wps:spPr>
                      <wps:txbx>
                        <w:txbxContent>
                          <w:p w:rsidR="00F52D8F" w:rsidRPr="00C50630" w:rsidRDefault="00F52D8F" w:rsidP="00775368">
                            <w:pPr>
                              <w:rPr>
                                <w:b/>
                                <w:i/>
                                <w:color w:val="002060"/>
                                <w:u w:val="single"/>
                              </w:rPr>
                            </w:pPr>
                            <w:r w:rsidRPr="00C50630">
                              <w:rPr>
                                <w:b/>
                                <w:i/>
                                <w:color w:val="002060"/>
                                <w:u w:val="single"/>
                              </w:rPr>
                              <w:t>Learning needs and how they arise</w:t>
                            </w:r>
                            <w:r>
                              <w:rPr>
                                <w:b/>
                                <w:i/>
                                <w:color w:val="002060"/>
                                <w:u w:val="single"/>
                              </w:rPr>
                              <w:t xml:space="preserve"> (AC 6.2)</w:t>
                            </w:r>
                          </w:p>
                          <w:p w:rsidR="00F52D8F" w:rsidRDefault="00F52D8F" w:rsidP="00BC7D9E">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It is vital for us to understand the business’ learning needs on an organisational level, for specific departments and for individual</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employees and how these link to potential performance gaps (Hayden, 2022</w:t>
                            </w:r>
                            <w:r>
                              <w:rPr>
                                <w:rFonts w:asciiTheme="minorHAnsi" w:hAnsiTheme="minorHAnsi" w:cstheme="minorHAnsi"/>
                                <w:sz w:val="20"/>
                                <w:szCs w:val="22"/>
                              </w:rPr>
                              <w:t>a</w:t>
                            </w:r>
                            <w:r w:rsidRPr="00C50630">
                              <w:rPr>
                                <w:rFonts w:asciiTheme="minorHAnsi" w:hAnsiTheme="minorHAnsi" w:cstheme="minorHAnsi"/>
                                <w:sz w:val="20"/>
                                <w:szCs w:val="22"/>
                              </w:rPr>
                              <w:t>). Individual underperformance is often correlated to a</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‘skills gap’ or lack of knowledge required for an employee to adequately perform their role (Wilton, 2016). Employees will feel the</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need for learning and development at different stages of their career journey and a continuous programme of upskilling will not only</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increase the value of employees’ skills but, additionally, ensure that employees feel empowered to stretch and grow in their roles</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w:t>
                            </w:r>
                            <w:proofErr w:type="spellStart"/>
                            <w:r w:rsidRPr="00C50630">
                              <w:rPr>
                                <w:rFonts w:asciiTheme="minorHAnsi" w:hAnsiTheme="minorHAnsi" w:cstheme="minorHAnsi"/>
                                <w:sz w:val="20"/>
                                <w:szCs w:val="22"/>
                              </w:rPr>
                              <w:t>OBeirne</w:t>
                            </w:r>
                            <w:proofErr w:type="spellEnd"/>
                            <w:r w:rsidRPr="00C50630">
                              <w:rPr>
                                <w:rFonts w:asciiTheme="minorHAnsi" w:hAnsiTheme="minorHAnsi" w:cstheme="minorHAnsi"/>
                                <w:sz w:val="20"/>
                                <w:szCs w:val="22"/>
                              </w:rPr>
                              <w:t>, 2022). Continuous professional development, or CPD, is, frequently, an expectation or, even, requirement in most careers</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and regulated by a professional body. For example, our domiciliary care workers are registered with the body Social Care Wales who</w:t>
                            </w:r>
                          </w:p>
                          <w:p w:rsidR="00F52D8F" w:rsidRPr="00C50630"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 xml:space="preserve">require their members to log a certain number of CPD hours (Social Care Wales, 2022). </w:t>
                            </w:r>
                          </w:p>
                          <w:p w:rsidR="00F52D8F" w:rsidRPr="00C50630" w:rsidRDefault="00F52D8F" w:rsidP="00BC7D9E">
                            <w:pPr>
                              <w:pStyle w:val="Listparag"/>
                              <w:numPr>
                                <w:ilvl w:val="0"/>
                                <w:numId w:val="0"/>
                              </w:numPr>
                              <w:pBdr>
                                <w:bar w:val="single" w:sz="4" w:color="auto"/>
                              </w:pBdr>
                              <w:spacing w:after="0"/>
                              <w:rPr>
                                <w:rFonts w:asciiTheme="minorHAnsi" w:hAnsiTheme="minorHAnsi" w:cstheme="minorHAnsi"/>
                                <w:sz w:val="20"/>
                                <w:szCs w:val="22"/>
                              </w:rPr>
                            </w:pPr>
                          </w:p>
                          <w:p w:rsidR="00F52D8F" w:rsidRPr="00C50630" w:rsidRDefault="00F52D8F" w:rsidP="00BC7D9E">
                            <w:pPr>
                              <w:pStyle w:val="Listparag"/>
                              <w:numPr>
                                <w:ilvl w:val="0"/>
                                <w:numId w:val="0"/>
                              </w:numPr>
                              <w:pBdr>
                                <w:bar w:val="single" w:sz="4" w:color="auto"/>
                              </w:pBdr>
                              <w:spacing w:after="0"/>
                              <w:rPr>
                                <w:rFonts w:asciiTheme="minorHAnsi" w:hAnsiTheme="minorHAnsi" w:cstheme="minorHAnsi"/>
                                <w:sz w:val="20"/>
                                <w:szCs w:val="22"/>
                              </w:rPr>
                            </w:pPr>
                            <w:r w:rsidRPr="00C50630">
                              <w:rPr>
                                <w:rFonts w:asciiTheme="minorHAnsi" w:hAnsiTheme="minorHAnsi" w:cstheme="minorHAnsi"/>
                                <w:sz w:val="20"/>
                                <w:szCs w:val="22"/>
                              </w:rPr>
                              <w:t xml:space="preserve">The disruptive nature of society in recent years has exacerbated the ‘skills gap’ in the current labour market, in particular, the COVID-19 pandemic and the shift in working models to increased home and remote working (Valente, 2023). Furthermore, technological advancements in artificial intelligence, data analysis and automation has spotlighted a specific digital skills gap in society that organisations are trying to catch up on (Law, 2022). These external factors will, inevitably, affect organisational strategy and processes, leading to changes that will need accompanied training in the long-term to support those changes </w:t>
                            </w:r>
                            <w:r w:rsidRPr="00C50630">
                              <w:rPr>
                                <w:rFonts w:asciiTheme="minorHAnsi" w:hAnsiTheme="minorHAnsi" w:cstheme="minorHAnsi"/>
                                <w:sz w:val="20"/>
                                <w:szCs w:val="20"/>
                              </w:rPr>
                              <w:t xml:space="preserve">successfully (Sartori et al, 2018). Lastly, all of these environmental changes have shifted customer expectations of organisations, forcing organisations and their employees to adapt and innovate to meet both industrial and customer demands (Gibbons, 2020). </w:t>
                            </w:r>
                          </w:p>
                          <w:p w:rsidR="00F52D8F" w:rsidRPr="00BC7D9E" w:rsidRDefault="00F52D8F">
                            <w:pPr>
                              <w:rPr>
                                <w:rFonts w:cstheme="minorHAnsi"/>
                                <w: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7.8pt;margin-top:282pt;width:556.8pt;height:246.6pt;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" stroked="f">
                <v:textbox>
                  <w:txbxContent>
                    <w:p w:rsidR="00F52D8F" w:rsidRPr="00C50630" w:rsidRDefault="00F52D8F" w:rsidP="00775368">
                      <w:pPr>
                        <w:rPr>
                          <w:b/>
                          <w:i/>
                          <w:color w:val="002060"/>
                          <w:u w:val="single"/>
                        </w:rPr>
                      </w:pPr>
                      <w:r w:rsidRPr="00C50630">
                        <w:rPr>
                          <w:b/>
                          <w:i/>
                          <w:color w:val="002060"/>
                          <w:u w:val="single"/>
                        </w:rPr>
                        <w:t>Learning needs and how they arise</w:t>
                      </w:r>
                      <w:r>
                        <w:rPr>
                          <w:b/>
                          <w:i/>
                          <w:color w:val="002060"/>
                          <w:u w:val="single"/>
                        </w:rPr>
                        <w:t xml:space="preserve"> (AC 6.2)</w:t>
                      </w:r>
                    </w:p>
                    <w:p w:rsidR="00F52D8F" w:rsidRDefault="00F52D8F" w:rsidP="00BC7D9E">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It is vital for us to understand the business’ learning needs on an organisational level, for specific departments and for individual</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employees and how these link to potential performance gaps (Hayden, 2022</w:t>
                      </w:r>
                      <w:r>
                        <w:rPr>
                          <w:rFonts w:asciiTheme="minorHAnsi" w:hAnsiTheme="minorHAnsi" w:cstheme="minorHAnsi"/>
                          <w:sz w:val="20"/>
                          <w:szCs w:val="22"/>
                        </w:rPr>
                        <w:t>a</w:t>
                      </w:r>
                      <w:r w:rsidRPr="00C50630">
                        <w:rPr>
                          <w:rFonts w:asciiTheme="minorHAnsi" w:hAnsiTheme="minorHAnsi" w:cstheme="minorHAnsi"/>
                          <w:sz w:val="20"/>
                          <w:szCs w:val="22"/>
                        </w:rPr>
                        <w:t>). Individual underperformance is often correlated to a</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‘skills gap’ or lack of knowledge required for an employee to adequately perform their role (Wilton, 2016). Employees will feel the</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need for learning and development at different stages of their career journey and a continuous programme of upskilling will not only</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increase the value of employees’ skills but, additionally, ensure that employees feel empowered to stretch and grow in their roles</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w:t>
                      </w:r>
                      <w:proofErr w:type="spellStart"/>
                      <w:r w:rsidRPr="00C50630">
                        <w:rPr>
                          <w:rFonts w:asciiTheme="minorHAnsi" w:hAnsiTheme="minorHAnsi" w:cstheme="minorHAnsi"/>
                          <w:sz w:val="20"/>
                          <w:szCs w:val="22"/>
                        </w:rPr>
                        <w:t>OBeirne</w:t>
                      </w:r>
                      <w:proofErr w:type="spellEnd"/>
                      <w:r w:rsidRPr="00C50630">
                        <w:rPr>
                          <w:rFonts w:asciiTheme="minorHAnsi" w:hAnsiTheme="minorHAnsi" w:cstheme="minorHAnsi"/>
                          <w:sz w:val="20"/>
                          <w:szCs w:val="22"/>
                        </w:rPr>
                        <w:t>, 2022). Continuous professional development, or CPD, is, frequently, an expectation or, even, requirement in most careers</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and regulated by a professional body. For example, our domiciliary care workers are registered with the body Social Care Wales who</w:t>
                      </w:r>
                    </w:p>
                    <w:p w:rsidR="00F52D8F" w:rsidRPr="00C50630" w:rsidRDefault="00F52D8F" w:rsidP="00C50630">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 xml:space="preserve">require their members to log a certain number of CPD hours (Social Care Wales, 2022). </w:t>
                      </w:r>
                    </w:p>
                    <w:p w:rsidR="00F52D8F" w:rsidRPr="00C50630" w:rsidRDefault="00F52D8F" w:rsidP="00BC7D9E">
                      <w:pPr>
                        <w:pStyle w:val="Listparag"/>
                        <w:numPr>
                          <w:ilvl w:val="0"/>
                          <w:numId w:val="0"/>
                        </w:numPr>
                        <w:pBdr>
                          <w:bar w:val="single" w:sz="4" w:color="auto"/>
                        </w:pBdr>
                        <w:spacing w:after="0"/>
                        <w:rPr>
                          <w:rFonts w:asciiTheme="minorHAnsi" w:hAnsiTheme="minorHAnsi" w:cstheme="minorHAnsi"/>
                          <w:sz w:val="20"/>
                          <w:szCs w:val="22"/>
                        </w:rPr>
                      </w:pPr>
                    </w:p>
                    <w:p w:rsidR="00F52D8F" w:rsidRPr="00C50630" w:rsidRDefault="00F52D8F" w:rsidP="00BC7D9E">
                      <w:pPr>
                        <w:pStyle w:val="Listparag"/>
                        <w:numPr>
                          <w:ilvl w:val="0"/>
                          <w:numId w:val="0"/>
                        </w:numPr>
                        <w:pBdr>
                          <w:bar w:val="single" w:sz="4" w:color="auto"/>
                        </w:pBdr>
                        <w:spacing w:after="0"/>
                        <w:rPr>
                          <w:rFonts w:asciiTheme="minorHAnsi" w:hAnsiTheme="minorHAnsi" w:cstheme="minorHAnsi"/>
                          <w:sz w:val="20"/>
                          <w:szCs w:val="22"/>
                        </w:rPr>
                      </w:pPr>
                      <w:r w:rsidRPr="00C50630">
                        <w:rPr>
                          <w:rFonts w:asciiTheme="minorHAnsi" w:hAnsiTheme="minorHAnsi" w:cstheme="minorHAnsi"/>
                          <w:sz w:val="20"/>
                          <w:szCs w:val="22"/>
                        </w:rPr>
                        <w:t xml:space="preserve">The disruptive nature of society in recent years has exacerbated the ‘skills gap’ in the current labour market, in particular, the COVID-19 pandemic and the shift in working models to increased home and remote working (Valente, 2023). Furthermore, technological advancements in artificial intelligence, data analysis and automation has spotlighted a specific digital skills gap in society that organisations are trying to catch up on (Law, 2022). These external factors will, inevitably, affect organisational strategy and processes, leading to changes that will need accompanied training in the long-term to support those changes </w:t>
                      </w:r>
                      <w:r w:rsidRPr="00C50630">
                        <w:rPr>
                          <w:rFonts w:asciiTheme="minorHAnsi" w:hAnsiTheme="minorHAnsi" w:cstheme="minorHAnsi"/>
                          <w:sz w:val="20"/>
                          <w:szCs w:val="20"/>
                        </w:rPr>
                        <w:t xml:space="preserve">successfully (Sartori et al, 2018). Lastly, all of these environmental changes have shifted customer expectations of organisations, forcing organisations and their employees to adapt and innovate to meet both industrial and customer demands (Gibbons, 2020). </w:t>
                      </w:r>
                    </w:p>
                    <w:p w:rsidR="00F52D8F" w:rsidRPr="00BC7D9E" w:rsidRDefault="00F52D8F">
                      <w:pPr>
                        <w:rPr>
                          <w:rFonts w:cstheme="minorHAnsi"/>
                          <w:i/>
                          <w:sz w:val="20"/>
                          <w:szCs w:val="20"/>
                        </w:rPr>
                      </w:pPr>
                    </w:p>
                  </w:txbxContent>
                </v:textbox>
                <w10:wrap anchorx="page"/>
              </v:shape>
            </w:pict>
          </mc:Fallback>
        </mc:AlternateContent>
      </w:r>
      <w:r w:rsidR="00C50630" w:rsidRPr="002F7224">
        <w:rPr>
          <w:noProof/>
          <w:sz w:val="40"/>
        </w:rPr>
        <mc:AlternateContent>
          <mc:Choice Requires="wps">
            <w:drawing>
              <wp:anchor distT="45720" distB="45720" distL="114300" distR="114300" simplePos="0" relativeHeight="251664384" behindDoc="0" locked="0" layoutInCell="1" allowOverlap="1">
                <wp:simplePos x="0" y="0"/>
                <wp:positionH relativeFrom="page">
                  <wp:posOffset>99060</wp:posOffset>
                </wp:positionH>
                <wp:positionV relativeFrom="paragraph">
                  <wp:posOffset>647700</wp:posOffset>
                </wp:positionV>
                <wp:extent cx="7223760" cy="291846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3760" cy="2918460"/>
                        </a:xfrm>
                        <a:prstGeom prst="rect">
                          <a:avLst/>
                        </a:prstGeom>
                        <a:solidFill>
                          <a:srgbClr val="FFFFFF"/>
                        </a:solidFill>
                        <a:ln w="9525">
                          <a:noFill/>
                          <a:miter lim="800000"/>
                          <a:headEnd/>
                          <a:tailEnd/>
                        </a:ln>
                      </wps:spPr>
                      <wps:txbx>
                        <w:txbxContent>
                          <w:p w:rsidR="00F52D8F" w:rsidRPr="00C50630" w:rsidRDefault="00F52D8F" w:rsidP="002F7224">
                            <w:pPr>
                              <w:rPr>
                                <w:b/>
                                <w:i/>
                                <w:color w:val="002060"/>
                                <w:sz w:val="20"/>
                                <w:u w:val="single"/>
                              </w:rPr>
                            </w:pPr>
                            <w:r w:rsidRPr="00C50630">
                              <w:rPr>
                                <w:b/>
                                <w:i/>
                                <w:color w:val="002060"/>
                                <w:sz w:val="20"/>
                                <w:u w:val="single"/>
                              </w:rPr>
                              <w:t>Benefits of L&amp;D</w:t>
                            </w:r>
                            <w:r>
                              <w:rPr>
                                <w:b/>
                                <w:i/>
                                <w:color w:val="002060"/>
                                <w:sz w:val="20"/>
                                <w:u w:val="single"/>
                              </w:rPr>
                              <w:t xml:space="preserve"> (AC 6.1)</w:t>
                            </w:r>
                          </w:p>
                          <w:p w:rsidR="00F52D8F" w:rsidRDefault="00F52D8F" w:rsidP="00BC7D9E">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At its core, the purpose of employee development is the learning and education of skills and knowledge necessary for their role,</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equipping them with</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the tools they need to perform their role successfully and, furthermore, progress in their career through</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promotion (Heinz, 2023; Beaus, 2017).</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Learning and development (L&amp;D) programmes create knowledgeable, capable workers who can</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support each other through teamwork and are confident in their abilities (Frost, 2019). Offering L&amp;D opportunities makes employees</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feel valued and appreciated, which improves levels of job</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satisfaction and performance; benefitting both the individual employees and</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the organisation as a whole (Tsai et al, 2007). Employees who feel their</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professional development is prioritised at an organisation are</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more likely to be loyal and stay with that organisation, improving retention rates and</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contributing to the organisation’s reputation as an</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employer of choice (Halvorson, 2015). Attracting talented candidates as an organisation that</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invests in employee development will</w:t>
                            </w:r>
                          </w:p>
                          <w:p w:rsidR="00F52D8F" w:rsidRPr="00C50630"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become much easier as job seekers increasingly consider L&amp;D when deliberating job offers (Heinz, 2023; Valente,2023).</w:t>
                            </w:r>
                          </w:p>
                          <w:p w:rsidR="00F52D8F" w:rsidRPr="00C50630" w:rsidRDefault="00F52D8F" w:rsidP="003B644E">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p>
                          <w:p w:rsidR="00F52D8F" w:rsidRDefault="00F52D8F" w:rsidP="00BC7D9E">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Staying current and moving with industrial advancements is vital for the success of</w:t>
                            </w:r>
                            <w:r w:rsidRPr="00C50630">
                              <w:rPr>
                                <w:rFonts w:asciiTheme="minorBidi" w:hAnsiTheme="minorBidi" w:cstheme="minorBidi"/>
                                <w:color w:val="000000" w:themeColor="text1"/>
                                <w:sz w:val="20"/>
                                <w:szCs w:val="22"/>
                              </w:rPr>
                              <w:t xml:space="preserve"> </w:t>
                            </w:r>
                            <w:r w:rsidRPr="00C50630">
                              <w:rPr>
                                <w:rFonts w:asciiTheme="minorHAnsi" w:hAnsiTheme="minorHAnsi" w:cstheme="minorHAnsi"/>
                                <w:color w:val="000000" w:themeColor="text1"/>
                                <w:sz w:val="20"/>
                                <w:szCs w:val="22"/>
                              </w:rPr>
                              <w:t>an organisation; employee development</w:t>
                            </w:r>
                            <w:r w:rsidRPr="00C50630">
                              <w:rPr>
                                <w:rFonts w:asciiTheme="minorBidi" w:hAnsiTheme="minorBidi" w:cstheme="minorBidi"/>
                                <w:color w:val="000000" w:themeColor="text1"/>
                                <w:sz w:val="20"/>
                                <w:szCs w:val="22"/>
                              </w:rPr>
                              <w:t xml:space="preserve"> </w:t>
                            </w:r>
                            <w:r w:rsidRPr="00C50630">
                              <w:rPr>
                                <w:rFonts w:asciiTheme="minorHAnsi" w:hAnsiTheme="minorHAnsi" w:cstheme="minorHAnsi"/>
                                <w:color w:val="000000" w:themeColor="text1"/>
                                <w:sz w:val="20"/>
                                <w:szCs w:val="22"/>
                              </w:rPr>
                              <w:t>ensures</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workers learn the</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skills needed to be cutting edge and stay ahead of competitors (Ayers, 2017). The investment of L&amp;D by an</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organisation has been shown to pay dividends through both boosted productivity and increased revenue (Walsh, 2017). Training in sof</w:t>
                            </w:r>
                            <w:r>
                              <w:rPr>
                                <w:rFonts w:asciiTheme="minorHAnsi" w:hAnsiTheme="minorHAnsi" w:cstheme="minorHAnsi"/>
                                <w:color w:val="000000" w:themeColor="text1"/>
                                <w:sz w:val="20"/>
                                <w:szCs w:val="22"/>
                              </w:rPr>
                              <w:t xml:space="preserve">t </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skills will encourage certain employees looking to</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progress in their careers to feel more confident and consider leadership roles within</w:t>
                            </w:r>
                          </w:p>
                          <w:p w:rsidR="00F52D8F" w:rsidRPr="00C50630"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the organisation, enabling internal promotion and</w:t>
                            </w:r>
                            <w:bookmarkStart w:id="0" w:name="_GoBack"/>
                            <w:bookmarkEnd w:id="0"/>
                            <w:r w:rsidRPr="00C50630">
                              <w:rPr>
                                <w:rFonts w:asciiTheme="minorHAnsi" w:hAnsiTheme="minorHAnsi" w:cstheme="minorHAnsi"/>
                                <w:color w:val="000000" w:themeColor="text1"/>
                                <w:sz w:val="20"/>
                                <w:szCs w:val="22"/>
                              </w:rPr>
                              <w:t xml:space="preserve"> succession planning (Heinz, 2023; Ayers, 2017).</w:t>
                            </w:r>
                          </w:p>
                          <w:p w:rsidR="00F52D8F" w:rsidRPr="002F7224" w:rsidRDefault="00F52D8F" w:rsidP="002F7224">
                            <w:pPr>
                              <w:rPr>
                                <w:sz w:val="20"/>
                              </w:rPr>
                            </w:pPr>
                          </w:p>
                          <w:p w:rsidR="00F52D8F" w:rsidRDefault="00F52D8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7.8pt;margin-top:51pt;width:568.8pt;height:229.8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" stroked="f">
                <v:textbox>
                  <w:txbxContent>
                    <w:p w:rsidR="00F52D8F" w:rsidRPr="00C50630" w:rsidRDefault="00F52D8F" w:rsidP="002F7224">
                      <w:pPr>
                        <w:rPr>
                          <w:b/>
                          <w:i/>
                          <w:color w:val="002060"/>
                          <w:sz w:val="20"/>
                          <w:u w:val="single"/>
                        </w:rPr>
                      </w:pPr>
                      <w:r w:rsidRPr="00C50630">
                        <w:rPr>
                          <w:b/>
                          <w:i/>
                          <w:color w:val="002060"/>
                          <w:sz w:val="20"/>
                          <w:u w:val="single"/>
                        </w:rPr>
                        <w:t>Benefits of L&amp;D</w:t>
                      </w:r>
                      <w:r>
                        <w:rPr>
                          <w:b/>
                          <w:i/>
                          <w:color w:val="002060"/>
                          <w:sz w:val="20"/>
                          <w:u w:val="single"/>
                        </w:rPr>
                        <w:t xml:space="preserve"> (AC 6.1)</w:t>
                      </w:r>
                    </w:p>
                    <w:p w:rsidR="00F52D8F" w:rsidRDefault="00F52D8F" w:rsidP="00BC7D9E">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At its core, the purpose of employee development is the learning and education of skills and knowledge necessary for their role,</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equipping them with</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the tools they need to perform their role successfully and, furthermore, progress in their career through</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promotion (Heinz, 2023; Beaus, 2017).</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Learning and development (L&amp;D) programmes create knowledgeable, capable workers who can</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support each other through teamwork and are confident in their abilities (Frost, 2019). Offering L&amp;D opportunities makes employees</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feel valued and appreciated, which improves levels of job</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satisfaction and performance; benefitting both the individual employees and</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the organisation as a whole (Tsai et al, 2007). Employees who feel their</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professional development is prioritised at an organisation are</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more likely to be loyal and stay with that organisation, improving retention rates and</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contributing to the organisation’s reputation as an</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employer of choice (Halvorson, 2015). Attracting talented candidates as an organisation that</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invests in employee development will</w:t>
                      </w:r>
                    </w:p>
                    <w:p w:rsidR="00F52D8F" w:rsidRPr="00C50630"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become much easier as job seekers increasingly consider L&amp;D when deliberating job offers (Heinz, 2023; Valente,2023).</w:t>
                      </w:r>
                    </w:p>
                    <w:p w:rsidR="00F52D8F" w:rsidRPr="00C50630" w:rsidRDefault="00F52D8F" w:rsidP="003B644E">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p>
                    <w:p w:rsidR="00F52D8F" w:rsidRDefault="00F52D8F" w:rsidP="00BC7D9E">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Staying current and moving with industrial advancements is vital for the success of</w:t>
                      </w:r>
                      <w:r w:rsidRPr="00C50630">
                        <w:rPr>
                          <w:rFonts w:asciiTheme="minorBidi" w:hAnsiTheme="minorBidi" w:cstheme="minorBidi"/>
                          <w:color w:val="000000" w:themeColor="text1"/>
                          <w:sz w:val="20"/>
                          <w:szCs w:val="22"/>
                        </w:rPr>
                        <w:t xml:space="preserve"> </w:t>
                      </w:r>
                      <w:r w:rsidRPr="00C50630">
                        <w:rPr>
                          <w:rFonts w:asciiTheme="minorHAnsi" w:hAnsiTheme="minorHAnsi" w:cstheme="minorHAnsi"/>
                          <w:color w:val="000000" w:themeColor="text1"/>
                          <w:sz w:val="20"/>
                          <w:szCs w:val="22"/>
                        </w:rPr>
                        <w:t>an organisation; employee development</w:t>
                      </w:r>
                      <w:r w:rsidRPr="00C50630">
                        <w:rPr>
                          <w:rFonts w:asciiTheme="minorBidi" w:hAnsiTheme="minorBidi" w:cstheme="minorBidi"/>
                          <w:color w:val="000000" w:themeColor="text1"/>
                          <w:sz w:val="20"/>
                          <w:szCs w:val="22"/>
                        </w:rPr>
                        <w:t xml:space="preserve"> </w:t>
                      </w:r>
                      <w:r w:rsidRPr="00C50630">
                        <w:rPr>
                          <w:rFonts w:asciiTheme="minorHAnsi" w:hAnsiTheme="minorHAnsi" w:cstheme="minorHAnsi"/>
                          <w:color w:val="000000" w:themeColor="text1"/>
                          <w:sz w:val="20"/>
                          <w:szCs w:val="22"/>
                        </w:rPr>
                        <w:t>ensures</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workers learn the</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skills needed to be cutting edge and stay ahead of competitors (Ayers, 2017). The investment of L&amp;D by an</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organisation has been shown to pay dividends through both boosted productivity and increased revenue (Walsh, 2017). Training in sof</w:t>
                      </w:r>
                      <w:r>
                        <w:rPr>
                          <w:rFonts w:asciiTheme="minorHAnsi" w:hAnsiTheme="minorHAnsi" w:cstheme="minorHAnsi"/>
                          <w:color w:val="000000" w:themeColor="text1"/>
                          <w:sz w:val="20"/>
                          <w:szCs w:val="22"/>
                        </w:rPr>
                        <w:t xml:space="preserve">t </w:t>
                      </w:r>
                    </w:p>
                    <w:p w:rsidR="00F52D8F"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skills will encourage certain employees looking to</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progress in their careers to feel more confident and consider leadership roles within</w:t>
                      </w:r>
                    </w:p>
                    <w:p w:rsidR="00F52D8F" w:rsidRPr="00C50630" w:rsidRDefault="00F52D8F" w:rsidP="00C50630">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the organisation, enabling internal promotion and</w:t>
                      </w:r>
                      <w:bookmarkStart w:id="1" w:name="_GoBack"/>
                      <w:bookmarkEnd w:id="1"/>
                      <w:r w:rsidRPr="00C50630">
                        <w:rPr>
                          <w:rFonts w:asciiTheme="minorHAnsi" w:hAnsiTheme="minorHAnsi" w:cstheme="minorHAnsi"/>
                          <w:color w:val="000000" w:themeColor="text1"/>
                          <w:sz w:val="20"/>
                          <w:szCs w:val="22"/>
                        </w:rPr>
                        <w:t xml:space="preserve"> succession planning (Heinz, 2023; Ayers, 2017).</w:t>
                      </w:r>
                    </w:p>
                    <w:p w:rsidR="00F52D8F" w:rsidRPr="002F7224" w:rsidRDefault="00F52D8F" w:rsidP="002F7224">
                      <w:pPr>
                        <w:rPr>
                          <w:sz w:val="20"/>
                        </w:rPr>
                      </w:pPr>
                    </w:p>
                    <w:p w:rsidR="00F52D8F" w:rsidRDefault="00F52D8F"/>
                  </w:txbxContent>
                </v:textbox>
                <w10:wrap type="square" anchorx="page"/>
              </v:shape>
            </w:pict>
          </mc:Fallback>
        </mc:AlternateContent>
      </w:r>
      <w:r w:rsidR="003B644E" w:rsidRPr="002F7224">
        <w:rPr>
          <w:noProof/>
          <w:sz w:val="40"/>
        </w:rPr>
        <mc:AlternateContent>
          <mc:Choice Requires="wps">
            <w:drawing>
              <wp:anchor distT="45720" distB="45720" distL="114300" distR="114300" simplePos="0" relativeHeight="251662336" behindDoc="0" locked="0" layoutInCell="1" allowOverlap="1">
                <wp:simplePos x="0" y="0"/>
                <wp:positionH relativeFrom="column">
                  <wp:posOffset>-815340</wp:posOffset>
                </wp:positionH>
                <wp:positionV relativeFrom="paragraph">
                  <wp:posOffset>-129540</wp:posOffset>
                </wp:positionV>
                <wp:extent cx="5829300" cy="9906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990600"/>
                        </a:xfrm>
                        <a:prstGeom prst="rect">
                          <a:avLst/>
                        </a:prstGeom>
                        <a:solidFill>
                          <a:srgbClr val="FFFFFF"/>
                        </a:solidFill>
                        <a:ln w="9525">
                          <a:noFill/>
                          <a:miter lim="800000"/>
                          <a:headEnd/>
                          <a:tailEnd/>
                        </a:ln>
                      </wps:spPr>
                      <wps:txbx>
                        <w:txbxContent>
                          <w:p w:rsidR="00F52D8F" w:rsidRPr="00C50630" w:rsidRDefault="00F52D8F">
                            <w:pPr>
                              <w:rPr>
                                <w:i/>
                                <w:color w:val="000000" w:themeColor="text1"/>
                                <w:sz w:val="20"/>
                              </w:rPr>
                            </w:pPr>
                            <w:r w:rsidRPr="00C50630">
                              <w:rPr>
                                <w:i/>
                                <w:color w:val="000000" w:themeColor="text1"/>
                                <w:sz w:val="20"/>
                              </w:rPr>
                              <w:t xml:space="preserve">This </w:t>
                            </w:r>
                            <w:r>
                              <w:rPr>
                                <w:i/>
                                <w:color w:val="000000" w:themeColor="text1"/>
                                <w:sz w:val="20"/>
                              </w:rPr>
                              <w:t>document</w:t>
                            </w:r>
                            <w:r w:rsidRPr="00C50630">
                              <w:rPr>
                                <w:i/>
                                <w:color w:val="000000" w:themeColor="text1"/>
                                <w:sz w:val="20"/>
                              </w:rPr>
                              <w:t xml:space="preserve"> has been developed to provide managers with an understanding of how </w:t>
                            </w:r>
                            <w:r w:rsidRPr="00C50630">
                              <w:rPr>
                                <w:b/>
                                <w:i/>
                                <w:color w:val="000000" w:themeColor="text1"/>
                                <w:sz w:val="20"/>
                              </w:rPr>
                              <w:t>learning and development (L&amp;D)</w:t>
                            </w:r>
                            <w:r w:rsidRPr="00C50630">
                              <w:rPr>
                                <w:i/>
                                <w:color w:val="000000" w:themeColor="text1"/>
                                <w:sz w:val="20"/>
                              </w:rPr>
                              <w:t xml:space="preserve"> benefits our individual employees, teams and the overall organisation. It explores the different approaches we could use in our future L&amp;D initiatives, the learning styles and preferences of our employees we would need to consider and how we can evaluate the effectiveness of our L&amp;D.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64.2pt;margin-top:-10.2pt;width:459pt;height:7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" stroked="f">
                <v:textbox>
                  <w:txbxContent>
                    <w:p w:rsidR="00F52D8F" w:rsidRPr="00C50630" w:rsidRDefault="00F52D8F">
                      <w:pPr>
                        <w:rPr>
                          <w:i/>
                          <w:color w:val="000000" w:themeColor="text1"/>
                          <w:sz w:val="20"/>
                        </w:rPr>
                      </w:pPr>
                      <w:r w:rsidRPr="00C50630">
                        <w:rPr>
                          <w:i/>
                          <w:color w:val="000000" w:themeColor="text1"/>
                          <w:sz w:val="20"/>
                        </w:rPr>
                        <w:t xml:space="preserve">This </w:t>
                      </w:r>
                      <w:r>
                        <w:rPr>
                          <w:i/>
                          <w:color w:val="000000" w:themeColor="text1"/>
                          <w:sz w:val="20"/>
                        </w:rPr>
                        <w:t>document</w:t>
                      </w:r>
                      <w:r w:rsidRPr="00C50630">
                        <w:rPr>
                          <w:i/>
                          <w:color w:val="000000" w:themeColor="text1"/>
                          <w:sz w:val="20"/>
                        </w:rPr>
                        <w:t xml:space="preserve"> has been developed to provide managers with an understanding of how </w:t>
                      </w:r>
                      <w:r w:rsidRPr="00C50630">
                        <w:rPr>
                          <w:b/>
                          <w:i/>
                          <w:color w:val="000000" w:themeColor="text1"/>
                          <w:sz w:val="20"/>
                        </w:rPr>
                        <w:t>learning and development (L&amp;D)</w:t>
                      </w:r>
                      <w:r w:rsidRPr="00C50630">
                        <w:rPr>
                          <w:i/>
                          <w:color w:val="000000" w:themeColor="text1"/>
                          <w:sz w:val="20"/>
                        </w:rPr>
                        <w:t xml:space="preserve"> benefits our individual employees, teams and the overall organisation. It explores the different approaches we could use in our future L&amp;D initiatives, the learning styles and preferences of our employees we would need to consider and how we can evaluate the effectiveness of our L&amp;D. </w:t>
                      </w:r>
                    </w:p>
                  </w:txbxContent>
                </v:textbox>
              </v:shape>
            </w:pict>
          </mc:Fallback>
        </mc:AlternateContent>
      </w:r>
      <w:r w:rsidR="005F4B55">
        <w:rPr>
          <w:noProof/>
        </w:rPr>
        <w:drawing>
          <wp:anchor distT="0" distB="0" distL="114300" distR="114300" simplePos="0" relativeHeight="251658240" behindDoc="0" locked="0" layoutInCell="1" allowOverlap="1">
            <wp:simplePos x="0" y="0"/>
            <wp:positionH relativeFrom="page">
              <wp:posOffset>5830570</wp:posOffset>
            </wp:positionH>
            <wp:positionV relativeFrom="paragraph">
              <wp:posOffset>-895350</wp:posOffset>
            </wp:positionV>
            <wp:extent cx="1684020" cy="16573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lthcare (1).png"/>
                    <pic:cNvPicPr/>
                  </pic:nvPicPr>
                  <pic:blipFill rotWithShape="1">
                    <a:blip r:embed="rId8">
                      <a:extLst>
                        <a:ext uri="{28A0092B-C50C-407E-A947-70E740481C1C}">
                          <a14:useLocalDpi xmlns:a14="http://schemas.microsoft.com/office/drawing/2010/main" val="0"/>
                        </a:ext>
                      </a:extLst>
                    </a:blip>
                    <a:srcRect l="20790" t="21830" r="25572" b="25364"/>
                    <a:stretch/>
                  </pic:blipFill>
                  <pic:spPr bwMode="auto">
                    <a:xfrm>
                      <a:off x="0" y="0"/>
                      <a:ext cx="1684020" cy="1657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0BEA">
        <w:rPr>
          <w:noProof/>
        </w:rPr>
        <w:br w:type="page"/>
      </w:r>
    </w:p>
    <w:p w:rsidR="00B94102" w:rsidRDefault="00C50630">
      <w:pPr>
        <w:rPr>
          <w:noProof/>
        </w:rPr>
      </w:pPr>
      <w:r>
        <w:rPr>
          <w:noProof/>
        </w:rPr>
        <w:lastRenderedPageBreak/>
        <mc:AlternateContent>
          <mc:Choice Requires="wps">
            <w:drawing>
              <wp:anchor distT="45720" distB="45720" distL="114300" distR="114300" simplePos="0" relativeHeight="251670528" behindDoc="0" locked="0" layoutInCell="1" allowOverlap="1">
                <wp:simplePos x="0" y="0"/>
                <wp:positionH relativeFrom="page">
                  <wp:align>right</wp:align>
                </wp:positionH>
                <wp:positionV relativeFrom="paragraph">
                  <wp:posOffset>-845820</wp:posOffset>
                </wp:positionV>
                <wp:extent cx="5966460" cy="371856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3718560"/>
                        </a:xfrm>
                        <a:prstGeom prst="rect">
                          <a:avLst/>
                        </a:prstGeom>
                        <a:solidFill>
                          <a:srgbClr val="FFFFFF"/>
                        </a:solidFill>
                        <a:ln w="9525">
                          <a:noFill/>
                          <a:miter lim="800000"/>
                          <a:headEnd/>
                          <a:tailEnd/>
                        </a:ln>
                      </wps:spPr>
                      <wps:txbx>
                        <w:txbxContent>
                          <w:p w:rsidR="00F52D8F" w:rsidRPr="00C50630" w:rsidRDefault="00F52D8F">
                            <w:pPr>
                              <w:rPr>
                                <w:b/>
                                <w:i/>
                                <w:color w:val="002060"/>
                                <w:u w:val="single"/>
                              </w:rPr>
                            </w:pPr>
                            <w:r w:rsidRPr="00C50630">
                              <w:rPr>
                                <w:b/>
                                <w:i/>
                                <w:color w:val="002060"/>
                                <w:u w:val="single"/>
                              </w:rPr>
                              <w:t xml:space="preserve">Learning requirements and preferences </w:t>
                            </w:r>
                            <w:r>
                              <w:rPr>
                                <w:b/>
                                <w:i/>
                                <w:color w:val="002060"/>
                                <w:u w:val="single"/>
                              </w:rPr>
                              <w:t>(AC 6.4)</w:t>
                            </w:r>
                          </w:p>
                          <w:p w:rsidR="00F52D8F" w:rsidRPr="00C50630" w:rsidRDefault="00F52D8F" w:rsidP="00C50630">
                            <w:pPr>
                              <w:rPr>
                                <w:rFonts w:cstheme="minorHAnsi"/>
                                <w:sz w:val="20"/>
                              </w:rPr>
                            </w:pPr>
                            <w:r w:rsidRPr="00C50630">
                              <w:rPr>
                                <w:rFonts w:cstheme="minorHAnsi"/>
                                <w:sz w:val="20"/>
                              </w:rPr>
                              <w:t>Before the implementation of an L&amp;D initiative, the learning styles and preferences of our employees will need to be considered. How our employees absorb, process and retain information is affected by their learning style and, in order to ensure they fully understand the information correctly and are engaged in the training, we should tailor our delivery to align with their preferences (</w:t>
                            </w:r>
                            <w:proofErr w:type="spellStart"/>
                            <w:r w:rsidRPr="00C50630">
                              <w:rPr>
                                <w:rFonts w:cstheme="minorHAnsi"/>
                                <w:sz w:val="20"/>
                              </w:rPr>
                              <w:t>Escuadro</w:t>
                            </w:r>
                            <w:proofErr w:type="spellEnd"/>
                            <w:r w:rsidRPr="00C50630">
                              <w:rPr>
                                <w:rFonts w:cstheme="minorHAnsi"/>
                                <w:sz w:val="20"/>
                              </w:rPr>
                              <w:t xml:space="preserve">, 2023). Individuals’ backgrounds and previous experiences can also impact on their L&amp;D and numerous studies have linked culture and learning styles (Guild, 1994; Joy and Kolb, 2009; Song and Oh, 2011). An individual’s culture can determine how they participate in L&amp;D initiatives, for example, whether they engage in sharing opinions or view staying quiet and listening as respectful (Sanders, 2019). Educational systems and methods of teaching and delivery differ around the world, in particular, the Western and Eastern educational systems are profoundly different from each other, resulting in individuals from different cultural backgrounds experiencing learning in diverse ways (Rabbani, 2021). </w:t>
                            </w:r>
                          </w:p>
                          <w:p w:rsidR="00F52D8F" w:rsidRPr="00C50630" w:rsidRDefault="00F52D8F" w:rsidP="00C50630">
                            <w:pPr>
                              <w:rPr>
                                <w:rFonts w:cstheme="minorHAnsi"/>
                                <w:sz w:val="20"/>
                              </w:rPr>
                            </w:pPr>
                            <w:r w:rsidRPr="00C50630">
                              <w:rPr>
                                <w:rFonts w:cstheme="minorHAnsi"/>
                                <w:sz w:val="20"/>
                              </w:rPr>
                              <w:t xml:space="preserve">Recent years have seen a significant change in the work landscape and the demand for flexibility in work has increased exponentially; this is also reflected in L&amp;D opportunities available in work and how flexible organisations’ learning environments for employees are (Open University, 2022). As hybrid and remote working practices are progressively adopted across organisations, our L&amp;D initiatives will need to also adapt in terms of times they can be completed and whether they are in-person or online (Barber, 2019). Furthermore, levels of motivation and engagement across our employees in different working models would need to be considered; individuals with low morale or who are unmotivated to undertake training will not be present or absorb the information (Lawrence, 2013). </w:t>
                            </w:r>
                          </w:p>
                          <w:p w:rsidR="00F52D8F" w:rsidRDefault="00F52D8F" w:rsidP="00C50630">
                            <w:pPr>
                              <w:pStyle w:val="Listparag"/>
                              <w:numPr>
                                <w:ilvl w:val="0"/>
                                <w:numId w:val="0"/>
                              </w:numPr>
                              <w:spacing w:after="0"/>
                              <w:ind w:left="360" w:hanging="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418.6pt;margin-top:-66.6pt;width:469.8pt;height:292.8pt;z-index:25167052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" stroked="f">
                <v:textbox>
                  <w:txbxContent>
                    <w:p w:rsidR="00F52D8F" w:rsidRPr="00C50630" w:rsidRDefault="00F52D8F">
                      <w:pPr>
                        <w:rPr>
                          <w:b/>
                          <w:i/>
                          <w:color w:val="002060"/>
                          <w:u w:val="single"/>
                        </w:rPr>
                      </w:pPr>
                      <w:r w:rsidRPr="00C50630">
                        <w:rPr>
                          <w:b/>
                          <w:i/>
                          <w:color w:val="002060"/>
                          <w:u w:val="single"/>
                        </w:rPr>
                        <w:t xml:space="preserve">Learning requirements and preferences </w:t>
                      </w:r>
                      <w:r>
                        <w:rPr>
                          <w:b/>
                          <w:i/>
                          <w:color w:val="002060"/>
                          <w:u w:val="single"/>
                        </w:rPr>
                        <w:t>(AC 6.4)</w:t>
                      </w:r>
                    </w:p>
                    <w:p w:rsidR="00F52D8F" w:rsidRPr="00C50630" w:rsidRDefault="00F52D8F" w:rsidP="00C50630">
                      <w:pPr>
                        <w:rPr>
                          <w:rFonts w:cstheme="minorHAnsi"/>
                          <w:sz w:val="20"/>
                        </w:rPr>
                      </w:pPr>
                      <w:r w:rsidRPr="00C50630">
                        <w:rPr>
                          <w:rFonts w:cstheme="minorHAnsi"/>
                          <w:sz w:val="20"/>
                        </w:rPr>
                        <w:t>Before the implementation of an L&amp;D initiative, the learning styles and preferences of our employees will need to be considered. How our employees absorb, process and retain information is affected by their learning style and, in order to ensure they fully understand the information correctly and are engaged in the training, we should tailor our delivery to align with their preferences (</w:t>
                      </w:r>
                      <w:proofErr w:type="spellStart"/>
                      <w:r w:rsidRPr="00C50630">
                        <w:rPr>
                          <w:rFonts w:cstheme="minorHAnsi"/>
                          <w:sz w:val="20"/>
                        </w:rPr>
                        <w:t>Escuadro</w:t>
                      </w:r>
                      <w:proofErr w:type="spellEnd"/>
                      <w:r w:rsidRPr="00C50630">
                        <w:rPr>
                          <w:rFonts w:cstheme="minorHAnsi"/>
                          <w:sz w:val="20"/>
                        </w:rPr>
                        <w:t xml:space="preserve">, 2023). Individuals’ backgrounds and previous experiences can also impact on their L&amp;D and numerous studies have linked culture and learning styles (Guild, 1994; Joy and Kolb, 2009; Song and Oh, 2011). An individual’s culture can determine how they participate in L&amp;D initiatives, for example, whether they engage in sharing opinions or view staying quiet and listening as respectful (Sanders, 2019). Educational systems and methods of teaching and delivery differ around the world, in particular, the Western and Eastern educational systems are profoundly different from each other, resulting in individuals from different cultural backgrounds experiencing learning in diverse ways (Rabbani, 2021). </w:t>
                      </w:r>
                    </w:p>
                    <w:p w:rsidR="00F52D8F" w:rsidRPr="00C50630" w:rsidRDefault="00F52D8F" w:rsidP="00C50630">
                      <w:pPr>
                        <w:rPr>
                          <w:rFonts w:cstheme="minorHAnsi"/>
                          <w:sz w:val="20"/>
                        </w:rPr>
                      </w:pPr>
                      <w:r w:rsidRPr="00C50630">
                        <w:rPr>
                          <w:rFonts w:cstheme="minorHAnsi"/>
                          <w:sz w:val="20"/>
                        </w:rPr>
                        <w:t xml:space="preserve">Recent years have seen a significant change in the work landscape and the demand for flexibility in work has increased exponentially; this is also reflected in L&amp;D opportunities available in work and how flexible organisations’ learning environments for employees are (Open University, 2022). As hybrid and remote working practices are progressively adopted across organisations, our L&amp;D initiatives will need to also adapt in terms of times they can be completed and whether they are in-person or online (Barber, 2019). Furthermore, levels of motivation and engagement across our employees in different working models would need to be considered; individuals with low morale or who are unmotivated to undertake training will not be present or absorb the information (Lawrence, 2013). </w:t>
                      </w:r>
                    </w:p>
                    <w:p w:rsidR="00F52D8F" w:rsidRDefault="00F52D8F" w:rsidP="00C50630">
                      <w:pPr>
                        <w:pStyle w:val="Listparag"/>
                        <w:numPr>
                          <w:ilvl w:val="0"/>
                          <w:numId w:val="0"/>
                        </w:numPr>
                        <w:spacing w:after="0"/>
                        <w:ind w:left="360" w:hanging="360"/>
                      </w:pPr>
                    </w:p>
                  </w:txbxContent>
                </v:textbox>
                <w10:wrap anchorx="page"/>
              </v:shape>
            </w:pict>
          </mc:Fallback>
        </mc:AlternateContent>
      </w:r>
      <w:r w:rsidR="00926812">
        <w:rPr>
          <w:noProof/>
        </w:rPr>
        <w:drawing>
          <wp:anchor distT="0" distB="0" distL="114300" distR="114300" simplePos="0" relativeHeight="251672576" behindDoc="0" locked="0" layoutInCell="1" allowOverlap="1" wp14:anchorId="346F0852" wp14:editId="229EF826">
            <wp:simplePos x="0" y="0"/>
            <wp:positionH relativeFrom="page">
              <wp:posOffset>-152400</wp:posOffset>
            </wp:positionH>
            <wp:positionV relativeFrom="paragraph">
              <wp:posOffset>-903605</wp:posOffset>
            </wp:positionV>
            <wp:extent cx="1684020" cy="16573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lthcare (1).png"/>
                    <pic:cNvPicPr/>
                  </pic:nvPicPr>
                  <pic:blipFill rotWithShape="1">
                    <a:blip r:embed="rId8">
                      <a:extLst>
                        <a:ext uri="{28A0092B-C50C-407E-A947-70E740481C1C}">
                          <a14:useLocalDpi xmlns:a14="http://schemas.microsoft.com/office/drawing/2010/main" val="0"/>
                        </a:ext>
                      </a:extLst>
                    </a:blip>
                    <a:srcRect l="20790" t="21830" r="25572" b="25364"/>
                    <a:stretch/>
                  </pic:blipFill>
                  <pic:spPr bwMode="auto">
                    <a:xfrm>
                      <a:off x="0" y="0"/>
                      <a:ext cx="1684020" cy="1657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03552" w:rsidRDefault="00603552" w:rsidP="00045F22">
      <w:pPr>
        <w:rPr>
          <w:sz w:val="40"/>
        </w:rPr>
      </w:pPr>
    </w:p>
    <w:p w:rsidR="00603552" w:rsidRPr="00603552" w:rsidRDefault="00603552" w:rsidP="00603552">
      <w:pPr>
        <w:rPr>
          <w:sz w:val="40"/>
        </w:rPr>
      </w:pPr>
    </w:p>
    <w:p w:rsidR="00603552" w:rsidRPr="00603552" w:rsidRDefault="00603552" w:rsidP="00603552">
      <w:pPr>
        <w:rPr>
          <w:sz w:val="40"/>
        </w:rPr>
      </w:pPr>
    </w:p>
    <w:p w:rsidR="00603552" w:rsidRPr="00603552" w:rsidRDefault="00603552" w:rsidP="00603552">
      <w:pPr>
        <w:rPr>
          <w:sz w:val="40"/>
        </w:rPr>
      </w:pPr>
    </w:p>
    <w:p w:rsidR="00603552" w:rsidRPr="00603552" w:rsidRDefault="00603552" w:rsidP="00603552">
      <w:pPr>
        <w:rPr>
          <w:sz w:val="40"/>
        </w:rPr>
      </w:pPr>
    </w:p>
    <w:p w:rsidR="00603552" w:rsidRPr="00603552" w:rsidRDefault="00C50630" w:rsidP="00603552">
      <w:pPr>
        <w:rPr>
          <w:sz w:val="40"/>
        </w:rPr>
      </w:pPr>
      <w:r w:rsidRPr="005B3DE8">
        <w:rPr>
          <w:noProof/>
          <w:sz w:val="40"/>
        </w:rPr>
        <mc:AlternateContent>
          <mc:Choice Requires="wps">
            <w:drawing>
              <wp:anchor distT="45720" distB="45720" distL="114300" distR="114300" simplePos="0" relativeHeight="251676672" behindDoc="0" locked="0" layoutInCell="1" allowOverlap="1">
                <wp:simplePos x="0" y="0"/>
                <wp:positionH relativeFrom="margin">
                  <wp:posOffset>-746760</wp:posOffset>
                </wp:positionH>
                <wp:positionV relativeFrom="paragraph">
                  <wp:posOffset>413385</wp:posOffset>
                </wp:positionV>
                <wp:extent cx="7345680" cy="3002280"/>
                <wp:effectExtent l="0" t="0" r="7620" b="762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5680" cy="3002280"/>
                        </a:xfrm>
                        <a:prstGeom prst="rect">
                          <a:avLst/>
                        </a:prstGeom>
                        <a:solidFill>
                          <a:srgbClr val="FFFFFF"/>
                        </a:solidFill>
                        <a:ln w="9525">
                          <a:noFill/>
                          <a:miter lim="800000"/>
                          <a:headEnd/>
                          <a:tailEnd/>
                        </a:ln>
                      </wps:spPr>
                      <wps:txbx>
                        <w:txbxContent>
                          <w:p w:rsidR="00F52D8F" w:rsidRPr="00C50630" w:rsidRDefault="00F52D8F">
                            <w:pPr>
                              <w:rPr>
                                <w:b/>
                                <w:i/>
                                <w:color w:val="002060"/>
                                <w:u w:val="single"/>
                              </w:rPr>
                            </w:pPr>
                            <w:r w:rsidRPr="00C50630">
                              <w:rPr>
                                <w:b/>
                                <w:i/>
                                <w:color w:val="002060"/>
                                <w:u w:val="single"/>
                              </w:rPr>
                              <w:t>Evaluating L&amp;D</w:t>
                            </w:r>
                            <w:r>
                              <w:rPr>
                                <w:b/>
                                <w:i/>
                                <w:color w:val="002060"/>
                                <w:u w:val="single"/>
                              </w:rPr>
                              <w:t xml:space="preserve"> (AC 6.5)</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In order to understand the success of our L&amp;D initiatives, we would need to assess and evaluate the effectiveness of our activities and</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how that aligns with the overall performance of the organisation (Hayden, 2022</w:t>
                            </w:r>
                            <w:r w:rsidR="00BD6200">
                              <w:rPr>
                                <w:rFonts w:asciiTheme="minorHAnsi" w:hAnsiTheme="minorHAnsi" w:cstheme="minorHAnsi"/>
                                <w:sz w:val="20"/>
                                <w:szCs w:val="22"/>
                              </w:rPr>
                              <w:t>c</w:t>
                            </w:r>
                            <w:r w:rsidRPr="00C50630">
                              <w:rPr>
                                <w:rFonts w:asciiTheme="minorHAnsi" w:hAnsiTheme="minorHAnsi" w:cstheme="minorHAnsi"/>
                                <w:sz w:val="20"/>
                                <w:szCs w:val="22"/>
                              </w:rPr>
                              <w:t>). One of the most popular and widely-used methods for</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assessing the impact of L&amp;D is the Kirkpatrick Taxonomy Model, a framework intended to evaluate the effectiveness of a training initiative</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at four levels; Reaction, Learning, Behaviour and Results (</w:t>
                            </w:r>
                            <w:proofErr w:type="spellStart"/>
                            <w:r w:rsidRPr="00C50630">
                              <w:rPr>
                                <w:rFonts w:asciiTheme="minorHAnsi" w:hAnsiTheme="minorHAnsi" w:cstheme="minorHAnsi"/>
                                <w:sz w:val="20"/>
                                <w:szCs w:val="22"/>
                              </w:rPr>
                              <w:t>Neendoor</w:t>
                            </w:r>
                            <w:proofErr w:type="spellEnd"/>
                            <w:r w:rsidRPr="00C50630">
                              <w:rPr>
                                <w:rFonts w:asciiTheme="minorHAnsi" w:hAnsiTheme="minorHAnsi" w:cstheme="minorHAnsi"/>
                                <w:sz w:val="20"/>
                                <w:szCs w:val="22"/>
                              </w:rPr>
                              <w:t>, 2023). Originally designed to be followed as a linear process,</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Kirkpatrick intended for professionals to first assess individuals’ reactions to a training programme and then work up the pyramid to the</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top to evaluate the return on the training (</w:t>
                            </w:r>
                            <w:proofErr w:type="spellStart"/>
                            <w:r w:rsidRPr="00C50630">
                              <w:rPr>
                                <w:rFonts w:asciiTheme="minorHAnsi" w:hAnsiTheme="minorHAnsi" w:cstheme="minorHAnsi"/>
                                <w:sz w:val="20"/>
                                <w:szCs w:val="22"/>
                              </w:rPr>
                              <w:t>Hilgers</w:t>
                            </w:r>
                            <w:proofErr w:type="spellEnd"/>
                            <w:r w:rsidRPr="00C50630">
                              <w:rPr>
                                <w:rFonts w:asciiTheme="minorHAnsi" w:hAnsiTheme="minorHAnsi" w:cstheme="minorHAnsi"/>
                                <w:sz w:val="20"/>
                                <w:szCs w:val="22"/>
                              </w:rPr>
                              <w:t>, 2023). However, subsequent research has criticised the relationships between each</w:t>
                            </w:r>
                          </w:p>
                          <w:p w:rsidR="00F52D8F" w:rsidRPr="00C50630"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level and found that the full model is not often utilised due to the time it would take to measure (Hayden, 2022</w:t>
                            </w:r>
                            <w:r w:rsidR="00BD6200">
                              <w:rPr>
                                <w:rFonts w:asciiTheme="minorHAnsi" w:hAnsiTheme="minorHAnsi" w:cstheme="minorHAnsi"/>
                                <w:sz w:val="20"/>
                                <w:szCs w:val="22"/>
                              </w:rPr>
                              <w:t>c</w:t>
                            </w:r>
                            <w:r w:rsidRPr="00C50630">
                              <w:rPr>
                                <w:rFonts w:asciiTheme="minorHAnsi" w:hAnsiTheme="minorHAnsi" w:cstheme="minorHAnsi"/>
                                <w:sz w:val="20"/>
                                <w:szCs w:val="22"/>
                              </w:rPr>
                              <w:t xml:space="preserve">). </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Robert Brinkerhoff built upon Kirkpatrick’s work and addressed some of the frustrations with the earlier model by presenting the Success</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Case Model (SCM). The SCM method does not focus solely on the specific training but, rather, embraces a wider focus on performance by</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seeking out ‘success cases’ of performance that was enabled by a training initiative (Brinkerhoff, 2005). SCM gathers evidence for these</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‘success cases’ from a variety of qualitative sources including surveys and interviews and crafts a story that can be shared within the</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organisation to celebrate success and learn lessons for the future (Downes, 2015). SCM would be a more flexible and cost-effective option</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compared to Kirkpatrick’s model, however, SCM’s results are, arguably, too specific and cannot be generalised or representative of the</w:t>
                            </w:r>
                          </w:p>
                          <w:p w:rsidR="00F52D8F" w:rsidRPr="00C50630"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whole organisation (Medina et al, 2015; Deller, 2021).</w:t>
                            </w:r>
                          </w:p>
                          <w:p w:rsidR="00F52D8F" w:rsidRDefault="00F52D8F" w:rsidP="005B3DE8">
                            <w:pPr>
                              <w:spacing w:before="120" w:after="0" w:line="240" w:lineRule="auto"/>
                              <w:rPr>
                                <w:rFonts w:ascii="Helvetica" w:eastAsia="Times New Roman" w:hAnsi="Helvetica" w:cs="Helvetica"/>
                                <w:color w:val="444444"/>
                                <w:sz w:val="23"/>
                                <w:szCs w:val="27"/>
                                <w:lang w:eastAsia="en-GB"/>
                              </w:rPr>
                            </w:pPr>
                          </w:p>
                          <w:p w:rsidR="00F52D8F" w:rsidRDefault="00F52D8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58.8pt;margin-top:32.55pt;width:578.4pt;height:236.4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" stroked="f">
                <v:textbox>
                  <w:txbxContent>
                    <w:p w:rsidR="00F52D8F" w:rsidRPr="00C50630" w:rsidRDefault="00F52D8F">
                      <w:pPr>
                        <w:rPr>
                          <w:b/>
                          <w:i/>
                          <w:color w:val="002060"/>
                          <w:u w:val="single"/>
                        </w:rPr>
                      </w:pPr>
                      <w:r w:rsidRPr="00C50630">
                        <w:rPr>
                          <w:b/>
                          <w:i/>
                          <w:color w:val="002060"/>
                          <w:u w:val="single"/>
                        </w:rPr>
                        <w:t>Evaluating L&amp;D</w:t>
                      </w:r>
                      <w:r>
                        <w:rPr>
                          <w:b/>
                          <w:i/>
                          <w:color w:val="002060"/>
                          <w:u w:val="single"/>
                        </w:rPr>
                        <w:t xml:space="preserve"> (AC 6.5)</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In order to understand the success of our L&amp;D initiatives, we would need to assess and evaluate the effectiveness of our activities and</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how that aligns with the overall performance of the organisation (Hayden, 2022</w:t>
                      </w:r>
                      <w:r w:rsidR="00BD6200">
                        <w:rPr>
                          <w:rFonts w:asciiTheme="minorHAnsi" w:hAnsiTheme="minorHAnsi" w:cstheme="minorHAnsi"/>
                          <w:sz w:val="20"/>
                          <w:szCs w:val="22"/>
                        </w:rPr>
                        <w:t>c</w:t>
                      </w:r>
                      <w:r w:rsidRPr="00C50630">
                        <w:rPr>
                          <w:rFonts w:asciiTheme="minorHAnsi" w:hAnsiTheme="minorHAnsi" w:cstheme="minorHAnsi"/>
                          <w:sz w:val="20"/>
                          <w:szCs w:val="22"/>
                        </w:rPr>
                        <w:t>). One of the most popular and widely-used methods for</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assessing the impact of L&amp;D is the Kirkpatrick Taxonomy Model, a framework intended to evaluate the effectiveness of a training initiative</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at four levels; Reaction, Learning, Behaviour and Results (</w:t>
                      </w:r>
                      <w:proofErr w:type="spellStart"/>
                      <w:r w:rsidRPr="00C50630">
                        <w:rPr>
                          <w:rFonts w:asciiTheme="minorHAnsi" w:hAnsiTheme="minorHAnsi" w:cstheme="minorHAnsi"/>
                          <w:sz w:val="20"/>
                          <w:szCs w:val="22"/>
                        </w:rPr>
                        <w:t>Neendoor</w:t>
                      </w:r>
                      <w:proofErr w:type="spellEnd"/>
                      <w:r w:rsidRPr="00C50630">
                        <w:rPr>
                          <w:rFonts w:asciiTheme="minorHAnsi" w:hAnsiTheme="minorHAnsi" w:cstheme="minorHAnsi"/>
                          <w:sz w:val="20"/>
                          <w:szCs w:val="22"/>
                        </w:rPr>
                        <w:t>, 2023). Originally designed to be followed as a linear process,</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Kirkpatrick intended for professionals to first assess individuals’ reactions to a training programme and then work up the pyramid to the</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top to evaluate the return on the training (</w:t>
                      </w:r>
                      <w:proofErr w:type="spellStart"/>
                      <w:r w:rsidRPr="00C50630">
                        <w:rPr>
                          <w:rFonts w:asciiTheme="minorHAnsi" w:hAnsiTheme="minorHAnsi" w:cstheme="minorHAnsi"/>
                          <w:sz w:val="20"/>
                          <w:szCs w:val="22"/>
                        </w:rPr>
                        <w:t>Hilgers</w:t>
                      </w:r>
                      <w:proofErr w:type="spellEnd"/>
                      <w:r w:rsidRPr="00C50630">
                        <w:rPr>
                          <w:rFonts w:asciiTheme="minorHAnsi" w:hAnsiTheme="minorHAnsi" w:cstheme="minorHAnsi"/>
                          <w:sz w:val="20"/>
                          <w:szCs w:val="22"/>
                        </w:rPr>
                        <w:t>, 2023). However, subsequent research has criticised the relationships between each</w:t>
                      </w:r>
                    </w:p>
                    <w:p w:rsidR="00F52D8F" w:rsidRPr="00C50630"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level and found that the full model is not often utilised due to the time it would take to measure (Hayden, 2022</w:t>
                      </w:r>
                      <w:r w:rsidR="00BD6200">
                        <w:rPr>
                          <w:rFonts w:asciiTheme="minorHAnsi" w:hAnsiTheme="minorHAnsi" w:cstheme="minorHAnsi"/>
                          <w:sz w:val="20"/>
                          <w:szCs w:val="22"/>
                        </w:rPr>
                        <w:t>c</w:t>
                      </w:r>
                      <w:r w:rsidRPr="00C50630">
                        <w:rPr>
                          <w:rFonts w:asciiTheme="minorHAnsi" w:hAnsiTheme="minorHAnsi" w:cstheme="minorHAnsi"/>
                          <w:sz w:val="20"/>
                          <w:szCs w:val="22"/>
                        </w:rPr>
                        <w:t xml:space="preserve">). </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Robert Brinkerhoff built upon Kirkpatrick’s work and addressed some of the frustrations with the earlier model by presenting the Success</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Case Model (SCM). The SCM method does not focus solely on the specific training but, rather, embraces a wider focus on performance by</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seeking out ‘success cases’ of performance that was enabled by a training initiative (Brinkerhoff, 2005). SCM gathers evidence for these</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‘success cases’ from a variety of qualitative sources including surveys and interviews and crafts a story that can be shared within the</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organisation to celebrate success and learn lessons for the future (Downes, 2015). SCM would be a more flexible and cost-effective option</w:t>
                      </w:r>
                    </w:p>
                    <w:p w:rsidR="00F52D8F"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compared to Kirkpatrick’s model, however, SCM’s results are, arguably, too specific and cannot be generalised or representative of the</w:t>
                      </w:r>
                    </w:p>
                    <w:p w:rsidR="00F52D8F" w:rsidRPr="00C50630" w:rsidRDefault="00F52D8F" w:rsidP="00F90CC3">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whole organisation (Medina et al, 2015; Deller, 2021).</w:t>
                      </w:r>
                    </w:p>
                    <w:p w:rsidR="00F52D8F" w:rsidRDefault="00F52D8F" w:rsidP="005B3DE8">
                      <w:pPr>
                        <w:spacing w:before="120" w:after="0" w:line="240" w:lineRule="auto"/>
                        <w:rPr>
                          <w:rFonts w:ascii="Helvetica" w:eastAsia="Times New Roman" w:hAnsi="Helvetica" w:cs="Helvetica"/>
                          <w:color w:val="444444"/>
                          <w:sz w:val="23"/>
                          <w:szCs w:val="27"/>
                          <w:lang w:eastAsia="en-GB"/>
                        </w:rPr>
                      </w:pPr>
                    </w:p>
                    <w:p w:rsidR="00F52D8F" w:rsidRDefault="00F52D8F"/>
                  </w:txbxContent>
                </v:textbox>
                <w10:wrap anchorx="margin"/>
              </v:shape>
            </w:pict>
          </mc:Fallback>
        </mc:AlternateContent>
      </w:r>
    </w:p>
    <w:p w:rsidR="00603552" w:rsidRPr="00603552" w:rsidRDefault="00603552" w:rsidP="00603552">
      <w:pPr>
        <w:rPr>
          <w:sz w:val="40"/>
        </w:rPr>
      </w:pPr>
    </w:p>
    <w:p w:rsidR="00603552" w:rsidRPr="00603552" w:rsidRDefault="00603552" w:rsidP="00603552">
      <w:pPr>
        <w:rPr>
          <w:sz w:val="40"/>
        </w:rPr>
      </w:pPr>
    </w:p>
    <w:p w:rsidR="00603552" w:rsidRPr="00603552" w:rsidRDefault="00603552" w:rsidP="00603552">
      <w:pPr>
        <w:rPr>
          <w:sz w:val="40"/>
        </w:rPr>
      </w:pPr>
    </w:p>
    <w:p w:rsidR="00603552" w:rsidRPr="00603552" w:rsidRDefault="00603552" w:rsidP="00603552">
      <w:pPr>
        <w:rPr>
          <w:sz w:val="40"/>
        </w:rPr>
      </w:pPr>
    </w:p>
    <w:p w:rsidR="00603552" w:rsidRPr="00603552" w:rsidRDefault="00603552" w:rsidP="00603552">
      <w:pPr>
        <w:rPr>
          <w:sz w:val="40"/>
        </w:rPr>
      </w:pPr>
    </w:p>
    <w:p w:rsidR="00603552" w:rsidRPr="00603552" w:rsidRDefault="00603552" w:rsidP="00603552">
      <w:pPr>
        <w:rPr>
          <w:sz w:val="40"/>
        </w:rPr>
      </w:pPr>
    </w:p>
    <w:p w:rsidR="00603552" w:rsidRPr="00603552" w:rsidRDefault="00603552" w:rsidP="00603552">
      <w:pPr>
        <w:rPr>
          <w:sz w:val="40"/>
        </w:rPr>
      </w:pPr>
    </w:p>
    <w:p w:rsidR="00603552" w:rsidRPr="00603552" w:rsidRDefault="00F90CC3" w:rsidP="00603552">
      <w:pPr>
        <w:rPr>
          <w:sz w:val="40"/>
        </w:rPr>
      </w:pPr>
      <w:r w:rsidRPr="002C39DC">
        <w:rPr>
          <w:noProof/>
          <w:sz w:val="40"/>
        </w:rPr>
        <mc:AlternateContent>
          <mc:Choice Requires="wps">
            <w:drawing>
              <wp:anchor distT="45720" distB="45720" distL="114300" distR="114300" simplePos="0" relativeHeight="251678720" behindDoc="0" locked="0" layoutInCell="1" allowOverlap="1">
                <wp:simplePos x="0" y="0"/>
                <wp:positionH relativeFrom="column">
                  <wp:posOffset>-693420</wp:posOffset>
                </wp:positionH>
                <wp:positionV relativeFrom="paragraph">
                  <wp:posOffset>193040</wp:posOffset>
                </wp:positionV>
                <wp:extent cx="7056120" cy="1404620"/>
                <wp:effectExtent l="0" t="0" r="0" b="190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6120" cy="1404620"/>
                        </a:xfrm>
                        <a:prstGeom prst="rect">
                          <a:avLst/>
                        </a:prstGeom>
                        <a:solidFill>
                          <a:srgbClr val="FFFFFF"/>
                        </a:solidFill>
                        <a:ln w="9525">
                          <a:noFill/>
                          <a:miter lim="800000"/>
                          <a:headEnd/>
                          <a:tailEnd/>
                        </a:ln>
                      </wps:spPr>
                      <wps:txbx>
                        <w:txbxContent>
                          <w:p w:rsidR="00F52D8F" w:rsidRDefault="00F52D8F">
                            <w:pPr>
                              <w:rPr>
                                <w:i/>
                              </w:rPr>
                            </w:pPr>
                            <w:r>
                              <w:rPr>
                                <w:i/>
                              </w:rPr>
                              <w:t>In conclusion, a learning and development strategy will be vital in the coming business year and is being finalised by the People Team. With the support and collaboration of the managers, we aim to create an environment that encourages employee growth and improvement through effective L&amp;D initiatives.</w:t>
                            </w:r>
                          </w:p>
                          <w:p w:rsidR="00F52D8F" w:rsidRPr="00A13E56" w:rsidRDefault="00F52D8F">
                            <w:pPr>
                              <w:rPr>
                                <w:b/>
                              </w:rPr>
                            </w:pPr>
                            <w:r w:rsidRPr="00A13E56">
                              <w:rPr>
                                <w:b/>
                              </w:rPr>
                              <w:t xml:space="preserve">Word count </w:t>
                            </w:r>
                            <w:r w:rsidRPr="00B712BE">
                              <w:rPr>
                                <w:b/>
                              </w:rPr>
                              <w:t xml:space="preserve">= </w:t>
                            </w:r>
                            <w:r w:rsidRPr="00B712BE">
                              <w:rPr>
                                <w:rFonts w:eastAsia="Arial" w:cs="Arial"/>
                                <w:b/>
                              </w:rPr>
                              <w:t>1</w:t>
                            </w:r>
                            <w:r>
                              <w:rPr>
                                <w:rFonts w:eastAsia="Arial" w:cs="Arial"/>
                                <w:b/>
                              </w:rPr>
                              <w:t>361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54.6pt;margin-top:15.2pt;width:555.6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" stroked="f">
                <v:textbox style="mso-fit-shape-to-text:t">
                  <w:txbxContent>
                    <w:p w:rsidR="00F52D8F" w:rsidRDefault="00F52D8F">
                      <w:pPr>
                        <w:rPr>
                          <w:i/>
                        </w:rPr>
                      </w:pPr>
                      <w:r>
                        <w:rPr>
                          <w:i/>
                        </w:rPr>
                        <w:t>In conclusion, a learning and development strategy will be vital in the coming business year and is being finalised by the People Team. With the support and collaboration of the managers, we aim to create an environment that encourages employee growth and improvement through effective L&amp;D initiatives.</w:t>
                      </w:r>
                    </w:p>
                    <w:p w:rsidR="00F52D8F" w:rsidRPr="00A13E56" w:rsidRDefault="00F52D8F">
                      <w:pPr>
                        <w:rPr>
                          <w:b/>
                        </w:rPr>
                      </w:pPr>
                      <w:r w:rsidRPr="00A13E56">
                        <w:rPr>
                          <w:b/>
                        </w:rPr>
                        <w:t xml:space="preserve">Word count </w:t>
                      </w:r>
                      <w:r w:rsidRPr="00B712BE">
                        <w:rPr>
                          <w:b/>
                        </w:rPr>
                        <w:t xml:space="preserve">= </w:t>
                      </w:r>
                      <w:r w:rsidRPr="00B712BE">
                        <w:rPr>
                          <w:rFonts w:eastAsia="Arial" w:cs="Arial"/>
                          <w:b/>
                        </w:rPr>
                        <w:t>1</w:t>
                      </w:r>
                      <w:r>
                        <w:rPr>
                          <w:rFonts w:eastAsia="Arial" w:cs="Arial"/>
                          <w:b/>
                        </w:rPr>
                        <w:t>361</w:t>
                      </w:r>
                    </w:p>
                  </w:txbxContent>
                </v:textbox>
              </v:shape>
            </w:pict>
          </mc:Fallback>
        </mc:AlternateContent>
      </w:r>
    </w:p>
    <w:p w:rsidR="00603552" w:rsidRPr="00603552" w:rsidRDefault="00603552" w:rsidP="00603552">
      <w:pPr>
        <w:rPr>
          <w:sz w:val="40"/>
        </w:rPr>
      </w:pPr>
    </w:p>
    <w:p w:rsidR="00603552" w:rsidRPr="00603552" w:rsidRDefault="00603552" w:rsidP="00603552">
      <w:pPr>
        <w:rPr>
          <w:sz w:val="40"/>
        </w:rPr>
      </w:pPr>
    </w:p>
    <w:p w:rsidR="00603552" w:rsidRDefault="00603552" w:rsidP="00603552">
      <w:pPr>
        <w:rPr>
          <w:sz w:val="40"/>
        </w:rPr>
      </w:pPr>
    </w:p>
    <w:p w:rsidR="00C24FBD" w:rsidRDefault="00603552" w:rsidP="00603552">
      <w:pPr>
        <w:tabs>
          <w:tab w:val="left" w:pos="7356"/>
        </w:tabs>
        <w:rPr>
          <w:sz w:val="40"/>
        </w:rPr>
      </w:pPr>
      <w:r>
        <w:rPr>
          <w:sz w:val="40"/>
        </w:rPr>
        <w:tab/>
      </w:r>
    </w:p>
    <w:p w:rsidR="00603552" w:rsidRDefault="00603552" w:rsidP="00603552">
      <w:pPr>
        <w:tabs>
          <w:tab w:val="left" w:pos="7356"/>
        </w:tabs>
        <w:rPr>
          <w:sz w:val="40"/>
        </w:rPr>
      </w:pPr>
    </w:p>
    <w:p w:rsidR="00B22418" w:rsidRDefault="00B22418" w:rsidP="00603552">
      <w:pPr>
        <w:tabs>
          <w:tab w:val="left" w:pos="7356"/>
        </w:tabs>
      </w:pPr>
    </w:p>
    <w:p w:rsidR="009B24ED" w:rsidRPr="00CB1F36" w:rsidRDefault="009B24ED" w:rsidP="00603552">
      <w:pPr>
        <w:tabs>
          <w:tab w:val="left" w:pos="7356"/>
        </w:tabs>
        <w:rPr>
          <w:rFonts w:cstheme="minorHAnsi"/>
        </w:rPr>
      </w:pPr>
      <w:r w:rsidRPr="00CB1F36">
        <w:rPr>
          <w:rFonts w:cstheme="minorHAnsi"/>
        </w:rPr>
        <w:lastRenderedPageBreak/>
        <w:t>References</w:t>
      </w:r>
    </w:p>
    <w:p w:rsidR="00F36273" w:rsidRPr="00CB1F36" w:rsidRDefault="00F36273" w:rsidP="00F36273">
      <w:pPr>
        <w:rPr>
          <w:rFonts w:cstheme="minorHAnsi"/>
        </w:rPr>
      </w:pPr>
      <w:r w:rsidRPr="00CB1F36">
        <w:rPr>
          <w:rFonts w:cstheme="minorHAnsi"/>
        </w:rPr>
        <w:t xml:space="preserve">Ayers, R. (2017) </w:t>
      </w:r>
      <w:r w:rsidRPr="00CB1F36">
        <w:rPr>
          <w:rFonts w:cstheme="minorHAnsi"/>
          <w:i/>
        </w:rPr>
        <w:t xml:space="preserve">6 Benefits of Ongoing Employee Development. </w:t>
      </w:r>
      <w:r w:rsidRPr="00CB1F36">
        <w:rPr>
          <w:rFonts w:cstheme="minorHAnsi"/>
        </w:rPr>
        <w:t xml:space="preserve">Available at: </w:t>
      </w:r>
      <w:hyperlink r:id="rId9" w:history="1">
        <w:r w:rsidR="0056114D" w:rsidRPr="00CB1F36">
          <w:rPr>
            <w:rStyle w:val="Hyperlink"/>
            <w:rFonts w:cstheme="minorHAnsi"/>
            <w:color w:val="auto"/>
            <w:u w:val="none"/>
          </w:rPr>
          <w:t>https://innovationmanagement.se/2017/11/17/6-benefits-of-ongoing-employee-development/</w:t>
        </w:r>
      </w:hyperlink>
      <w:r w:rsidRPr="00CB1F36">
        <w:rPr>
          <w:rFonts w:cstheme="minorHAnsi"/>
        </w:rPr>
        <w:t xml:space="preserve"> (Accessed: 17 July 2023).</w:t>
      </w:r>
    </w:p>
    <w:p w:rsidR="00ED779A" w:rsidRPr="00CB1F36" w:rsidRDefault="00ED779A" w:rsidP="00F36273">
      <w:pPr>
        <w:rPr>
          <w:rFonts w:cstheme="minorHAnsi"/>
        </w:rPr>
      </w:pPr>
      <w:r w:rsidRPr="00CB1F36">
        <w:rPr>
          <w:rFonts w:cstheme="minorHAnsi"/>
        </w:rPr>
        <w:t xml:space="preserve">Barber, O. (2019) </w:t>
      </w:r>
      <w:r w:rsidRPr="00CB1F36">
        <w:rPr>
          <w:rFonts w:cstheme="minorHAnsi"/>
          <w:i/>
        </w:rPr>
        <w:t xml:space="preserve">Adapting to the new reality: flexible training for flexible workers. </w:t>
      </w:r>
      <w:r w:rsidRPr="00CB1F36">
        <w:rPr>
          <w:rFonts w:cstheme="minorHAnsi"/>
        </w:rPr>
        <w:t xml:space="preserve">Available at: </w:t>
      </w:r>
      <w:hyperlink r:id="rId10" w:history="1">
        <w:r w:rsidR="00F52D8F" w:rsidRPr="00CB1F36">
          <w:rPr>
            <w:rStyle w:val="Hyperlink"/>
            <w:rFonts w:cstheme="minorHAnsi"/>
            <w:color w:val="auto"/>
            <w:u w:val="none"/>
          </w:rPr>
          <w:t>https://www.trainingzone.co.uk/lead/culture/adapting-to-the-new-reality-flexible-training-for-flexible-workers</w:t>
        </w:r>
      </w:hyperlink>
      <w:r w:rsidRPr="00CB1F36">
        <w:rPr>
          <w:rFonts w:cstheme="minorHAnsi"/>
        </w:rPr>
        <w:t xml:space="preserve"> (Accessed: 03 August 2023).</w:t>
      </w:r>
    </w:p>
    <w:p w:rsidR="00047209" w:rsidRPr="00CB1F36" w:rsidRDefault="00047209" w:rsidP="00047209">
      <w:pPr>
        <w:rPr>
          <w:rFonts w:cstheme="minorHAnsi"/>
        </w:rPr>
      </w:pPr>
      <w:r w:rsidRPr="00CB1F36">
        <w:rPr>
          <w:rFonts w:cstheme="minorHAnsi"/>
        </w:rPr>
        <w:t xml:space="preserve">Beaus, B. (2017) </w:t>
      </w:r>
      <w:r w:rsidRPr="00CB1F36">
        <w:rPr>
          <w:rFonts w:cstheme="minorHAnsi"/>
          <w:i/>
        </w:rPr>
        <w:t xml:space="preserve">How investing in training benefits the business. </w:t>
      </w:r>
      <w:r w:rsidRPr="00CB1F36">
        <w:rPr>
          <w:rFonts w:cstheme="minorHAnsi"/>
        </w:rPr>
        <w:t xml:space="preserve">Available at: </w:t>
      </w:r>
      <w:hyperlink r:id="rId11" w:history="1">
        <w:r w:rsidRPr="00CB1F36">
          <w:rPr>
            <w:rStyle w:val="Hyperlink"/>
            <w:rFonts w:cstheme="minorHAnsi"/>
            <w:color w:val="auto"/>
            <w:u w:val="none"/>
          </w:rPr>
          <w:t>https://www.hrzone.com/community/blogs/blakebeus/how-investing-in-training-benefits-the-business</w:t>
        </w:r>
      </w:hyperlink>
      <w:r w:rsidRPr="00CB1F36">
        <w:rPr>
          <w:rFonts w:cstheme="minorHAnsi"/>
        </w:rPr>
        <w:t xml:space="preserve"> (Accessed: 17 July 2023).</w:t>
      </w:r>
    </w:p>
    <w:p w:rsidR="00117280" w:rsidRPr="00CB1F36" w:rsidRDefault="00784080" w:rsidP="00117280">
      <w:pPr>
        <w:pStyle w:val="Listparag"/>
        <w:numPr>
          <w:ilvl w:val="0"/>
          <w:numId w:val="0"/>
        </w:numPr>
        <w:pBdr>
          <w:bar w:val="single" w:sz="4" w:color="auto"/>
        </w:pBdr>
        <w:spacing w:after="0"/>
        <w:ind w:left="360" w:hanging="360"/>
        <w:rPr>
          <w:rFonts w:asciiTheme="minorHAnsi" w:hAnsiTheme="minorHAnsi" w:cstheme="minorHAnsi"/>
          <w:szCs w:val="22"/>
        </w:rPr>
      </w:pPr>
      <w:r w:rsidRPr="00CB1F36">
        <w:rPr>
          <w:rFonts w:asciiTheme="minorHAnsi" w:hAnsiTheme="minorHAnsi" w:cstheme="minorHAnsi"/>
          <w:szCs w:val="22"/>
        </w:rPr>
        <w:t xml:space="preserve">Blakemore, R. (2014) </w:t>
      </w:r>
      <w:r w:rsidR="00117280" w:rsidRPr="00CB1F36">
        <w:rPr>
          <w:rFonts w:asciiTheme="minorHAnsi" w:hAnsiTheme="minorHAnsi" w:cstheme="minorHAnsi"/>
          <w:i/>
          <w:szCs w:val="22"/>
        </w:rPr>
        <w:t xml:space="preserve">Coaching vs mentoring – why the difference matters. </w:t>
      </w:r>
      <w:r w:rsidR="00117280" w:rsidRPr="00CB1F36">
        <w:rPr>
          <w:rFonts w:asciiTheme="minorHAnsi" w:hAnsiTheme="minorHAnsi" w:cstheme="minorHAnsi"/>
          <w:szCs w:val="22"/>
        </w:rPr>
        <w:t xml:space="preserve">Available at: </w:t>
      </w:r>
    </w:p>
    <w:p w:rsidR="00117280" w:rsidRPr="00CB1F36" w:rsidRDefault="00784080" w:rsidP="00117280">
      <w:pPr>
        <w:pStyle w:val="Listparag"/>
        <w:numPr>
          <w:ilvl w:val="0"/>
          <w:numId w:val="0"/>
        </w:numPr>
        <w:pBdr>
          <w:bar w:val="single" w:sz="4" w:color="auto"/>
        </w:pBdr>
        <w:spacing w:after="0"/>
        <w:ind w:left="360" w:hanging="360"/>
        <w:rPr>
          <w:rFonts w:asciiTheme="minorHAnsi" w:hAnsiTheme="minorHAnsi" w:cstheme="minorHAnsi"/>
          <w:szCs w:val="22"/>
        </w:rPr>
      </w:pPr>
      <w:r w:rsidRPr="00CB1F36">
        <w:rPr>
          <w:rFonts w:asciiTheme="minorHAnsi" w:hAnsiTheme="minorHAnsi" w:cstheme="minorHAnsi"/>
          <w:szCs w:val="22"/>
        </w:rPr>
        <w:t xml:space="preserve">https://www.apm.org.uk/blog/coaching-vs-mentoring-why-the-difference-matters/ (Accessed: 03 </w:t>
      </w:r>
    </w:p>
    <w:p w:rsidR="00784080" w:rsidRPr="00CB1F36" w:rsidRDefault="00784080" w:rsidP="00784080">
      <w:pPr>
        <w:pStyle w:val="Listparag"/>
        <w:numPr>
          <w:ilvl w:val="0"/>
          <w:numId w:val="0"/>
        </w:numPr>
        <w:pBdr>
          <w:bar w:val="single" w:sz="4" w:color="auto"/>
        </w:pBdr>
        <w:ind w:left="360" w:hanging="360"/>
        <w:rPr>
          <w:rFonts w:asciiTheme="minorHAnsi" w:hAnsiTheme="minorHAnsi" w:cstheme="minorHAnsi"/>
          <w:szCs w:val="22"/>
        </w:rPr>
      </w:pPr>
      <w:r w:rsidRPr="00CB1F36">
        <w:rPr>
          <w:rFonts w:asciiTheme="minorHAnsi" w:hAnsiTheme="minorHAnsi" w:cstheme="minorHAnsi"/>
          <w:szCs w:val="22"/>
        </w:rPr>
        <w:t>August 2023).</w:t>
      </w:r>
    </w:p>
    <w:p w:rsidR="00B14396" w:rsidRPr="00CB1F36" w:rsidRDefault="00B14396" w:rsidP="00B14396">
      <w:pPr>
        <w:pStyle w:val="Listparag"/>
        <w:numPr>
          <w:ilvl w:val="0"/>
          <w:numId w:val="0"/>
        </w:numPr>
        <w:pBdr>
          <w:bar w:val="single" w:sz="4" w:color="auto"/>
        </w:pBdr>
        <w:spacing w:after="0"/>
        <w:ind w:left="360" w:hanging="360"/>
        <w:rPr>
          <w:rFonts w:asciiTheme="minorHAnsi" w:hAnsiTheme="minorHAnsi" w:cstheme="minorHAnsi"/>
          <w:szCs w:val="22"/>
        </w:rPr>
      </w:pPr>
      <w:r w:rsidRPr="00CB1F36">
        <w:rPr>
          <w:rFonts w:asciiTheme="minorHAnsi" w:hAnsiTheme="minorHAnsi" w:cstheme="minorHAnsi"/>
          <w:szCs w:val="22"/>
        </w:rPr>
        <w:t>Brinkerhoff, R. (2005) ‘The Success Case Method: A Strategic Evaluation Approach to Increasing the</w:t>
      </w:r>
    </w:p>
    <w:p w:rsidR="00B14396" w:rsidRPr="00CB1F36" w:rsidRDefault="00B14396" w:rsidP="00B14396">
      <w:pPr>
        <w:pStyle w:val="Listparag"/>
        <w:numPr>
          <w:ilvl w:val="0"/>
          <w:numId w:val="0"/>
        </w:numPr>
        <w:pBdr>
          <w:bar w:val="single" w:sz="4" w:color="auto"/>
        </w:pBdr>
        <w:spacing w:after="0"/>
        <w:ind w:left="360" w:hanging="360"/>
        <w:rPr>
          <w:rFonts w:asciiTheme="minorHAnsi" w:hAnsiTheme="minorHAnsi" w:cstheme="minorHAnsi"/>
          <w:szCs w:val="22"/>
        </w:rPr>
      </w:pPr>
      <w:r w:rsidRPr="00CB1F36">
        <w:rPr>
          <w:rFonts w:asciiTheme="minorHAnsi" w:hAnsiTheme="minorHAnsi" w:cstheme="minorHAnsi"/>
          <w:szCs w:val="22"/>
        </w:rPr>
        <w:t xml:space="preserve">Value and Effect of Training’, </w:t>
      </w:r>
      <w:r w:rsidRPr="00CB1F36">
        <w:rPr>
          <w:rFonts w:asciiTheme="minorHAnsi" w:hAnsiTheme="minorHAnsi" w:cstheme="minorHAnsi"/>
          <w:i/>
          <w:szCs w:val="22"/>
        </w:rPr>
        <w:t xml:space="preserve">Advances in Developing Human Resources, </w:t>
      </w:r>
      <w:r w:rsidRPr="00CB1F36">
        <w:rPr>
          <w:rFonts w:asciiTheme="minorHAnsi" w:hAnsiTheme="minorHAnsi" w:cstheme="minorHAnsi"/>
          <w:szCs w:val="22"/>
        </w:rPr>
        <w:t xml:space="preserve">7(1), pp. 5-145. Available at: </w:t>
      </w:r>
    </w:p>
    <w:p w:rsidR="00B14396" w:rsidRPr="00CB1F36" w:rsidRDefault="00B14396" w:rsidP="00B14396">
      <w:pPr>
        <w:pStyle w:val="Listparag"/>
        <w:numPr>
          <w:ilvl w:val="0"/>
          <w:numId w:val="0"/>
        </w:numPr>
        <w:pBdr>
          <w:bar w:val="single" w:sz="4" w:color="auto"/>
        </w:pBdr>
        <w:ind w:left="360" w:hanging="360"/>
        <w:rPr>
          <w:rFonts w:asciiTheme="minorHAnsi" w:hAnsiTheme="minorHAnsi" w:cstheme="minorHAnsi"/>
          <w:szCs w:val="22"/>
        </w:rPr>
      </w:pPr>
      <w:r w:rsidRPr="00CB1F36">
        <w:rPr>
          <w:rFonts w:asciiTheme="minorHAnsi" w:hAnsiTheme="minorHAnsi" w:cstheme="minorHAnsi"/>
          <w:szCs w:val="22"/>
        </w:rPr>
        <w:t>https://doi.org/10.1177/1523422304272172</w:t>
      </w:r>
    </w:p>
    <w:p w:rsidR="00B92200" w:rsidRPr="00CB1F36" w:rsidRDefault="00B92200" w:rsidP="00047209">
      <w:pPr>
        <w:rPr>
          <w:rFonts w:cstheme="minorHAnsi"/>
        </w:rPr>
      </w:pPr>
      <w:r w:rsidRPr="00CB1F36">
        <w:rPr>
          <w:rFonts w:cstheme="minorHAnsi"/>
        </w:rPr>
        <w:t xml:space="preserve">Crampton, D. (2022) </w:t>
      </w:r>
      <w:r w:rsidRPr="00CB1F36">
        <w:rPr>
          <w:rFonts w:cstheme="minorHAnsi"/>
          <w:i/>
        </w:rPr>
        <w:t xml:space="preserve">Why it is important for Managers to understand the benefits of Facilitation Management. </w:t>
      </w:r>
      <w:r w:rsidRPr="00CB1F36">
        <w:rPr>
          <w:rFonts w:cstheme="minorHAnsi"/>
        </w:rPr>
        <w:t xml:space="preserve">Available at: </w:t>
      </w:r>
      <w:hyperlink r:id="rId12" w:history="1">
        <w:r w:rsidR="00117280" w:rsidRPr="00CB1F36">
          <w:rPr>
            <w:rStyle w:val="Hyperlink"/>
            <w:rFonts w:cstheme="minorHAnsi"/>
            <w:color w:val="auto"/>
            <w:u w:val="none"/>
          </w:rPr>
          <w:t>https://corevalues.com/facilitation/the-benefits-of-facilitation-management/</w:t>
        </w:r>
      </w:hyperlink>
      <w:r w:rsidRPr="00CB1F36">
        <w:rPr>
          <w:rFonts w:cstheme="minorHAnsi"/>
        </w:rPr>
        <w:t xml:space="preserve"> (Accessed: 03 August 2023). </w:t>
      </w:r>
    </w:p>
    <w:p w:rsidR="00CB1F36" w:rsidRPr="00CB1F36" w:rsidRDefault="00CB1F36" w:rsidP="00CB1F36">
      <w:pPr>
        <w:pStyle w:val="Listparag"/>
        <w:numPr>
          <w:ilvl w:val="0"/>
          <w:numId w:val="0"/>
        </w:numPr>
        <w:pBdr>
          <w:bar w:val="single" w:sz="4" w:color="auto"/>
        </w:pBdr>
        <w:spacing w:after="0"/>
        <w:ind w:left="360" w:hanging="360"/>
        <w:rPr>
          <w:rFonts w:asciiTheme="minorHAnsi" w:hAnsiTheme="minorHAnsi" w:cstheme="minorHAnsi"/>
          <w:szCs w:val="22"/>
        </w:rPr>
      </w:pPr>
      <w:r w:rsidRPr="00CB1F36">
        <w:rPr>
          <w:rFonts w:asciiTheme="minorHAnsi" w:hAnsiTheme="minorHAnsi" w:cstheme="minorHAnsi"/>
          <w:szCs w:val="22"/>
        </w:rPr>
        <w:t xml:space="preserve">Deller, J. (2021) </w:t>
      </w:r>
      <w:r w:rsidRPr="00CB1F36">
        <w:rPr>
          <w:rFonts w:asciiTheme="minorHAnsi" w:hAnsiTheme="minorHAnsi" w:cstheme="minorHAnsi"/>
          <w:i/>
          <w:szCs w:val="22"/>
        </w:rPr>
        <w:t xml:space="preserve">Brinkerhoff Model 101: Methodology and Goals. </w:t>
      </w:r>
      <w:r w:rsidRPr="00CB1F36">
        <w:rPr>
          <w:rFonts w:asciiTheme="minorHAnsi" w:hAnsiTheme="minorHAnsi" w:cstheme="minorHAnsi"/>
          <w:szCs w:val="22"/>
        </w:rPr>
        <w:t xml:space="preserve">Available at: </w:t>
      </w:r>
    </w:p>
    <w:p w:rsidR="00CB1F36" w:rsidRPr="00CB1F36" w:rsidRDefault="00CB1F36" w:rsidP="00CB1F36">
      <w:pPr>
        <w:pStyle w:val="Listparag"/>
        <w:numPr>
          <w:ilvl w:val="0"/>
          <w:numId w:val="0"/>
        </w:numPr>
        <w:pBdr>
          <w:bar w:val="single" w:sz="4" w:color="auto"/>
        </w:pBdr>
        <w:spacing w:after="0"/>
        <w:ind w:left="360" w:hanging="360"/>
        <w:rPr>
          <w:rFonts w:asciiTheme="minorHAnsi" w:hAnsiTheme="minorHAnsi" w:cstheme="minorHAnsi"/>
          <w:szCs w:val="22"/>
        </w:rPr>
      </w:pPr>
      <w:hyperlink r:id="rId13" w:history="1">
        <w:r w:rsidRPr="00CB1F36">
          <w:rPr>
            <w:rStyle w:val="Hyperlink"/>
            <w:rFonts w:asciiTheme="minorHAnsi" w:hAnsiTheme="minorHAnsi" w:cstheme="minorHAnsi"/>
            <w:color w:val="auto"/>
            <w:szCs w:val="22"/>
            <w:u w:val="none"/>
          </w:rPr>
          <w:t>https://kodosurvey.com/blog/brinkerhoff-model-101-methodology-and-goals</w:t>
        </w:r>
      </w:hyperlink>
      <w:r w:rsidRPr="00CB1F36">
        <w:rPr>
          <w:rFonts w:asciiTheme="minorHAnsi" w:hAnsiTheme="minorHAnsi" w:cstheme="minorHAnsi"/>
          <w:szCs w:val="22"/>
        </w:rPr>
        <w:t xml:space="preserve"> (Accessed: 03 August </w:t>
      </w:r>
    </w:p>
    <w:p w:rsidR="00CB1F36" w:rsidRPr="00CB1F36" w:rsidRDefault="00CB1F36" w:rsidP="00CB1F36">
      <w:pPr>
        <w:pStyle w:val="Listparag"/>
        <w:numPr>
          <w:ilvl w:val="0"/>
          <w:numId w:val="0"/>
        </w:numPr>
        <w:pBdr>
          <w:bar w:val="single" w:sz="4" w:color="auto"/>
        </w:pBdr>
        <w:ind w:left="360" w:hanging="360"/>
        <w:rPr>
          <w:rFonts w:asciiTheme="minorHAnsi" w:hAnsiTheme="minorHAnsi" w:cstheme="minorHAnsi"/>
          <w:szCs w:val="22"/>
        </w:rPr>
      </w:pPr>
      <w:r w:rsidRPr="00CB1F36">
        <w:rPr>
          <w:rFonts w:asciiTheme="minorHAnsi" w:hAnsiTheme="minorHAnsi" w:cstheme="minorHAnsi"/>
          <w:szCs w:val="22"/>
        </w:rPr>
        <w:t xml:space="preserve">2023). </w:t>
      </w:r>
    </w:p>
    <w:p w:rsidR="00C816E6" w:rsidRPr="00CB1F36" w:rsidRDefault="00C816E6" w:rsidP="00047209">
      <w:pPr>
        <w:rPr>
          <w:rFonts w:cstheme="minorHAnsi"/>
        </w:rPr>
      </w:pPr>
      <w:r w:rsidRPr="00CB1F36">
        <w:rPr>
          <w:rFonts w:cstheme="minorHAnsi"/>
        </w:rPr>
        <w:t xml:space="preserve">Downes, A. (2015) </w:t>
      </w:r>
      <w:r w:rsidRPr="00CB1F36">
        <w:rPr>
          <w:rFonts w:cstheme="minorHAnsi"/>
        </w:rPr>
        <w:t xml:space="preserve">An Overview: </w:t>
      </w:r>
      <w:r w:rsidRPr="00CB1F36">
        <w:rPr>
          <w:rFonts w:cstheme="minorHAnsi"/>
          <w:i/>
        </w:rPr>
        <w:t xml:space="preserve">Brinkerhoff’s Method for Learning Evaluation. </w:t>
      </w:r>
      <w:r w:rsidRPr="00CB1F36">
        <w:rPr>
          <w:rFonts w:cstheme="minorHAnsi"/>
        </w:rPr>
        <w:t xml:space="preserve">Available at: </w:t>
      </w:r>
      <w:r w:rsidRPr="00CB1F36">
        <w:rPr>
          <w:rFonts w:cstheme="minorHAnsi"/>
          <w:i/>
        </w:rPr>
        <w:t xml:space="preserve"> </w:t>
      </w:r>
      <w:hyperlink r:id="rId14" w:history="1">
        <w:r w:rsidRPr="00CB1F36">
          <w:rPr>
            <w:rStyle w:val="Hyperlink"/>
            <w:rFonts w:cstheme="minorHAnsi"/>
            <w:color w:val="auto"/>
            <w:u w:val="none"/>
          </w:rPr>
          <w:t>https://www.watershedlrs.com/blog/learning-evaluation/brinkerhoff-method/</w:t>
        </w:r>
      </w:hyperlink>
      <w:r w:rsidRPr="00CB1F36">
        <w:rPr>
          <w:rFonts w:cstheme="minorHAnsi"/>
        </w:rPr>
        <w:t xml:space="preserve"> (Accessed: 03 August 2023).</w:t>
      </w:r>
    </w:p>
    <w:p w:rsidR="00D469A5" w:rsidRPr="00CB1F36" w:rsidRDefault="00D469A5" w:rsidP="00047209">
      <w:pPr>
        <w:rPr>
          <w:rFonts w:cstheme="minorHAnsi"/>
        </w:rPr>
      </w:pPr>
      <w:proofErr w:type="spellStart"/>
      <w:r w:rsidRPr="00CB1F36">
        <w:rPr>
          <w:rFonts w:cstheme="minorHAnsi"/>
        </w:rPr>
        <w:t>Escuadro</w:t>
      </w:r>
      <w:proofErr w:type="spellEnd"/>
      <w:r w:rsidRPr="00CB1F36">
        <w:rPr>
          <w:rFonts w:cstheme="minorHAnsi"/>
        </w:rPr>
        <w:t>, S. (2023)</w:t>
      </w:r>
      <w:r w:rsidRPr="00CB1F36">
        <w:rPr>
          <w:rFonts w:cstheme="minorHAnsi"/>
          <w:i/>
        </w:rPr>
        <w:t xml:space="preserve"> Learning styles: why they’re important in learning and development. </w:t>
      </w:r>
      <w:r w:rsidRPr="00CB1F36">
        <w:rPr>
          <w:rFonts w:cstheme="minorHAnsi"/>
        </w:rPr>
        <w:t xml:space="preserve">Available at: </w:t>
      </w:r>
      <w:hyperlink r:id="rId15" w:history="1">
        <w:r w:rsidRPr="00CB1F36">
          <w:rPr>
            <w:rStyle w:val="Hyperlink"/>
            <w:rFonts w:cstheme="minorHAnsi"/>
            <w:color w:val="auto"/>
            <w:u w:val="none"/>
          </w:rPr>
          <w:t>https://www.edapp.com/blog/why-learning-styles-are-important/</w:t>
        </w:r>
      </w:hyperlink>
      <w:r w:rsidRPr="00CB1F36">
        <w:rPr>
          <w:rFonts w:cstheme="minorHAnsi"/>
        </w:rPr>
        <w:t xml:space="preserve"> (Accessed: 03 August 2023). </w:t>
      </w:r>
    </w:p>
    <w:p w:rsidR="00047209" w:rsidRPr="00CB1F36" w:rsidRDefault="00047209" w:rsidP="00047209">
      <w:pPr>
        <w:rPr>
          <w:rFonts w:cstheme="minorHAnsi"/>
        </w:rPr>
      </w:pPr>
      <w:r w:rsidRPr="00CB1F36">
        <w:rPr>
          <w:rFonts w:cstheme="minorHAnsi"/>
        </w:rPr>
        <w:t xml:space="preserve">Frost, S. (2019) </w:t>
      </w:r>
      <w:r w:rsidRPr="00CB1F36">
        <w:rPr>
          <w:rFonts w:cstheme="minorHAnsi"/>
          <w:i/>
        </w:rPr>
        <w:t>Effects of Training on Employee Performance.</w:t>
      </w:r>
      <w:r w:rsidRPr="00CB1F36">
        <w:rPr>
          <w:rFonts w:cstheme="minorHAnsi"/>
        </w:rPr>
        <w:t xml:space="preserve"> Available at: </w:t>
      </w:r>
      <w:hyperlink r:id="rId16" w:history="1">
        <w:r w:rsidRPr="00CB1F36">
          <w:rPr>
            <w:rStyle w:val="Hyperlink"/>
            <w:rFonts w:cstheme="minorHAnsi"/>
            <w:color w:val="auto"/>
            <w:u w:val="none"/>
          </w:rPr>
          <w:t>https://smallbusiness.chron.com/effects-training-employee-performance-39737.html</w:t>
        </w:r>
      </w:hyperlink>
      <w:r w:rsidRPr="00CB1F36">
        <w:rPr>
          <w:rFonts w:cstheme="minorHAnsi"/>
        </w:rPr>
        <w:t xml:space="preserve"> (Accessed: 17 July 2023).</w:t>
      </w:r>
    </w:p>
    <w:p w:rsidR="009540CD" w:rsidRPr="00CB1F36" w:rsidRDefault="009540CD" w:rsidP="009540CD">
      <w:pPr>
        <w:pStyle w:val="Listparag"/>
        <w:numPr>
          <w:ilvl w:val="0"/>
          <w:numId w:val="0"/>
        </w:numPr>
        <w:pBdr>
          <w:bar w:val="single" w:sz="4" w:color="auto"/>
        </w:pBdr>
        <w:spacing w:after="0"/>
        <w:ind w:left="360" w:hanging="360"/>
        <w:rPr>
          <w:rFonts w:asciiTheme="minorHAnsi" w:hAnsiTheme="minorHAnsi" w:cstheme="minorHAnsi"/>
          <w:szCs w:val="22"/>
        </w:rPr>
      </w:pPr>
      <w:r w:rsidRPr="00CB1F36">
        <w:rPr>
          <w:rFonts w:asciiTheme="minorHAnsi" w:hAnsiTheme="minorHAnsi" w:cstheme="minorHAnsi"/>
          <w:szCs w:val="22"/>
        </w:rPr>
        <w:t xml:space="preserve">Gardener, O. (2017) </w:t>
      </w:r>
      <w:r w:rsidRPr="00CB1F36">
        <w:rPr>
          <w:rFonts w:asciiTheme="minorHAnsi" w:hAnsiTheme="minorHAnsi" w:cstheme="minorHAnsi"/>
          <w:i/>
          <w:szCs w:val="22"/>
        </w:rPr>
        <w:t xml:space="preserve">Facilitation: the key skill for L&amp;D. </w:t>
      </w:r>
      <w:r w:rsidRPr="00CB1F36">
        <w:rPr>
          <w:rFonts w:asciiTheme="minorHAnsi" w:hAnsiTheme="minorHAnsi" w:cstheme="minorHAnsi"/>
          <w:szCs w:val="22"/>
        </w:rPr>
        <w:t xml:space="preserve">Available at: </w:t>
      </w:r>
    </w:p>
    <w:p w:rsidR="009540CD" w:rsidRPr="00CB1F36" w:rsidRDefault="009540CD" w:rsidP="009540CD">
      <w:pPr>
        <w:pStyle w:val="Listparag"/>
        <w:numPr>
          <w:ilvl w:val="0"/>
          <w:numId w:val="0"/>
        </w:numPr>
        <w:pBdr>
          <w:bar w:val="single" w:sz="4" w:color="auto"/>
        </w:pBdr>
        <w:spacing w:after="0"/>
        <w:ind w:left="360" w:hanging="360"/>
        <w:rPr>
          <w:rFonts w:asciiTheme="minorHAnsi" w:hAnsiTheme="minorHAnsi" w:cstheme="minorHAnsi"/>
          <w:szCs w:val="22"/>
        </w:rPr>
      </w:pPr>
      <w:hyperlink r:id="rId17" w:history="1">
        <w:r w:rsidRPr="00CB1F36">
          <w:rPr>
            <w:rStyle w:val="Hyperlink"/>
            <w:rFonts w:asciiTheme="minorHAnsi" w:hAnsiTheme="minorHAnsi" w:cstheme="minorHAnsi"/>
            <w:color w:val="auto"/>
            <w:szCs w:val="22"/>
            <w:u w:val="none"/>
          </w:rPr>
          <w:t>https://www.linkedin.com/pulse/facilitation-key-skill-ld-olaug-n%C3%B8rsterud-gardener/</w:t>
        </w:r>
      </w:hyperlink>
      <w:r w:rsidRPr="00CB1F36">
        <w:rPr>
          <w:rFonts w:asciiTheme="minorHAnsi" w:hAnsiTheme="minorHAnsi" w:cstheme="minorHAnsi"/>
          <w:szCs w:val="22"/>
        </w:rPr>
        <w:t xml:space="preserve"> </w:t>
      </w:r>
    </w:p>
    <w:p w:rsidR="009540CD" w:rsidRPr="00CB1F36" w:rsidRDefault="009540CD" w:rsidP="009540CD">
      <w:pPr>
        <w:pStyle w:val="Listparag"/>
        <w:numPr>
          <w:ilvl w:val="0"/>
          <w:numId w:val="0"/>
        </w:numPr>
        <w:pBdr>
          <w:bar w:val="single" w:sz="4" w:color="auto"/>
        </w:pBdr>
        <w:ind w:left="360" w:hanging="360"/>
        <w:rPr>
          <w:rFonts w:asciiTheme="minorHAnsi" w:hAnsiTheme="minorHAnsi" w:cstheme="minorHAnsi"/>
          <w:szCs w:val="22"/>
        </w:rPr>
      </w:pPr>
      <w:r w:rsidRPr="00CB1F36">
        <w:rPr>
          <w:rFonts w:asciiTheme="minorHAnsi" w:hAnsiTheme="minorHAnsi" w:cstheme="minorHAnsi"/>
          <w:szCs w:val="22"/>
        </w:rPr>
        <w:t>(Accessed: 03 August 2023).</w:t>
      </w:r>
    </w:p>
    <w:p w:rsidR="0074016C" w:rsidRPr="00CB1F36" w:rsidRDefault="0074016C" w:rsidP="0074016C">
      <w:pPr>
        <w:pStyle w:val="Listparag"/>
        <w:numPr>
          <w:ilvl w:val="0"/>
          <w:numId w:val="0"/>
        </w:numPr>
        <w:pBdr>
          <w:bar w:val="single" w:sz="4" w:color="auto"/>
        </w:pBdr>
        <w:spacing w:after="0"/>
        <w:ind w:left="360" w:hanging="360"/>
        <w:rPr>
          <w:rFonts w:asciiTheme="minorHAnsi" w:hAnsiTheme="minorHAnsi" w:cstheme="minorHAnsi"/>
          <w:szCs w:val="22"/>
        </w:rPr>
      </w:pPr>
      <w:r w:rsidRPr="00CB1F36">
        <w:rPr>
          <w:rFonts w:asciiTheme="minorHAnsi" w:hAnsiTheme="minorHAnsi" w:cstheme="minorHAnsi"/>
          <w:szCs w:val="22"/>
        </w:rPr>
        <w:t xml:space="preserve">Gibbons, S. (2020) </w:t>
      </w:r>
      <w:r w:rsidRPr="00CB1F36">
        <w:rPr>
          <w:rFonts w:asciiTheme="minorHAnsi" w:hAnsiTheme="minorHAnsi" w:cstheme="minorHAnsi"/>
          <w:i/>
          <w:szCs w:val="22"/>
        </w:rPr>
        <w:t xml:space="preserve">How Companies Are Adapting </w:t>
      </w:r>
      <w:proofErr w:type="gramStart"/>
      <w:r w:rsidRPr="00CB1F36">
        <w:rPr>
          <w:rFonts w:asciiTheme="minorHAnsi" w:hAnsiTheme="minorHAnsi" w:cstheme="minorHAnsi"/>
          <w:i/>
          <w:szCs w:val="22"/>
        </w:rPr>
        <w:t>To</w:t>
      </w:r>
      <w:proofErr w:type="gramEnd"/>
      <w:r w:rsidRPr="00CB1F36">
        <w:rPr>
          <w:rFonts w:asciiTheme="minorHAnsi" w:hAnsiTheme="minorHAnsi" w:cstheme="minorHAnsi"/>
          <w:i/>
          <w:szCs w:val="22"/>
        </w:rPr>
        <w:t xml:space="preserve"> Changing Customer Demand. </w:t>
      </w:r>
      <w:r w:rsidRPr="00CB1F36">
        <w:rPr>
          <w:rFonts w:asciiTheme="minorHAnsi" w:hAnsiTheme="minorHAnsi" w:cstheme="minorHAnsi"/>
          <w:szCs w:val="22"/>
        </w:rPr>
        <w:t xml:space="preserve">Available at: </w:t>
      </w:r>
    </w:p>
    <w:p w:rsidR="0074016C" w:rsidRPr="00CB1F36" w:rsidRDefault="009540CD" w:rsidP="0074016C">
      <w:pPr>
        <w:pStyle w:val="Listparag"/>
        <w:numPr>
          <w:ilvl w:val="0"/>
          <w:numId w:val="0"/>
        </w:numPr>
        <w:pBdr>
          <w:bar w:val="single" w:sz="4" w:color="auto"/>
        </w:pBdr>
        <w:spacing w:after="0"/>
        <w:ind w:left="360" w:hanging="360"/>
        <w:rPr>
          <w:rFonts w:asciiTheme="minorHAnsi" w:hAnsiTheme="minorHAnsi" w:cstheme="minorHAnsi"/>
          <w:szCs w:val="22"/>
        </w:rPr>
      </w:pPr>
      <w:hyperlink r:id="rId18" w:history="1">
        <w:r w:rsidRPr="00CB1F36">
          <w:rPr>
            <w:rStyle w:val="Hyperlink"/>
            <w:rFonts w:asciiTheme="minorHAnsi" w:hAnsiTheme="minorHAnsi" w:cstheme="minorHAnsi"/>
            <w:color w:val="auto"/>
            <w:szCs w:val="22"/>
            <w:u w:val="none"/>
          </w:rPr>
          <w:t>https://www.forbes.com/sites/serenitygibbons/2020/11/26/how-companies-are-adapting-to-</w:t>
        </w:r>
      </w:hyperlink>
    </w:p>
    <w:p w:rsidR="0074016C" w:rsidRPr="00CB1F36" w:rsidRDefault="0074016C" w:rsidP="0074016C">
      <w:pPr>
        <w:pStyle w:val="Listparag"/>
        <w:numPr>
          <w:ilvl w:val="0"/>
          <w:numId w:val="0"/>
        </w:numPr>
        <w:pBdr>
          <w:bar w:val="single" w:sz="4" w:color="auto"/>
        </w:pBdr>
        <w:ind w:left="360" w:hanging="360"/>
        <w:rPr>
          <w:rFonts w:asciiTheme="minorHAnsi" w:hAnsiTheme="minorHAnsi" w:cstheme="minorHAnsi"/>
          <w:szCs w:val="22"/>
        </w:rPr>
      </w:pPr>
      <w:r w:rsidRPr="00CB1F36">
        <w:rPr>
          <w:rFonts w:asciiTheme="minorHAnsi" w:hAnsiTheme="minorHAnsi" w:cstheme="minorHAnsi"/>
          <w:szCs w:val="22"/>
        </w:rPr>
        <w:t>changing-customer-demand/?</w:t>
      </w:r>
      <w:proofErr w:type="spellStart"/>
      <w:r w:rsidRPr="00CB1F36">
        <w:rPr>
          <w:rFonts w:asciiTheme="minorHAnsi" w:hAnsiTheme="minorHAnsi" w:cstheme="minorHAnsi"/>
          <w:szCs w:val="22"/>
        </w:rPr>
        <w:t>sh</w:t>
      </w:r>
      <w:proofErr w:type="spellEnd"/>
      <w:r w:rsidRPr="00CB1F36">
        <w:rPr>
          <w:rFonts w:asciiTheme="minorHAnsi" w:hAnsiTheme="minorHAnsi" w:cstheme="minorHAnsi"/>
          <w:szCs w:val="22"/>
        </w:rPr>
        <w:t xml:space="preserve">=7ce3e51558ec (Accessed: 29 July 2023). </w:t>
      </w:r>
    </w:p>
    <w:p w:rsidR="004943ED" w:rsidRPr="00CB1F36" w:rsidRDefault="004943ED" w:rsidP="004943ED">
      <w:pPr>
        <w:rPr>
          <w:rFonts w:cstheme="minorHAnsi"/>
        </w:rPr>
      </w:pPr>
      <w:r w:rsidRPr="00CB1F36">
        <w:rPr>
          <w:rFonts w:cstheme="minorHAnsi"/>
        </w:rPr>
        <w:t xml:space="preserve">Guild, P. (1994) ‘The Culture/Learning Style Connection’, </w:t>
      </w:r>
      <w:r w:rsidRPr="00CB1F36">
        <w:rPr>
          <w:rFonts w:cstheme="minorHAnsi"/>
          <w:i/>
        </w:rPr>
        <w:t xml:space="preserve">Educational Leadership, </w:t>
      </w:r>
      <w:r w:rsidRPr="00CB1F36">
        <w:rPr>
          <w:rFonts w:cstheme="minorHAnsi"/>
        </w:rPr>
        <w:t>51(8), pp. 16-21.</w:t>
      </w:r>
    </w:p>
    <w:p w:rsidR="002938A1" w:rsidRPr="00CB1F36" w:rsidRDefault="002938A1" w:rsidP="00047209">
      <w:pPr>
        <w:rPr>
          <w:rFonts w:cstheme="minorHAnsi"/>
        </w:rPr>
      </w:pPr>
      <w:r w:rsidRPr="00CB1F36">
        <w:rPr>
          <w:rFonts w:cstheme="minorHAnsi"/>
        </w:rPr>
        <w:t xml:space="preserve">Halvorson, C. (2015) </w:t>
      </w:r>
      <w:r w:rsidRPr="00CB1F36">
        <w:rPr>
          <w:rFonts w:cstheme="minorHAnsi"/>
          <w:i/>
        </w:rPr>
        <w:t xml:space="preserve">5 Reasons You Should Be Investing in Employee Development. </w:t>
      </w:r>
      <w:r w:rsidRPr="00CB1F36">
        <w:rPr>
          <w:rFonts w:cstheme="minorHAnsi"/>
        </w:rPr>
        <w:t xml:space="preserve">Available at: </w:t>
      </w:r>
      <w:hyperlink r:id="rId19" w:history="1">
        <w:r w:rsidR="0074016C" w:rsidRPr="00CB1F36">
          <w:rPr>
            <w:rStyle w:val="Hyperlink"/>
            <w:rFonts w:cstheme="minorHAnsi"/>
            <w:color w:val="auto"/>
            <w:u w:val="none"/>
          </w:rPr>
          <w:t>https://www.inc.com/chad-halvorson/5-reasons-you-should-be-investing-in-employee-development.html</w:t>
        </w:r>
      </w:hyperlink>
      <w:r w:rsidRPr="00CB1F36">
        <w:rPr>
          <w:rFonts w:cstheme="minorHAnsi"/>
        </w:rPr>
        <w:t xml:space="preserve"> (Accessed: 17 July 2023).</w:t>
      </w:r>
    </w:p>
    <w:p w:rsidR="0056114D" w:rsidRPr="00CB1F36" w:rsidRDefault="0056114D" w:rsidP="00047209">
      <w:pPr>
        <w:rPr>
          <w:rFonts w:cstheme="minorHAnsi"/>
        </w:rPr>
      </w:pPr>
      <w:r w:rsidRPr="00CB1F36">
        <w:rPr>
          <w:rFonts w:cstheme="minorHAnsi"/>
        </w:rPr>
        <w:lastRenderedPageBreak/>
        <w:t xml:space="preserve">Hayden, D. (2022a) </w:t>
      </w:r>
      <w:r w:rsidRPr="00CB1F36">
        <w:rPr>
          <w:rFonts w:cstheme="minorHAnsi"/>
          <w:i/>
        </w:rPr>
        <w:t xml:space="preserve">Identifying learning and development needs. </w:t>
      </w:r>
      <w:r w:rsidRPr="00CB1F36">
        <w:rPr>
          <w:rFonts w:cstheme="minorHAnsi"/>
        </w:rPr>
        <w:t xml:space="preserve">Available at: </w:t>
      </w:r>
      <w:hyperlink r:id="rId20" w:history="1">
        <w:r w:rsidRPr="00CB1F36">
          <w:rPr>
            <w:rStyle w:val="Hyperlink"/>
            <w:rFonts w:cstheme="minorHAnsi"/>
            <w:color w:val="auto"/>
            <w:u w:val="none"/>
          </w:rPr>
          <w:t>https://www.cipd.org/uk/knowledge/factsheets/learning-needs-factsheet/#Preparing</w:t>
        </w:r>
      </w:hyperlink>
      <w:r w:rsidRPr="00CB1F36">
        <w:rPr>
          <w:rFonts w:cstheme="minorHAnsi"/>
        </w:rPr>
        <w:t xml:space="preserve"> (Accessed: 29 July 2023).</w:t>
      </w:r>
    </w:p>
    <w:p w:rsidR="00DE1484" w:rsidRPr="00CB1F36" w:rsidRDefault="00DE1484" w:rsidP="00DE1484">
      <w:pPr>
        <w:pStyle w:val="Listparag"/>
        <w:numPr>
          <w:ilvl w:val="0"/>
          <w:numId w:val="0"/>
        </w:numPr>
        <w:pBdr>
          <w:bar w:val="single" w:sz="4" w:color="auto"/>
        </w:pBdr>
        <w:spacing w:after="0"/>
        <w:ind w:left="360" w:hanging="360"/>
        <w:rPr>
          <w:rFonts w:asciiTheme="minorHAnsi" w:hAnsiTheme="minorHAnsi" w:cstheme="minorHAnsi"/>
          <w:szCs w:val="22"/>
        </w:rPr>
      </w:pPr>
      <w:r w:rsidRPr="00CB1F36">
        <w:rPr>
          <w:rFonts w:asciiTheme="minorHAnsi" w:hAnsiTheme="minorHAnsi" w:cstheme="minorHAnsi"/>
          <w:szCs w:val="22"/>
        </w:rPr>
        <w:t>Hayden, D. (2022</w:t>
      </w:r>
      <w:r w:rsidR="00780B72" w:rsidRPr="00CB1F36">
        <w:rPr>
          <w:rFonts w:asciiTheme="minorHAnsi" w:hAnsiTheme="minorHAnsi" w:cstheme="minorHAnsi"/>
          <w:szCs w:val="22"/>
        </w:rPr>
        <w:t>b</w:t>
      </w:r>
      <w:r w:rsidRPr="00CB1F36">
        <w:rPr>
          <w:rFonts w:asciiTheme="minorHAnsi" w:hAnsiTheme="minorHAnsi" w:cstheme="minorHAnsi"/>
          <w:szCs w:val="22"/>
        </w:rPr>
        <w:t xml:space="preserve">) </w:t>
      </w:r>
      <w:r w:rsidRPr="00CB1F36">
        <w:rPr>
          <w:rFonts w:asciiTheme="minorHAnsi" w:hAnsiTheme="minorHAnsi" w:cstheme="minorHAnsi"/>
          <w:i/>
          <w:szCs w:val="22"/>
        </w:rPr>
        <w:t xml:space="preserve">Learning Methods. </w:t>
      </w:r>
      <w:r w:rsidRPr="00CB1F36">
        <w:rPr>
          <w:rFonts w:asciiTheme="minorHAnsi" w:hAnsiTheme="minorHAnsi" w:cstheme="minorHAnsi"/>
          <w:szCs w:val="22"/>
        </w:rPr>
        <w:t xml:space="preserve">Available at: </w:t>
      </w:r>
    </w:p>
    <w:p w:rsidR="00DE1484" w:rsidRPr="00CB1F36" w:rsidRDefault="00DE1484" w:rsidP="00DE1484">
      <w:pPr>
        <w:pStyle w:val="Listparag"/>
        <w:numPr>
          <w:ilvl w:val="0"/>
          <w:numId w:val="0"/>
        </w:numPr>
        <w:pBdr>
          <w:bar w:val="single" w:sz="4" w:color="auto"/>
        </w:pBdr>
        <w:spacing w:after="0"/>
        <w:ind w:left="360" w:hanging="360"/>
        <w:rPr>
          <w:rFonts w:asciiTheme="minorHAnsi" w:hAnsiTheme="minorHAnsi" w:cstheme="minorHAnsi"/>
          <w:szCs w:val="22"/>
        </w:rPr>
      </w:pPr>
      <w:hyperlink r:id="rId21" w:history="1">
        <w:r w:rsidRPr="00CB1F36">
          <w:rPr>
            <w:rStyle w:val="Hyperlink"/>
            <w:rFonts w:asciiTheme="minorHAnsi" w:hAnsiTheme="minorHAnsi" w:cstheme="minorHAnsi"/>
            <w:color w:val="auto"/>
            <w:szCs w:val="22"/>
            <w:u w:val="none"/>
          </w:rPr>
          <w:t>https://www.cipd.org/uk/knowledge/factsheets/learning-methods-factsheet/</w:t>
        </w:r>
      </w:hyperlink>
      <w:r w:rsidRPr="00CB1F36">
        <w:rPr>
          <w:rFonts w:asciiTheme="minorHAnsi" w:hAnsiTheme="minorHAnsi" w:cstheme="minorHAnsi"/>
          <w:szCs w:val="22"/>
        </w:rPr>
        <w:t xml:space="preserve"> (Accessed: 03 August </w:t>
      </w:r>
    </w:p>
    <w:p w:rsidR="00DE1484" w:rsidRPr="00CB1F36" w:rsidRDefault="00DE1484" w:rsidP="00DE1484">
      <w:pPr>
        <w:pStyle w:val="Listparag"/>
        <w:numPr>
          <w:ilvl w:val="0"/>
          <w:numId w:val="0"/>
        </w:numPr>
        <w:pBdr>
          <w:bar w:val="single" w:sz="4" w:color="auto"/>
        </w:pBdr>
        <w:ind w:left="360" w:hanging="360"/>
        <w:rPr>
          <w:rFonts w:asciiTheme="minorHAnsi" w:hAnsiTheme="minorHAnsi" w:cstheme="minorHAnsi"/>
          <w:szCs w:val="22"/>
        </w:rPr>
      </w:pPr>
      <w:r w:rsidRPr="00CB1F36">
        <w:rPr>
          <w:rFonts w:asciiTheme="minorHAnsi" w:hAnsiTheme="minorHAnsi" w:cstheme="minorHAnsi"/>
          <w:szCs w:val="22"/>
        </w:rPr>
        <w:t xml:space="preserve">2023). </w:t>
      </w:r>
    </w:p>
    <w:p w:rsidR="00E1791D" w:rsidRPr="00CB1F36" w:rsidRDefault="00BD6200" w:rsidP="00E1791D">
      <w:pPr>
        <w:pStyle w:val="Listparag"/>
        <w:numPr>
          <w:ilvl w:val="0"/>
          <w:numId w:val="0"/>
        </w:numPr>
        <w:pBdr>
          <w:bar w:val="single" w:sz="4" w:color="auto"/>
        </w:pBdr>
        <w:spacing w:after="0"/>
        <w:ind w:left="360" w:hanging="360"/>
        <w:rPr>
          <w:rFonts w:asciiTheme="minorHAnsi" w:hAnsiTheme="minorHAnsi" w:cstheme="minorHAnsi"/>
          <w:szCs w:val="22"/>
        </w:rPr>
      </w:pPr>
      <w:r w:rsidRPr="00CB1F36">
        <w:rPr>
          <w:rFonts w:asciiTheme="minorHAnsi" w:hAnsiTheme="minorHAnsi" w:cstheme="minorHAnsi"/>
          <w:szCs w:val="22"/>
        </w:rPr>
        <w:t>Hayden, D (2022</w:t>
      </w:r>
      <w:r w:rsidRPr="00CB1F36">
        <w:rPr>
          <w:rFonts w:asciiTheme="minorHAnsi" w:hAnsiTheme="minorHAnsi" w:cstheme="minorHAnsi"/>
          <w:szCs w:val="22"/>
        </w:rPr>
        <w:t>c</w:t>
      </w:r>
      <w:r w:rsidRPr="00CB1F36">
        <w:rPr>
          <w:rFonts w:asciiTheme="minorHAnsi" w:hAnsiTheme="minorHAnsi" w:cstheme="minorHAnsi"/>
          <w:szCs w:val="22"/>
        </w:rPr>
        <w:t xml:space="preserve">) </w:t>
      </w:r>
      <w:r w:rsidR="00E1791D" w:rsidRPr="00CB1F36">
        <w:rPr>
          <w:rFonts w:asciiTheme="minorHAnsi" w:hAnsiTheme="minorHAnsi" w:cstheme="minorHAnsi"/>
          <w:i/>
          <w:szCs w:val="22"/>
        </w:rPr>
        <w:t xml:space="preserve">Evaluating learning and development. </w:t>
      </w:r>
      <w:r w:rsidR="00E1791D" w:rsidRPr="00CB1F36">
        <w:rPr>
          <w:rFonts w:asciiTheme="minorHAnsi" w:hAnsiTheme="minorHAnsi" w:cstheme="minorHAnsi"/>
          <w:szCs w:val="22"/>
        </w:rPr>
        <w:t xml:space="preserve">Available at: </w:t>
      </w:r>
    </w:p>
    <w:p w:rsidR="00E1791D" w:rsidRPr="00CB1F36" w:rsidRDefault="00E1791D" w:rsidP="00E1791D">
      <w:pPr>
        <w:pStyle w:val="Listparag"/>
        <w:numPr>
          <w:ilvl w:val="0"/>
          <w:numId w:val="0"/>
        </w:numPr>
        <w:pBdr>
          <w:bar w:val="single" w:sz="4" w:color="auto"/>
        </w:pBdr>
        <w:spacing w:after="0"/>
        <w:ind w:left="360" w:hanging="360"/>
        <w:rPr>
          <w:rFonts w:asciiTheme="minorHAnsi" w:hAnsiTheme="minorHAnsi" w:cstheme="minorHAnsi"/>
          <w:szCs w:val="22"/>
        </w:rPr>
      </w:pPr>
      <w:hyperlink r:id="rId22" w:history="1">
        <w:r w:rsidRPr="00CB1F36">
          <w:rPr>
            <w:rStyle w:val="Hyperlink"/>
            <w:rFonts w:asciiTheme="minorHAnsi" w:hAnsiTheme="minorHAnsi" w:cstheme="minorHAnsi"/>
            <w:color w:val="auto"/>
            <w:szCs w:val="22"/>
            <w:u w:val="none"/>
          </w:rPr>
          <w:t>https://www.cipd.org/uk/knowledge/factsheets/evaluating-learning-factsheet/</w:t>
        </w:r>
      </w:hyperlink>
      <w:r w:rsidRPr="00CB1F36">
        <w:rPr>
          <w:rFonts w:asciiTheme="minorHAnsi" w:hAnsiTheme="minorHAnsi" w:cstheme="minorHAnsi"/>
          <w:szCs w:val="22"/>
        </w:rPr>
        <w:t xml:space="preserve"> (Accessed: 03 </w:t>
      </w:r>
    </w:p>
    <w:p w:rsidR="00BD6200" w:rsidRPr="00CB1F36" w:rsidRDefault="00E1791D" w:rsidP="00BD6200">
      <w:pPr>
        <w:pStyle w:val="Listparag"/>
        <w:numPr>
          <w:ilvl w:val="0"/>
          <w:numId w:val="0"/>
        </w:numPr>
        <w:pBdr>
          <w:bar w:val="single" w:sz="4" w:color="auto"/>
        </w:pBdr>
        <w:ind w:left="360" w:hanging="360"/>
        <w:rPr>
          <w:rFonts w:asciiTheme="minorHAnsi" w:hAnsiTheme="minorHAnsi" w:cstheme="minorHAnsi"/>
          <w:szCs w:val="22"/>
        </w:rPr>
      </w:pPr>
      <w:r w:rsidRPr="00CB1F36">
        <w:rPr>
          <w:rFonts w:asciiTheme="minorHAnsi" w:hAnsiTheme="minorHAnsi" w:cstheme="minorHAnsi"/>
          <w:szCs w:val="22"/>
        </w:rPr>
        <w:t xml:space="preserve">August 2023). </w:t>
      </w:r>
    </w:p>
    <w:p w:rsidR="00047209" w:rsidRPr="00CB1F36" w:rsidRDefault="00047209" w:rsidP="00047209">
      <w:pPr>
        <w:pStyle w:val="Listparag"/>
        <w:numPr>
          <w:ilvl w:val="0"/>
          <w:numId w:val="0"/>
        </w:numPr>
        <w:pBdr>
          <w:bar w:val="single" w:sz="4" w:color="auto"/>
        </w:pBdr>
        <w:spacing w:after="0"/>
        <w:ind w:left="360" w:hanging="360"/>
        <w:rPr>
          <w:rFonts w:asciiTheme="minorHAnsi" w:hAnsiTheme="minorHAnsi" w:cstheme="minorHAnsi"/>
          <w:szCs w:val="22"/>
        </w:rPr>
      </w:pPr>
      <w:r w:rsidRPr="00CB1F36">
        <w:rPr>
          <w:rFonts w:asciiTheme="minorHAnsi" w:hAnsiTheme="minorHAnsi" w:cstheme="minorHAnsi"/>
          <w:szCs w:val="22"/>
        </w:rPr>
        <w:t xml:space="preserve">Heinz, K. (2023) </w:t>
      </w:r>
      <w:r w:rsidRPr="00CB1F36">
        <w:rPr>
          <w:rFonts w:asciiTheme="minorHAnsi" w:hAnsiTheme="minorHAnsi" w:cstheme="minorHAnsi"/>
          <w:i/>
          <w:szCs w:val="22"/>
        </w:rPr>
        <w:t xml:space="preserve">6 Reasons Why Employee Development Is Key. </w:t>
      </w:r>
      <w:r w:rsidRPr="00CB1F36">
        <w:rPr>
          <w:rFonts w:asciiTheme="minorHAnsi" w:hAnsiTheme="minorHAnsi" w:cstheme="minorHAnsi"/>
          <w:szCs w:val="22"/>
        </w:rPr>
        <w:t>Available at:</w:t>
      </w:r>
    </w:p>
    <w:p w:rsidR="00047209" w:rsidRPr="00CB1F36" w:rsidRDefault="00E1791D" w:rsidP="00047209">
      <w:pPr>
        <w:pStyle w:val="Listparag"/>
        <w:numPr>
          <w:ilvl w:val="0"/>
          <w:numId w:val="0"/>
        </w:numPr>
        <w:pBdr>
          <w:bar w:val="single" w:sz="4" w:color="auto"/>
        </w:pBdr>
        <w:ind w:left="360" w:hanging="360"/>
        <w:rPr>
          <w:rFonts w:asciiTheme="minorHAnsi" w:hAnsiTheme="minorHAnsi" w:cstheme="minorHAnsi"/>
          <w:szCs w:val="22"/>
        </w:rPr>
      </w:pPr>
      <w:hyperlink r:id="rId23" w:history="1">
        <w:r w:rsidRPr="00CB1F36">
          <w:rPr>
            <w:rStyle w:val="Hyperlink"/>
            <w:rFonts w:asciiTheme="minorHAnsi" w:hAnsiTheme="minorHAnsi" w:cstheme="minorHAnsi"/>
            <w:color w:val="auto"/>
            <w:szCs w:val="22"/>
            <w:u w:val="none"/>
          </w:rPr>
          <w:t>https://builtin.com/company-culture/employee-development</w:t>
        </w:r>
      </w:hyperlink>
      <w:r w:rsidR="00047209" w:rsidRPr="00CB1F36">
        <w:rPr>
          <w:rFonts w:asciiTheme="minorHAnsi" w:hAnsiTheme="minorHAnsi" w:cstheme="minorHAnsi"/>
          <w:szCs w:val="22"/>
        </w:rPr>
        <w:t xml:space="preserve"> (Accessed: 17 July 2023).</w:t>
      </w:r>
    </w:p>
    <w:p w:rsidR="00B14396" w:rsidRPr="00CB1F36" w:rsidRDefault="00B14396" w:rsidP="00B14396">
      <w:pPr>
        <w:pStyle w:val="Listparag"/>
        <w:numPr>
          <w:ilvl w:val="0"/>
          <w:numId w:val="0"/>
        </w:numPr>
        <w:pBdr>
          <w:bar w:val="single" w:sz="4" w:color="auto"/>
        </w:pBdr>
        <w:spacing w:after="0"/>
        <w:ind w:left="360" w:hanging="360"/>
        <w:rPr>
          <w:rFonts w:asciiTheme="minorHAnsi" w:hAnsiTheme="minorHAnsi" w:cstheme="minorHAnsi"/>
          <w:szCs w:val="22"/>
        </w:rPr>
      </w:pPr>
      <w:proofErr w:type="spellStart"/>
      <w:r w:rsidRPr="00CB1F36">
        <w:rPr>
          <w:rFonts w:asciiTheme="minorHAnsi" w:hAnsiTheme="minorHAnsi" w:cstheme="minorHAnsi"/>
          <w:szCs w:val="22"/>
        </w:rPr>
        <w:t>Hilgers</w:t>
      </w:r>
      <w:proofErr w:type="spellEnd"/>
      <w:r w:rsidRPr="00CB1F36">
        <w:rPr>
          <w:rFonts w:asciiTheme="minorHAnsi" w:hAnsiTheme="minorHAnsi" w:cstheme="minorHAnsi"/>
          <w:szCs w:val="22"/>
        </w:rPr>
        <w:t xml:space="preserve">, L. (2023) </w:t>
      </w:r>
      <w:r w:rsidRPr="00CB1F36">
        <w:rPr>
          <w:rFonts w:asciiTheme="minorHAnsi" w:hAnsiTheme="minorHAnsi" w:cstheme="minorHAnsi"/>
          <w:i/>
          <w:szCs w:val="22"/>
        </w:rPr>
        <w:t xml:space="preserve">The Best Way to Use the Kirkpatrick Model for Evaluating L&amp;D Impact. </w:t>
      </w:r>
      <w:r w:rsidRPr="00CB1F36">
        <w:rPr>
          <w:rFonts w:asciiTheme="minorHAnsi" w:hAnsiTheme="minorHAnsi" w:cstheme="minorHAnsi"/>
          <w:szCs w:val="22"/>
        </w:rPr>
        <w:t xml:space="preserve">Available at: </w:t>
      </w:r>
    </w:p>
    <w:p w:rsidR="00B14396" w:rsidRPr="00CB1F36" w:rsidRDefault="00B14396" w:rsidP="00B14396">
      <w:pPr>
        <w:pStyle w:val="Listparag"/>
        <w:numPr>
          <w:ilvl w:val="0"/>
          <w:numId w:val="0"/>
        </w:numPr>
        <w:pBdr>
          <w:bar w:val="single" w:sz="4" w:color="auto"/>
        </w:pBdr>
        <w:spacing w:after="0"/>
        <w:ind w:left="360" w:hanging="360"/>
        <w:rPr>
          <w:rFonts w:asciiTheme="minorHAnsi" w:hAnsiTheme="minorHAnsi" w:cstheme="minorHAnsi"/>
          <w:szCs w:val="22"/>
        </w:rPr>
      </w:pPr>
      <w:hyperlink r:id="rId24" w:history="1">
        <w:r w:rsidRPr="00CB1F36">
          <w:rPr>
            <w:rStyle w:val="Hyperlink"/>
            <w:rFonts w:asciiTheme="minorHAnsi" w:hAnsiTheme="minorHAnsi" w:cstheme="minorHAnsi"/>
            <w:color w:val="auto"/>
            <w:szCs w:val="22"/>
            <w:u w:val="none"/>
          </w:rPr>
          <w:t>https://www.linkedin.com/business/talent/blog/learning-and-development/best-way-to-use-</w:t>
        </w:r>
      </w:hyperlink>
    </w:p>
    <w:p w:rsidR="00B14396" w:rsidRPr="00CB1F36" w:rsidRDefault="00B14396" w:rsidP="00B14396">
      <w:pPr>
        <w:pStyle w:val="Listparag"/>
        <w:numPr>
          <w:ilvl w:val="0"/>
          <w:numId w:val="0"/>
        </w:numPr>
        <w:pBdr>
          <w:bar w:val="single" w:sz="4" w:color="auto"/>
        </w:pBdr>
        <w:ind w:left="360" w:hanging="360"/>
        <w:rPr>
          <w:rFonts w:asciiTheme="minorHAnsi" w:hAnsiTheme="minorHAnsi" w:cstheme="minorHAnsi"/>
          <w:szCs w:val="22"/>
        </w:rPr>
      </w:pPr>
      <w:proofErr w:type="spellStart"/>
      <w:r w:rsidRPr="00CB1F36">
        <w:rPr>
          <w:rFonts w:asciiTheme="minorHAnsi" w:hAnsiTheme="minorHAnsi" w:cstheme="minorHAnsi"/>
          <w:szCs w:val="22"/>
        </w:rPr>
        <w:t>kirkpatrick</w:t>
      </w:r>
      <w:proofErr w:type="spellEnd"/>
      <w:r w:rsidRPr="00CB1F36">
        <w:rPr>
          <w:rFonts w:asciiTheme="minorHAnsi" w:hAnsiTheme="minorHAnsi" w:cstheme="minorHAnsi"/>
          <w:szCs w:val="22"/>
        </w:rPr>
        <w:t>-model</w:t>
      </w:r>
      <w:r w:rsidRPr="00CB1F36">
        <w:rPr>
          <w:rFonts w:asciiTheme="minorHAnsi" w:hAnsiTheme="minorHAnsi" w:cstheme="minorHAnsi"/>
          <w:szCs w:val="22"/>
        </w:rPr>
        <w:t xml:space="preserve"> (Accessed: 03 August 2023). </w:t>
      </w:r>
    </w:p>
    <w:p w:rsidR="00137F16" w:rsidRPr="00CB1F36" w:rsidRDefault="00137F16" w:rsidP="00137F16">
      <w:pPr>
        <w:pStyle w:val="Listparag"/>
        <w:numPr>
          <w:ilvl w:val="0"/>
          <w:numId w:val="0"/>
        </w:numPr>
        <w:pBdr>
          <w:bar w:val="single" w:sz="4" w:color="auto"/>
        </w:pBdr>
        <w:spacing w:after="0"/>
        <w:ind w:left="360" w:hanging="360"/>
        <w:rPr>
          <w:rFonts w:asciiTheme="minorHAnsi" w:hAnsiTheme="minorHAnsi" w:cstheme="minorHAnsi"/>
          <w:i/>
          <w:szCs w:val="22"/>
        </w:rPr>
      </w:pPr>
      <w:r w:rsidRPr="00CB1F36">
        <w:rPr>
          <w:rFonts w:asciiTheme="minorHAnsi" w:hAnsiTheme="minorHAnsi" w:cstheme="minorHAnsi"/>
          <w:szCs w:val="22"/>
        </w:rPr>
        <w:t>Joy, S. and Kol</w:t>
      </w:r>
      <w:r w:rsidR="00EF6E04" w:rsidRPr="00CB1F36">
        <w:rPr>
          <w:rFonts w:asciiTheme="minorHAnsi" w:hAnsiTheme="minorHAnsi" w:cstheme="minorHAnsi"/>
          <w:szCs w:val="22"/>
        </w:rPr>
        <w:t>b</w:t>
      </w:r>
      <w:r w:rsidRPr="00CB1F36">
        <w:rPr>
          <w:rFonts w:asciiTheme="minorHAnsi" w:hAnsiTheme="minorHAnsi" w:cstheme="minorHAnsi"/>
          <w:szCs w:val="22"/>
        </w:rPr>
        <w:t xml:space="preserve">, D. (2009) ‘Are there cultural </w:t>
      </w:r>
      <w:r w:rsidR="00BF51BE" w:rsidRPr="00CB1F36">
        <w:rPr>
          <w:rFonts w:asciiTheme="minorHAnsi" w:hAnsiTheme="minorHAnsi" w:cstheme="minorHAnsi"/>
          <w:szCs w:val="22"/>
        </w:rPr>
        <w:t>differences</w:t>
      </w:r>
      <w:r w:rsidRPr="00CB1F36">
        <w:rPr>
          <w:rFonts w:asciiTheme="minorHAnsi" w:hAnsiTheme="minorHAnsi" w:cstheme="minorHAnsi"/>
          <w:szCs w:val="22"/>
        </w:rPr>
        <w:t xml:space="preserve"> in learning style?’, </w:t>
      </w:r>
      <w:r w:rsidRPr="00CB1F36">
        <w:rPr>
          <w:rFonts w:asciiTheme="minorHAnsi" w:hAnsiTheme="minorHAnsi" w:cstheme="minorHAnsi"/>
          <w:i/>
          <w:szCs w:val="22"/>
        </w:rPr>
        <w:t>International Journal of</w:t>
      </w:r>
    </w:p>
    <w:p w:rsidR="00137F16" w:rsidRPr="00CB1F36" w:rsidRDefault="00137F16" w:rsidP="00047209">
      <w:pPr>
        <w:pStyle w:val="Listparag"/>
        <w:numPr>
          <w:ilvl w:val="0"/>
          <w:numId w:val="0"/>
        </w:numPr>
        <w:pBdr>
          <w:bar w:val="single" w:sz="4" w:color="auto"/>
        </w:pBdr>
        <w:ind w:left="360" w:hanging="360"/>
        <w:rPr>
          <w:rFonts w:asciiTheme="minorHAnsi" w:hAnsiTheme="minorHAnsi" w:cstheme="minorHAnsi"/>
          <w:szCs w:val="22"/>
        </w:rPr>
      </w:pPr>
      <w:r w:rsidRPr="00CB1F36">
        <w:rPr>
          <w:rFonts w:asciiTheme="minorHAnsi" w:hAnsiTheme="minorHAnsi" w:cstheme="minorHAnsi"/>
          <w:i/>
          <w:szCs w:val="22"/>
        </w:rPr>
        <w:t xml:space="preserve">Intercultural Relations, </w:t>
      </w:r>
      <w:r w:rsidRPr="00CB1F36">
        <w:rPr>
          <w:rFonts w:asciiTheme="minorHAnsi" w:hAnsiTheme="minorHAnsi" w:cstheme="minorHAnsi"/>
          <w:szCs w:val="22"/>
        </w:rPr>
        <w:t xml:space="preserve">33(1), pp. 69-85. Available at: </w:t>
      </w:r>
      <w:hyperlink r:id="rId25" w:history="1">
        <w:r w:rsidRPr="00CB1F36">
          <w:rPr>
            <w:rStyle w:val="Hyperlink"/>
            <w:rFonts w:asciiTheme="minorHAnsi" w:hAnsiTheme="minorHAnsi" w:cstheme="minorHAnsi"/>
            <w:color w:val="auto"/>
            <w:u w:val="none"/>
          </w:rPr>
          <w:t>https://doi.org/10.1016/j.ijintrel.2008.11.002</w:t>
        </w:r>
      </w:hyperlink>
    </w:p>
    <w:p w:rsidR="00532A5E" w:rsidRPr="00CB1F36" w:rsidRDefault="00532A5E" w:rsidP="00532A5E">
      <w:pPr>
        <w:pStyle w:val="Listparag"/>
        <w:numPr>
          <w:ilvl w:val="0"/>
          <w:numId w:val="0"/>
        </w:numPr>
        <w:pBdr>
          <w:bar w:val="single" w:sz="4" w:color="auto"/>
        </w:pBdr>
        <w:spacing w:after="0"/>
        <w:ind w:left="360" w:hanging="360"/>
        <w:rPr>
          <w:rFonts w:asciiTheme="minorHAnsi" w:hAnsiTheme="minorHAnsi" w:cstheme="minorHAnsi"/>
          <w:szCs w:val="22"/>
        </w:rPr>
      </w:pPr>
      <w:r w:rsidRPr="00CB1F36">
        <w:rPr>
          <w:rFonts w:asciiTheme="minorHAnsi" w:hAnsiTheme="minorHAnsi" w:cstheme="minorHAnsi"/>
          <w:szCs w:val="22"/>
        </w:rPr>
        <w:t xml:space="preserve">Law, M. (2022) </w:t>
      </w:r>
      <w:r w:rsidRPr="00CB1F36">
        <w:rPr>
          <w:rFonts w:asciiTheme="minorHAnsi" w:hAnsiTheme="minorHAnsi" w:cstheme="minorHAnsi"/>
          <w:i/>
          <w:szCs w:val="22"/>
        </w:rPr>
        <w:t xml:space="preserve">Tech skills gap advanced by page of digital transformation. </w:t>
      </w:r>
      <w:r w:rsidRPr="00CB1F36">
        <w:rPr>
          <w:rFonts w:asciiTheme="minorHAnsi" w:hAnsiTheme="minorHAnsi" w:cstheme="minorHAnsi"/>
          <w:szCs w:val="22"/>
        </w:rPr>
        <w:t xml:space="preserve">Available at: </w:t>
      </w:r>
    </w:p>
    <w:p w:rsidR="00532A5E" w:rsidRPr="00CB1F36" w:rsidRDefault="00532A5E" w:rsidP="00532A5E">
      <w:pPr>
        <w:pStyle w:val="Listparag"/>
        <w:numPr>
          <w:ilvl w:val="0"/>
          <w:numId w:val="0"/>
        </w:numPr>
        <w:pBdr>
          <w:bar w:val="single" w:sz="4" w:color="auto"/>
        </w:pBdr>
        <w:spacing w:after="0"/>
        <w:ind w:left="360" w:hanging="360"/>
        <w:rPr>
          <w:rFonts w:asciiTheme="minorHAnsi" w:hAnsiTheme="minorHAnsi" w:cstheme="minorHAnsi"/>
          <w:szCs w:val="22"/>
        </w:rPr>
      </w:pPr>
      <w:r w:rsidRPr="00CB1F36">
        <w:rPr>
          <w:rFonts w:asciiTheme="minorHAnsi" w:hAnsiTheme="minorHAnsi" w:cstheme="minorHAnsi"/>
          <w:szCs w:val="22"/>
        </w:rPr>
        <w:t>https://technologymagazine.com/articles/tech-skills-gap-advanced-by-pace-of-digital-</w:t>
      </w:r>
    </w:p>
    <w:p w:rsidR="00532A5E" w:rsidRPr="00CB1F36" w:rsidRDefault="00532A5E" w:rsidP="00532A5E">
      <w:pPr>
        <w:pStyle w:val="Listparag"/>
        <w:numPr>
          <w:ilvl w:val="0"/>
          <w:numId w:val="0"/>
        </w:numPr>
        <w:pBdr>
          <w:bar w:val="single" w:sz="4" w:color="auto"/>
        </w:pBdr>
        <w:ind w:left="360" w:hanging="360"/>
        <w:rPr>
          <w:rFonts w:asciiTheme="minorHAnsi" w:hAnsiTheme="minorHAnsi" w:cstheme="minorHAnsi"/>
          <w:szCs w:val="22"/>
        </w:rPr>
      </w:pPr>
      <w:r w:rsidRPr="00CB1F36">
        <w:rPr>
          <w:rFonts w:asciiTheme="minorHAnsi" w:hAnsiTheme="minorHAnsi" w:cstheme="minorHAnsi"/>
          <w:szCs w:val="22"/>
        </w:rPr>
        <w:t xml:space="preserve">transformation (Accessed: 29 July 2023). </w:t>
      </w:r>
    </w:p>
    <w:p w:rsidR="005F1A3E" w:rsidRPr="00CB1F36" w:rsidRDefault="005F1A3E" w:rsidP="005F1A3E">
      <w:pPr>
        <w:rPr>
          <w:rFonts w:cstheme="minorHAnsi"/>
        </w:rPr>
      </w:pPr>
      <w:r w:rsidRPr="00CB1F36">
        <w:rPr>
          <w:rFonts w:cstheme="minorHAnsi"/>
        </w:rPr>
        <w:t xml:space="preserve">Lawrence, J. (2013) </w:t>
      </w:r>
      <w:r w:rsidRPr="00CB1F36">
        <w:rPr>
          <w:rFonts w:cstheme="minorHAnsi"/>
          <w:i/>
        </w:rPr>
        <w:t xml:space="preserve">The importance of employee motivation in training. </w:t>
      </w:r>
      <w:r w:rsidRPr="00CB1F36">
        <w:rPr>
          <w:rFonts w:cstheme="minorHAnsi"/>
        </w:rPr>
        <w:t xml:space="preserve">Available at: </w:t>
      </w:r>
      <w:hyperlink r:id="rId26" w:history="1">
        <w:r w:rsidR="00BD6200" w:rsidRPr="00CB1F36">
          <w:rPr>
            <w:rStyle w:val="Hyperlink"/>
            <w:rFonts w:cstheme="minorHAnsi"/>
            <w:color w:val="auto"/>
            <w:u w:val="none"/>
          </w:rPr>
          <w:t>https://www.hrzone.com/talent/development/the-importance-of-employee-motivation-in-training</w:t>
        </w:r>
      </w:hyperlink>
      <w:r w:rsidRPr="00CB1F36">
        <w:rPr>
          <w:rFonts w:cstheme="minorHAnsi"/>
        </w:rPr>
        <w:t xml:space="preserve"> (Accessed: 03 August 2023). </w:t>
      </w:r>
    </w:p>
    <w:p w:rsidR="004E52E6" w:rsidRPr="00CB1F36" w:rsidRDefault="004E52E6" w:rsidP="004E52E6">
      <w:pPr>
        <w:rPr>
          <w:rFonts w:cstheme="minorHAnsi"/>
        </w:rPr>
      </w:pPr>
      <w:proofErr w:type="spellStart"/>
      <w:r w:rsidRPr="00CB1F36">
        <w:rPr>
          <w:rFonts w:cstheme="minorHAnsi"/>
        </w:rPr>
        <w:t>McBrown</w:t>
      </w:r>
      <w:proofErr w:type="spellEnd"/>
      <w:r w:rsidRPr="00CB1F36">
        <w:rPr>
          <w:rFonts w:cstheme="minorHAnsi"/>
        </w:rPr>
        <w:t xml:space="preserve">, J. (2021) </w:t>
      </w:r>
      <w:r w:rsidRPr="00CB1F36">
        <w:rPr>
          <w:rFonts w:cstheme="minorHAnsi"/>
          <w:i/>
        </w:rPr>
        <w:t>What are facilitation skills and how do you facilitate?</w:t>
      </w:r>
      <w:r w:rsidRPr="00CB1F36">
        <w:rPr>
          <w:rFonts w:cstheme="minorHAnsi"/>
        </w:rPr>
        <w:t xml:space="preserve"> Available at:  </w:t>
      </w:r>
      <w:hyperlink r:id="rId27" w:history="1">
        <w:r w:rsidRPr="00CB1F36">
          <w:rPr>
            <w:rStyle w:val="Hyperlink"/>
            <w:rFonts w:cstheme="minorHAnsi"/>
            <w:color w:val="auto"/>
            <w:u w:val="none"/>
          </w:rPr>
          <w:t>https://www.roffeypark.ac.uk/knowledge-and-learning-resources-hub/what-are-facilitation-skills-and-how-do-you-facilitate/</w:t>
        </w:r>
      </w:hyperlink>
      <w:r w:rsidRPr="00CB1F36">
        <w:rPr>
          <w:rFonts w:cstheme="minorHAnsi"/>
        </w:rPr>
        <w:t xml:space="preserve"> (Accessed: 03 August 2023).</w:t>
      </w:r>
    </w:p>
    <w:p w:rsidR="00C816E6" w:rsidRPr="00CB1F36" w:rsidRDefault="00C816E6" w:rsidP="00C816E6">
      <w:pPr>
        <w:pStyle w:val="Listparag"/>
        <w:numPr>
          <w:ilvl w:val="0"/>
          <w:numId w:val="0"/>
        </w:numPr>
        <w:pBdr>
          <w:bar w:val="single" w:sz="4" w:color="auto"/>
        </w:pBdr>
        <w:spacing w:after="0"/>
        <w:ind w:left="360" w:hanging="360"/>
        <w:rPr>
          <w:rFonts w:asciiTheme="minorHAnsi" w:hAnsiTheme="minorHAnsi" w:cstheme="minorHAnsi"/>
          <w:szCs w:val="26"/>
          <w:shd w:val="clear" w:color="auto" w:fill="FFFFFF"/>
        </w:rPr>
      </w:pPr>
      <w:r w:rsidRPr="00CB1F36">
        <w:rPr>
          <w:rFonts w:asciiTheme="minorHAnsi" w:hAnsiTheme="minorHAnsi" w:cstheme="minorHAnsi"/>
          <w:szCs w:val="26"/>
          <w:shd w:val="clear" w:color="auto" w:fill="FFFFFF"/>
        </w:rPr>
        <w:t>Medina</w:t>
      </w:r>
      <w:r w:rsidRPr="00CB1F36">
        <w:rPr>
          <w:rFonts w:asciiTheme="minorHAnsi" w:hAnsiTheme="minorHAnsi" w:cstheme="minorHAnsi"/>
          <w:szCs w:val="26"/>
          <w:shd w:val="clear" w:color="auto" w:fill="FFFFFF"/>
        </w:rPr>
        <w:t>,</w:t>
      </w:r>
      <w:r w:rsidRPr="00CB1F36">
        <w:rPr>
          <w:rFonts w:asciiTheme="minorHAnsi" w:hAnsiTheme="minorHAnsi" w:cstheme="minorHAnsi"/>
          <w:szCs w:val="26"/>
          <w:shd w:val="clear" w:color="auto" w:fill="FFFFFF"/>
        </w:rPr>
        <w:t xml:space="preserve"> L</w:t>
      </w:r>
      <w:r w:rsidRPr="00CB1F36">
        <w:rPr>
          <w:rFonts w:asciiTheme="minorHAnsi" w:hAnsiTheme="minorHAnsi" w:cstheme="minorHAnsi"/>
          <w:szCs w:val="26"/>
          <w:shd w:val="clear" w:color="auto" w:fill="FFFFFF"/>
        </w:rPr>
        <w:t>.</w:t>
      </w:r>
      <w:r w:rsidRPr="00CB1F36">
        <w:rPr>
          <w:rFonts w:asciiTheme="minorHAnsi" w:hAnsiTheme="minorHAnsi" w:cstheme="minorHAnsi"/>
          <w:szCs w:val="26"/>
          <w:shd w:val="clear" w:color="auto" w:fill="FFFFFF"/>
        </w:rPr>
        <w:t>, Acosta-Pérez</w:t>
      </w:r>
      <w:r w:rsidRPr="00CB1F36">
        <w:rPr>
          <w:rFonts w:asciiTheme="minorHAnsi" w:hAnsiTheme="minorHAnsi" w:cstheme="minorHAnsi"/>
          <w:szCs w:val="26"/>
          <w:shd w:val="clear" w:color="auto" w:fill="FFFFFF"/>
        </w:rPr>
        <w:t>,</w:t>
      </w:r>
      <w:r w:rsidRPr="00CB1F36">
        <w:rPr>
          <w:rFonts w:asciiTheme="minorHAnsi" w:hAnsiTheme="minorHAnsi" w:cstheme="minorHAnsi"/>
          <w:szCs w:val="26"/>
          <w:shd w:val="clear" w:color="auto" w:fill="FFFFFF"/>
        </w:rPr>
        <w:t xml:space="preserve"> E</w:t>
      </w:r>
      <w:r w:rsidRPr="00CB1F36">
        <w:rPr>
          <w:rFonts w:asciiTheme="minorHAnsi" w:hAnsiTheme="minorHAnsi" w:cstheme="minorHAnsi"/>
          <w:szCs w:val="26"/>
          <w:shd w:val="clear" w:color="auto" w:fill="FFFFFF"/>
        </w:rPr>
        <w:t>.</w:t>
      </w:r>
      <w:r w:rsidRPr="00CB1F36">
        <w:rPr>
          <w:rFonts w:asciiTheme="minorHAnsi" w:hAnsiTheme="minorHAnsi" w:cstheme="minorHAnsi"/>
          <w:szCs w:val="26"/>
          <w:shd w:val="clear" w:color="auto" w:fill="FFFFFF"/>
        </w:rPr>
        <w:t>, Velez</w:t>
      </w:r>
      <w:r w:rsidRPr="00CB1F36">
        <w:rPr>
          <w:rFonts w:asciiTheme="minorHAnsi" w:hAnsiTheme="minorHAnsi" w:cstheme="minorHAnsi"/>
          <w:szCs w:val="26"/>
          <w:shd w:val="clear" w:color="auto" w:fill="FFFFFF"/>
        </w:rPr>
        <w:t>,</w:t>
      </w:r>
      <w:r w:rsidRPr="00CB1F36">
        <w:rPr>
          <w:rFonts w:asciiTheme="minorHAnsi" w:hAnsiTheme="minorHAnsi" w:cstheme="minorHAnsi"/>
          <w:szCs w:val="26"/>
          <w:shd w:val="clear" w:color="auto" w:fill="FFFFFF"/>
        </w:rPr>
        <w:t xml:space="preserve"> C</w:t>
      </w:r>
      <w:r w:rsidRPr="00CB1F36">
        <w:rPr>
          <w:rFonts w:asciiTheme="minorHAnsi" w:hAnsiTheme="minorHAnsi" w:cstheme="minorHAnsi"/>
          <w:szCs w:val="26"/>
          <w:shd w:val="clear" w:color="auto" w:fill="FFFFFF"/>
        </w:rPr>
        <w:t>.</w:t>
      </w:r>
      <w:r w:rsidRPr="00CB1F36">
        <w:rPr>
          <w:rFonts w:asciiTheme="minorHAnsi" w:hAnsiTheme="minorHAnsi" w:cstheme="minorHAnsi"/>
          <w:szCs w:val="26"/>
          <w:shd w:val="clear" w:color="auto" w:fill="FFFFFF"/>
        </w:rPr>
        <w:t>, Martínez</w:t>
      </w:r>
      <w:r w:rsidRPr="00CB1F36">
        <w:rPr>
          <w:rFonts w:asciiTheme="minorHAnsi" w:hAnsiTheme="minorHAnsi" w:cstheme="minorHAnsi"/>
          <w:szCs w:val="26"/>
          <w:shd w:val="clear" w:color="auto" w:fill="FFFFFF"/>
        </w:rPr>
        <w:t>,</w:t>
      </w:r>
      <w:r w:rsidRPr="00CB1F36">
        <w:rPr>
          <w:rFonts w:asciiTheme="minorHAnsi" w:hAnsiTheme="minorHAnsi" w:cstheme="minorHAnsi"/>
          <w:szCs w:val="26"/>
          <w:shd w:val="clear" w:color="auto" w:fill="FFFFFF"/>
        </w:rPr>
        <w:t xml:space="preserve"> G</w:t>
      </w:r>
      <w:r w:rsidRPr="00CB1F36">
        <w:rPr>
          <w:rFonts w:asciiTheme="minorHAnsi" w:hAnsiTheme="minorHAnsi" w:cstheme="minorHAnsi"/>
          <w:szCs w:val="26"/>
          <w:shd w:val="clear" w:color="auto" w:fill="FFFFFF"/>
        </w:rPr>
        <w:t>.</w:t>
      </w:r>
      <w:r w:rsidRPr="00CB1F36">
        <w:rPr>
          <w:rFonts w:asciiTheme="minorHAnsi" w:hAnsiTheme="minorHAnsi" w:cstheme="minorHAnsi"/>
          <w:szCs w:val="26"/>
          <w:shd w:val="clear" w:color="auto" w:fill="FFFFFF"/>
        </w:rPr>
        <w:t>, Rivera</w:t>
      </w:r>
      <w:r w:rsidRPr="00CB1F36">
        <w:rPr>
          <w:rFonts w:asciiTheme="minorHAnsi" w:hAnsiTheme="minorHAnsi" w:cstheme="minorHAnsi"/>
          <w:szCs w:val="26"/>
          <w:shd w:val="clear" w:color="auto" w:fill="FFFFFF"/>
        </w:rPr>
        <w:t>,</w:t>
      </w:r>
      <w:r w:rsidRPr="00CB1F36">
        <w:rPr>
          <w:rFonts w:asciiTheme="minorHAnsi" w:hAnsiTheme="minorHAnsi" w:cstheme="minorHAnsi"/>
          <w:szCs w:val="26"/>
          <w:shd w:val="clear" w:color="auto" w:fill="FFFFFF"/>
        </w:rPr>
        <w:t xml:space="preserve"> M</w:t>
      </w:r>
      <w:r w:rsidRPr="00CB1F36">
        <w:rPr>
          <w:rFonts w:asciiTheme="minorHAnsi" w:hAnsiTheme="minorHAnsi" w:cstheme="minorHAnsi"/>
          <w:szCs w:val="26"/>
          <w:shd w:val="clear" w:color="auto" w:fill="FFFFFF"/>
        </w:rPr>
        <w:t>.</w:t>
      </w:r>
      <w:r w:rsidRPr="00CB1F36">
        <w:rPr>
          <w:rFonts w:asciiTheme="minorHAnsi" w:hAnsiTheme="minorHAnsi" w:cstheme="minorHAnsi"/>
          <w:szCs w:val="26"/>
          <w:shd w:val="clear" w:color="auto" w:fill="FFFFFF"/>
        </w:rPr>
        <w:t xml:space="preserve">, </w:t>
      </w:r>
      <w:proofErr w:type="spellStart"/>
      <w:r w:rsidRPr="00CB1F36">
        <w:rPr>
          <w:rFonts w:asciiTheme="minorHAnsi" w:hAnsiTheme="minorHAnsi" w:cstheme="minorHAnsi"/>
          <w:szCs w:val="26"/>
          <w:shd w:val="clear" w:color="auto" w:fill="FFFFFF"/>
        </w:rPr>
        <w:t>Sardiñas</w:t>
      </w:r>
      <w:proofErr w:type="spellEnd"/>
      <w:r w:rsidRPr="00CB1F36">
        <w:rPr>
          <w:rFonts w:asciiTheme="minorHAnsi" w:hAnsiTheme="minorHAnsi" w:cstheme="minorHAnsi"/>
          <w:szCs w:val="26"/>
          <w:shd w:val="clear" w:color="auto" w:fill="FFFFFF"/>
        </w:rPr>
        <w:t>,</w:t>
      </w:r>
      <w:r w:rsidRPr="00CB1F36">
        <w:rPr>
          <w:rFonts w:asciiTheme="minorHAnsi" w:hAnsiTheme="minorHAnsi" w:cstheme="minorHAnsi"/>
          <w:szCs w:val="26"/>
          <w:shd w:val="clear" w:color="auto" w:fill="FFFFFF"/>
        </w:rPr>
        <w:t xml:space="preserve"> L</w:t>
      </w:r>
      <w:r w:rsidRPr="00CB1F36">
        <w:rPr>
          <w:rFonts w:asciiTheme="minorHAnsi" w:hAnsiTheme="minorHAnsi" w:cstheme="minorHAnsi"/>
          <w:szCs w:val="26"/>
          <w:shd w:val="clear" w:color="auto" w:fill="FFFFFF"/>
        </w:rPr>
        <w:t>. and</w:t>
      </w:r>
      <w:r w:rsidRPr="00CB1F36">
        <w:rPr>
          <w:rFonts w:asciiTheme="minorHAnsi" w:hAnsiTheme="minorHAnsi" w:cstheme="minorHAnsi"/>
          <w:szCs w:val="26"/>
          <w:shd w:val="clear" w:color="auto" w:fill="FFFFFF"/>
        </w:rPr>
        <w:t xml:space="preserve"> </w:t>
      </w:r>
      <w:proofErr w:type="spellStart"/>
      <w:r w:rsidRPr="00CB1F36">
        <w:rPr>
          <w:rFonts w:asciiTheme="minorHAnsi" w:hAnsiTheme="minorHAnsi" w:cstheme="minorHAnsi"/>
          <w:szCs w:val="26"/>
          <w:shd w:val="clear" w:color="auto" w:fill="FFFFFF"/>
        </w:rPr>
        <w:t>Pattatucci</w:t>
      </w:r>
      <w:proofErr w:type="spellEnd"/>
      <w:r w:rsidRPr="00CB1F36">
        <w:rPr>
          <w:rFonts w:asciiTheme="minorHAnsi" w:hAnsiTheme="minorHAnsi" w:cstheme="minorHAnsi"/>
          <w:szCs w:val="26"/>
          <w:shd w:val="clear" w:color="auto" w:fill="FFFFFF"/>
        </w:rPr>
        <w:t>,</w:t>
      </w:r>
      <w:r w:rsidRPr="00CB1F36">
        <w:rPr>
          <w:rFonts w:asciiTheme="minorHAnsi" w:hAnsiTheme="minorHAnsi" w:cstheme="minorHAnsi"/>
          <w:szCs w:val="26"/>
          <w:shd w:val="clear" w:color="auto" w:fill="FFFFFF"/>
        </w:rPr>
        <w:t xml:space="preserve"> A. (2015)</w:t>
      </w:r>
    </w:p>
    <w:p w:rsidR="00C816E6" w:rsidRPr="00CB1F36" w:rsidRDefault="00C816E6" w:rsidP="00C816E6">
      <w:pPr>
        <w:pStyle w:val="Listparag"/>
        <w:numPr>
          <w:ilvl w:val="0"/>
          <w:numId w:val="0"/>
        </w:numPr>
        <w:pBdr>
          <w:bar w:val="single" w:sz="4" w:color="auto"/>
        </w:pBdr>
        <w:spacing w:after="0"/>
        <w:ind w:left="360" w:hanging="360"/>
        <w:rPr>
          <w:rFonts w:asciiTheme="minorHAnsi" w:hAnsiTheme="minorHAnsi" w:cstheme="minorHAnsi"/>
          <w:szCs w:val="26"/>
          <w:shd w:val="clear" w:color="auto" w:fill="FFFFFF"/>
        </w:rPr>
      </w:pPr>
      <w:r w:rsidRPr="00CB1F36">
        <w:rPr>
          <w:rFonts w:asciiTheme="minorHAnsi" w:hAnsiTheme="minorHAnsi" w:cstheme="minorHAnsi"/>
          <w:szCs w:val="26"/>
          <w:shd w:val="clear" w:color="auto" w:fill="FFFFFF"/>
        </w:rPr>
        <w:t>‘</w:t>
      </w:r>
      <w:r w:rsidRPr="00CB1F36">
        <w:rPr>
          <w:rFonts w:asciiTheme="minorHAnsi" w:hAnsiTheme="minorHAnsi" w:cstheme="minorHAnsi"/>
          <w:szCs w:val="26"/>
          <w:shd w:val="clear" w:color="auto" w:fill="FFFFFF"/>
        </w:rPr>
        <w:t>Training and capacity building evaluation: Maximizing resources and results with Success Case</w:t>
      </w:r>
    </w:p>
    <w:p w:rsidR="00C816E6" w:rsidRPr="00CB1F36" w:rsidRDefault="00C816E6" w:rsidP="00C816E6">
      <w:pPr>
        <w:pStyle w:val="Listparag"/>
        <w:numPr>
          <w:ilvl w:val="0"/>
          <w:numId w:val="0"/>
        </w:numPr>
        <w:pBdr>
          <w:bar w:val="single" w:sz="4" w:color="auto"/>
        </w:pBdr>
        <w:spacing w:after="0"/>
        <w:ind w:left="360" w:hanging="360"/>
        <w:rPr>
          <w:rFonts w:asciiTheme="minorHAnsi" w:hAnsiTheme="minorHAnsi" w:cstheme="minorHAnsi"/>
          <w:szCs w:val="26"/>
          <w:shd w:val="clear" w:color="auto" w:fill="FFFFFF"/>
        </w:rPr>
      </w:pPr>
      <w:r w:rsidRPr="00CB1F36">
        <w:rPr>
          <w:rFonts w:asciiTheme="minorHAnsi" w:hAnsiTheme="minorHAnsi" w:cstheme="minorHAnsi"/>
          <w:szCs w:val="26"/>
          <w:shd w:val="clear" w:color="auto" w:fill="FFFFFF"/>
        </w:rPr>
        <w:t>Method</w:t>
      </w:r>
      <w:r w:rsidRPr="00CB1F36">
        <w:rPr>
          <w:rFonts w:asciiTheme="minorHAnsi" w:hAnsiTheme="minorHAnsi" w:cstheme="minorHAnsi"/>
          <w:szCs w:val="26"/>
          <w:shd w:val="clear" w:color="auto" w:fill="FFFFFF"/>
        </w:rPr>
        <w:t xml:space="preserve">’, </w:t>
      </w:r>
      <w:r w:rsidRPr="00CB1F36">
        <w:rPr>
          <w:rFonts w:asciiTheme="minorHAnsi" w:hAnsiTheme="minorHAnsi" w:cstheme="minorHAnsi"/>
          <w:i/>
          <w:szCs w:val="26"/>
          <w:shd w:val="clear" w:color="auto" w:fill="FFFFFF"/>
        </w:rPr>
        <w:t>Evaluation and Program Planning</w:t>
      </w:r>
      <w:r w:rsidRPr="00CB1F36">
        <w:rPr>
          <w:rFonts w:asciiTheme="minorHAnsi" w:hAnsiTheme="minorHAnsi" w:cstheme="minorHAnsi"/>
          <w:szCs w:val="26"/>
          <w:shd w:val="clear" w:color="auto" w:fill="FFFFFF"/>
        </w:rPr>
        <w:t>,</w:t>
      </w:r>
      <w:r w:rsidRPr="00CB1F36">
        <w:rPr>
          <w:rFonts w:asciiTheme="minorHAnsi" w:hAnsiTheme="minorHAnsi" w:cstheme="minorHAnsi"/>
          <w:szCs w:val="26"/>
          <w:shd w:val="clear" w:color="auto" w:fill="FFFFFF"/>
        </w:rPr>
        <w:t xml:space="preserve"> 52</w:t>
      </w:r>
      <w:r w:rsidRPr="00CB1F36">
        <w:rPr>
          <w:rFonts w:asciiTheme="minorHAnsi" w:hAnsiTheme="minorHAnsi" w:cstheme="minorHAnsi"/>
          <w:szCs w:val="26"/>
          <w:shd w:val="clear" w:color="auto" w:fill="FFFFFF"/>
        </w:rPr>
        <w:t xml:space="preserve">, pp. </w:t>
      </w:r>
      <w:r w:rsidRPr="00CB1F36">
        <w:rPr>
          <w:rFonts w:asciiTheme="minorHAnsi" w:hAnsiTheme="minorHAnsi" w:cstheme="minorHAnsi"/>
          <w:szCs w:val="26"/>
          <w:shd w:val="clear" w:color="auto" w:fill="FFFFFF"/>
        </w:rPr>
        <w:t xml:space="preserve">126-32. </w:t>
      </w:r>
      <w:r w:rsidRPr="00CB1F36">
        <w:rPr>
          <w:rFonts w:asciiTheme="minorHAnsi" w:hAnsiTheme="minorHAnsi" w:cstheme="minorHAnsi"/>
          <w:szCs w:val="26"/>
          <w:shd w:val="clear" w:color="auto" w:fill="FFFFFF"/>
        </w:rPr>
        <w:t>Available at</w:t>
      </w:r>
      <w:r w:rsidRPr="00CB1F36">
        <w:rPr>
          <w:rFonts w:asciiTheme="minorHAnsi" w:hAnsiTheme="minorHAnsi" w:cstheme="minorHAnsi"/>
          <w:szCs w:val="26"/>
          <w:shd w:val="clear" w:color="auto" w:fill="FFFFFF"/>
        </w:rPr>
        <w:t>:</w:t>
      </w:r>
    </w:p>
    <w:p w:rsidR="00C816E6" w:rsidRPr="00CB1F36" w:rsidRDefault="00C816E6" w:rsidP="00C816E6">
      <w:pPr>
        <w:pStyle w:val="Listparag"/>
        <w:numPr>
          <w:ilvl w:val="0"/>
          <w:numId w:val="0"/>
        </w:numPr>
        <w:pBdr>
          <w:bar w:val="single" w:sz="4" w:color="auto"/>
        </w:pBdr>
        <w:ind w:left="360" w:hanging="360"/>
        <w:rPr>
          <w:rFonts w:asciiTheme="minorHAnsi" w:hAnsiTheme="minorHAnsi" w:cstheme="minorHAnsi"/>
          <w:sz w:val="18"/>
          <w:szCs w:val="22"/>
        </w:rPr>
      </w:pPr>
      <w:r w:rsidRPr="00CB1F36">
        <w:rPr>
          <w:rFonts w:asciiTheme="minorHAnsi" w:hAnsiTheme="minorHAnsi" w:cstheme="minorHAnsi"/>
          <w:szCs w:val="26"/>
          <w:shd w:val="clear" w:color="auto" w:fill="FFFFFF"/>
        </w:rPr>
        <w:t>10.1016/j.evalprogplan.2015.03.008.</w:t>
      </w:r>
    </w:p>
    <w:p w:rsidR="001A42DE" w:rsidRPr="00CB1F36" w:rsidRDefault="001A42DE" w:rsidP="001A42DE">
      <w:pPr>
        <w:pStyle w:val="Listparag"/>
        <w:numPr>
          <w:ilvl w:val="0"/>
          <w:numId w:val="0"/>
        </w:numPr>
        <w:pBdr>
          <w:bar w:val="single" w:sz="4" w:color="auto"/>
        </w:pBdr>
        <w:spacing w:after="0"/>
        <w:ind w:left="360" w:hanging="360"/>
        <w:rPr>
          <w:rFonts w:asciiTheme="minorHAnsi" w:hAnsiTheme="minorHAnsi" w:cstheme="minorHAnsi"/>
          <w:szCs w:val="22"/>
        </w:rPr>
      </w:pPr>
      <w:proofErr w:type="spellStart"/>
      <w:r w:rsidRPr="00CB1F36">
        <w:rPr>
          <w:rFonts w:asciiTheme="minorHAnsi" w:hAnsiTheme="minorHAnsi" w:cstheme="minorHAnsi"/>
          <w:szCs w:val="22"/>
        </w:rPr>
        <w:t>Neendoor</w:t>
      </w:r>
      <w:proofErr w:type="spellEnd"/>
      <w:r w:rsidRPr="00CB1F36">
        <w:rPr>
          <w:rFonts w:asciiTheme="minorHAnsi" w:hAnsiTheme="minorHAnsi" w:cstheme="minorHAnsi"/>
          <w:szCs w:val="22"/>
        </w:rPr>
        <w:t xml:space="preserve">, S. (2023) </w:t>
      </w:r>
      <w:r w:rsidRPr="00CB1F36">
        <w:rPr>
          <w:rFonts w:asciiTheme="minorHAnsi" w:hAnsiTheme="minorHAnsi" w:cstheme="minorHAnsi"/>
          <w:i/>
          <w:szCs w:val="22"/>
        </w:rPr>
        <w:t xml:space="preserve">5 Best Ways to Evaluate Training Effectiveness and Impact. </w:t>
      </w:r>
      <w:r w:rsidRPr="00CB1F36">
        <w:rPr>
          <w:rFonts w:asciiTheme="minorHAnsi" w:hAnsiTheme="minorHAnsi" w:cstheme="minorHAnsi"/>
          <w:szCs w:val="22"/>
        </w:rPr>
        <w:t xml:space="preserve">Available at: </w:t>
      </w:r>
    </w:p>
    <w:p w:rsidR="001A42DE" w:rsidRPr="00CB1F36" w:rsidRDefault="001A42DE" w:rsidP="001A42DE">
      <w:pPr>
        <w:pStyle w:val="Listparag"/>
        <w:numPr>
          <w:ilvl w:val="0"/>
          <w:numId w:val="0"/>
        </w:numPr>
        <w:pBdr>
          <w:bar w:val="single" w:sz="4" w:color="auto"/>
        </w:pBdr>
        <w:spacing w:after="0"/>
        <w:ind w:left="360" w:hanging="360"/>
        <w:rPr>
          <w:rFonts w:asciiTheme="minorHAnsi" w:hAnsiTheme="minorHAnsi" w:cstheme="minorHAnsi"/>
          <w:szCs w:val="22"/>
        </w:rPr>
      </w:pPr>
      <w:hyperlink r:id="rId28" w:history="1">
        <w:r w:rsidRPr="00CB1F36">
          <w:rPr>
            <w:rStyle w:val="Hyperlink"/>
            <w:rFonts w:asciiTheme="minorHAnsi" w:hAnsiTheme="minorHAnsi" w:cstheme="minorHAnsi"/>
            <w:color w:val="auto"/>
            <w:szCs w:val="22"/>
            <w:u w:val="none"/>
          </w:rPr>
          <w:t>https://kitaboo.com/training-evaluation-evaluate-training-effectiveness-impact/</w:t>
        </w:r>
      </w:hyperlink>
      <w:r w:rsidRPr="00CB1F36">
        <w:rPr>
          <w:rFonts w:asciiTheme="minorHAnsi" w:hAnsiTheme="minorHAnsi" w:cstheme="minorHAnsi"/>
          <w:szCs w:val="22"/>
        </w:rPr>
        <w:t xml:space="preserve"> (Accessed: 03 </w:t>
      </w:r>
    </w:p>
    <w:p w:rsidR="001A42DE" w:rsidRPr="00CB1F36" w:rsidRDefault="001A42DE" w:rsidP="001A42DE">
      <w:pPr>
        <w:pStyle w:val="Listparag"/>
        <w:numPr>
          <w:ilvl w:val="0"/>
          <w:numId w:val="0"/>
        </w:numPr>
        <w:pBdr>
          <w:bar w:val="single" w:sz="4" w:color="auto"/>
        </w:pBdr>
        <w:ind w:left="360" w:hanging="360"/>
        <w:rPr>
          <w:rFonts w:asciiTheme="minorHAnsi" w:hAnsiTheme="minorHAnsi" w:cstheme="minorHAnsi"/>
          <w:szCs w:val="22"/>
        </w:rPr>
      </w:pPr>
      <w:r w:rsidRPr="00CB1F36">
        <w:rPr>
          <w:rFonts w:asciiTheme="minorHAnsi" w:hAnsiTheme="minorHAnsi" w:cstheme="minorHAnsi"/>
          <w:szCs w:val="22"/>
        </w:rPr>
        <w:t>August 2023).</w:t>
      </w:r>
    </w:p>
    <w:p w:rsidR="0056114D" w:rsidRPr="00CB1F36" w:rsidRDefault="0056114D" w:rsidP="0056114D">
      <w:pPr>
        <w:pStyle w:val="Listparag"/>
        <w:numPr>
          <w:ilvl w:val="0"/>
          <w:numId w:val="0"/>
        </w:numPr>
        <w:pBdr>
          <w:bar w:val="single" w:sz="4" w:color="auto"/>
        </w:pBdr>
        <w:spacing w:after="0"/>
        <w:ind w:left="360" w:hanging="360"/>
        <w:rPr>
          <w:rFonts w:asciiTheme="minorHAnsi" w:hAnsiTheme="minorHAnsi" w:cstheme="minorHAnsi"/>
          <w:szCs w:val="22"/>
        </w:rPr>
      </w:pPr>
      <w:proofErr w:type="spellStart"/>
      <w:r w:rsidRPr="00CB1F36">
        <w:rPr>
          <w:rFonts w:asciiTheme="minorHAnsi" w:hAnsiTheme="minorHAnsi" w:cstheme="minorHAnsi"/>
          <w:szCs w:val="22"/>
        </w:rPr>
        <w:t>OBeirne</w:t>
      </w:r>
      <w:proofErr w:type="spellEnd"/>
      <w:r w:rsidRPr="00CB1F36">
        <w:rPr>
          <w:rFonts w:asciiTheme="minorHAnsi" w:hAnsiTheme="minorHAnsi" w:cstheme="minorHAnsi"/>
          <w:szCs w:val="22"/>
        </w:rPr>
        <w:t xml:space="preserve">, S. (2022) </w:t>
      </w:r>
      <w:r w:rsidRPr="00CB1F36">
        <w:rPr>
          <w:rFonts w:asciiTheme="minorHAnsi" w:hAnsiTheme="minorHAnsi" w:cstheme="minorHAnsi"/>
          <w:i/>
          <w:szCs w:val="22"/>
        </w:rPr>
        <w:t xml:space="preserve">Skills shortage: Protecting the wellbeing and performance of staff. </w:t>
      </w:r>
      <w:r w:rsidRPr="00CB1F36">
        <w:rPr>
          <w:rFonts w:asciiTheme="minorHAnsi" w:hAnsiTheme="minorHAnsi" w:cstheme="minorHAnsi"/>
          <w:szCs w:val="22"/>
        </w:rPr>
        <w:t xml:space="preserve">Available at: </w:t>
      </w:r>
    </w:p>
    <w:p w:rsidR="0056114D" w:rsidRPr="00CB1F36" w:rsidRDefault="00532A5E" w:rsidP="0056114D">
      <w:pPr>
        <w:pStyle w:val="Listparag"/>
        <w:numPr>
          <w:ilvl w:val="0"/>
          <w:numId w:val="0"/>
        </w:numPr>
        <w:pBdr>
          <w:bar w:val="single" w:sz="4" w:color="auto"/>
        </w:pBdr>
        <w:spacing w:after="0"/>
        <w:ind w:left="360" w:hanging="360"/>
        <w:rPr>
          <w:rFonts w:asciiTheme="minorHAnsi" w:hAnsiTheme="minorHAnsi" w:cstheme="minorHAnsi"/>
          <w:szCs w:val="22"/>
        </w:rPr>
      </w:pPr>
      <w:hyperlink r:id="rId29" w:history="1">
        <w:r w:rsidRPr="00CB1F36">
          <w:rPr>
            <w:rStyle w:val="Hyperlink"/>
            <w:rFonts w:asciiTheme="minorHAnsi" w:hAnsiTheme="minorHAnsi" w:cstheme="minorHAnsi"/>
            <w:color w:val="auto"/>
            <w:szCs w:val="22"/>
            <w:u w:val="none"/>
          </w:rPr>
          <w:t>https://www.fmj.co.uk/skills-shortage-protecting-the-wellbeing-and-performance-of-staff/</w:t>
        </w:r>
      </w:hyperlink>
      <w:r w:rsidR="0056114D" w:rsidRPr="00CB1F36">
        <w:rPr>
          <w:rFonts w:asciiTheme="minorHAnsi" w:hAnsiTheme="minorHAnsi" w:cstheme="minorHAnsi"/>
          <w:szCs w:val="22"/>
        </w:rPr>
        <w:t xml:space="preserve"> </w:t>
      </w:r>
    </w:p>
    <w:p w:rsidR="0056114D" w:rsidRPr="00CB1F36" w:rsidRDefault="0056114D" w:rsidP="0056114D">
      <w:pPr>
        <w:pStyle w:val="Listparag"/>
        <w:numPr>
          <w:ilvl w:val="0"/>
          <w:numId w:val="0"/>
        </w:numPr>
        <w:pBdr>
          <w:bar w:val="single" w:sz="4" w:color="auto"/>
        </w:pBdr>
        <w:ind w:left="360" w:hanging="360"/>
        <w:rPr>
          <w:rFonts w:asciiTheme="minorHAnsi" w:hAnsiTheme="minorHAnsi" w:cstheme="minorHAnsi"/>
          <w:szCs w:val="22"/>
        </w:rPr>
      </w:pPr>
      <w:r w:rsidRPr="00CB1F36">
        <w:rPr>
          <w:rFonts w:asciiTheme="minorHAnsi" w:hAnsiTheme="minorHAnsi" w:cstheme="minorHAnsi"/>
          <w:szCs w:val="22"/>
        </w:rPr>
        <w:t>(Accessed: 29 July 2023).</w:t>
      </w:r>
    </w:p>
    <w:p w:rsidR="00ED779A" w:rsidRPr="00CB1F36" w:rsidRDefault="00ED779A" w:rsidP="00ED779A">
      <w:pPr>
        <w:rPr>
          <w:rFonts w:cstheme="minorHAnsi"/>
        </w:rPr>
      </w:pPr>
      <w:r w:rsidRPr="00CB1F36">
        <w:rPr>
          <w:rFonts w:cstheme="minorHAnsi"/>
        </w:rPr>
        <w:t xml:space="preserve">Open University. (2022) ‘Embracing Flexibility’, </w:t>
      </w:r>
      <w:r w:rsidRPr="00CB1F36">
        <w:rPr>
          <w:rFonts w:cstheme="minorHAnsi"/>
          <w:i/>
        </w:rPr>
        <w:t xml:space="preserve">Open University. </w:t>
      </w:r>
      <w:r w:rsidRPr="00CB1F36">
        <w:rPr>
          <w:rFonts w:cstheme="minorHAnsi"/>
        </w:rPr>
        <w:t xml:space="preserve">(Accessed: 03 August 2023). </w:t>
      </w:r>
    </w:p>
    <w:p w:rsidR="004C43C2" w:rsidRPr="00CB1F36" w:rsidRDefault="004C43C2" w:rsidP="004C43C2">
      <w:pPr>
        <w:rPr>
          <w:rFonts w:cstheme="minorHAnsi"/>
        </w:rPr>
      </w:pPr>
      <w:proofErr w:type="spellStart"/>
      <w:r w:rsidRPr="00CB1F36">
        <w:rPr>
          <w:rFonts w:cstheme="minorHAnsi"/>
        </w:rPr>
        <w:t>Parsloe</w:t>
      </w:r>
      <w:proofErr w:type="spellEnd"/>
      <w:r w:rsidRPr="00CB1F36">
        <w:rPr>
          <w:rFonts w:cstheme="minorHAnsi"/>
        </w:rPr>
        <w:t xml:space="preserve">, E. and </w:t>
      </w:r>
      <w:proofErr w:type="spellStart"/>
      <w:r w:rsidRPr="00CB1F36">
        <w:rPr>
          <w:rFonts w:cstheme="minorHAnsi"/>
        </w:rPr>
        <w:t>Leedham</w:t>
      </w:r>
      <w:proofErr w:type="spellEnd"/>
      <w:r w:rsidRPr="00CB1F36">
        <w:rPr>
          <w:rFonts w:cstheme="minorHAnsi"/>
        </w:rPr>
        <w:t xml:space="preserve">, M. (2017) </w:t>
      </w:r>
      <w:r w:rsidRPr="00CB1F36">
        <w:rPr>
          <w:rFonts w:cstheme="minorHAnsi"/>
          <w:i/>
        </w:rPr>
        <w:t xml:space="preserve">Coaching and Mentoring: Practical Techniques for Developing Learning and Performance. </w:t>
      </w:r>
      <w:r w:rsidRPr="00CB1F36">
        <w:rPr>
          <w:rFonts w:cstheme="minorHAnsi"/>
        </w:rPr>
        <w:t>3</w:t>
      </w:r>
      <w:r w:rsidRPr="00CB1F36">
        <w:rPr>
          <w:rFonts w:cstheme="minorHAnsi"/>
          <w:vertAlign w:val="superscript"/>
        </w:rPr>
        <w:t>rd</w:t>
      </w:r>
      <w:r w:rsidRPr="00CB1F36">
        <w:rPr>
          <w:rFonts w:cstheme="minorHAnsi"/>
        </w:rPr>
        <w:t xml:space="preserve"> </w:t>
      </w:r>
      <w:proofErr w:type="spellStart"/>
      <w:r w:rsidRPr="00CB1F36">
        <w:rPr>
          <w:rFonts w:cstheme="minorHAnsi"/>
        </w:rPr>
        <w:t>edn</w:t>
      </w:r>
      <w:proofErr w:type="spellEnd"/>
      <w:r w:rsidRPr="00CB1F36">
        <w:rPr>
          <w:rFonts w:cstheme="minorHAnsi"/>
        </w:rPr>
        <w:t>. London: Kogan Page.</w:t>
      </w:r>
    </w:p>
    <w:p w:rsidR="004856DA" w:rsidRPr="00CB1F36" w:rsidRDefault="004856DA" w:rsidP="004C43C2">
      <w:pPr>
        <w:rPr>
          <w:rFonts w:cstheme="minorHAnsi"/>
        </w:rPr>
      </w:pPr>
      <w:r w:rsidRPr="00CB1F36">
        <w:rPr>
          <w:rFonts w:cstheme="minorHAnsi"/>
        </w:rPr>
        <w:t xml:space="preserve">Rabbani, G. (2021) </w:t>
      </w:r>
      <w:r w:rsidRPr="00CB1F36">
        <w:rPr>
          <w:rFonts w:cstheme="minorHAnsi"/>
          <w:i/>
        </w:rPr>
        <w:t xml:space="preserve">The Influence of Culture on Learning Styles. </w:t>
      </w:r>
      <w:r w:rsidRPr="00CB1F36">
        <w:rPr>
          <w:rFonts w:cstheme="minorHAnsi"/>
        </w:rPr>
        <w:t xml:space="preserve">Available at: </w:t>
      </w:r>
      <w:hyperlink r:id="rId30" w:history="1">
        <w:r w:rsidR="00ED779A" w:rsidRPr="00CB1F36">
          <w:rPr>
            <w:rStyle w:val="Hyperlink"/>
            <w:rFonts w:cstheme="minorHAnsi"/>
            <w:color w:val="auto"/>
            <w:u w:val="none"/>
          </w:rPr>
          <w:t>https://ceoworld.biz/2021/03/31/the-influence-of-culture-on-learning-styles/</w:t>
        </w:r>
      </w:hyperlink>
      <w:r w:rsidRPr="00CB1F36">
        <w:rPr>
          <w:rFonts w:cstheme="minorHAnsi"/>
        </w:rPr>
        <w:t xml:space="preserve"> (Accessed: 03 August 2023).</w:t>
      </w:r>
    </w:p>
    <w:p w:rsidR="00780B72" w:rsidRPr="00CB1F36" w:rsidRDefault="00780B72" w:rsidP="00780B72">
      <w:pPr>
        <w:rPr>
          <w:rFonts w:cstheme="minorHAnsi"/>
        </w:rPr>
      </w:pPr>
      <w:proofErr w:type="spellStart"/>
      <w:r w:rsidRPr="00CB1F36">
        <w:rPr>
          <w:rFonts w:cstheme="minorHAnsi"/>
        </w:rPr>
        <w:lastRenderedPageBreak/>
        <w:t>Rishipal</w:t>
      </w:r>
      <w:proofErr w:type="spellEnd"/>
      <w:r w:rsidRPr="00CB1F36">
        <w:rPr>
          <w:rFonts w:cstheme="minorHAnsi"/>
        </w:rPr>
        <w:t xml:space="preserve">, </w:t>
      </w:r>
      <w:proofErr w:type="spellStart"/>
      <w:r w:rsidRPr="00CB1F36">
        <w:rPr>
          <w:rFonts w:cstheme="minorHAnsi"/>
        </w:rPr>
        <w:t>Dr.</w:t>
      </w:r>
      <w:proofErr w:type="spellEnd"/>
      <w:r w:rsidRPr="00CB1F36">
        <w:rPr>
          <w:rFonts w:cstheme="minorHAnsi"/>
        </w:rPr>
        <w:t xml:space="preserve"> (2011) </w:t>
      </w:r>
      <w:r w:rsidRPr="00CB1F36">
        <w:rPr>
          <w:rFonts w:cstheme="minorHAnsi"/>
          <w:i/>
        </w:rPr>
        <w:t>Training and Development Methods.</w:t>
      </w:r>
      <w:r w:rsidRPr="00CB1F36">
        <w:rPr>
          <w:rFonts w:cstheme="minorHAnsi"/>
        </w:rPr>
        <w:t xml:space="preserve"> India: S Chand Publishing.</w:t>
      </w:r>
    </w:p>
    <w:p w:rsidR="00BE2491" w:rsidRPr="00CB1F36" w:rsidRDefault="00BE2491" w:rsidP="00780B72">
      <w:pPr>
        <w:rPr>
          <w:rFonts w:cstheme="minorHAnsi"/>
        </w:rPr>
      </w:pPr>
      <w:r w:rsidRPr="00CB1F36">
        <w:rPr>
          <w:rFonts w:cstheme="minorHAnsi"/>
        </w:rPr>
        <w:t xml:space="preserve">Sanders, L. (2019) </w:t>
      </w:r>
      <w:r w:rsidRPr="00CB1F36">
        <w:rPr>
          <w:rFonts w:cstheme="minorHAnsi"/>
          <w:i/>
        </w:rPr>
        <w:t xml:space="preserve">How Culture Impacts Training: What You Don’t Know Can Hurt You. </w:t>
      </w:r>
      <w:r w:rsidRPr="00CB1F36">
        <w:rPr>
          <w:rFonts w:cstheme="minorHAnsi"/>
        </w:rPr>
        <w:t xml:space="preserve">Available at: </w:t>
      </w:r>
      <w:hyperlink r:id="rId31" w:history="1">
        <w:r w:rsidR="004856DA" w:rsidRPr="00CB1F36">
          <w:rPr>
            <w:rStyle w:val="Hyperlink"/>
            <w:rFonts w:cstheme="minorHAnsi"/>
            <w:color w:val="auto"/>
            <w:u w:val="none"/>
          </w:rPr>
          <w:t>https://trainingindustry.com/articles/content-development/how-culture-impacts-training-what-you-dont-know-can-hurt-you/</w:t>
        </w:r>
      </w:hyperlink>
      <w:r w:rsidRPr="00CB1F36">
        <w:rPr>
          <w:rFonts w:cstheme="minorHAnsi"/>
        </w:rPr>
        <w:t xml:space="preserve"> (Accessed: 03 August 2023). </w:t>
      </w:r>
    </w:p>
    <w:p w:rsidR="0074016C" w:rsidRPr="00CB1F36" w:rsidRDefault="0074016C" w:rsidP="0074016C">
      <w:pPr>
        <w:pStyle w:val="Listparag"/>
        <w:numPr>
          <w:ilvl w:val="0"/>
          <w:numId w:val="0"/>
        </w:numPr>
        <w:pBdr>
          <w:bar w:val="single" w:sz="4" w:color="auto"/>
        </w:pBdr>
        <w:spacing w:after="0"/>
        <w:ind w:left="360" w:hanging="360"/>
        <w:rPr>
          <w:rFonts w:asciiTheme="minorHAnsi" w:hAnsiTheme="minorHAnsi" w:cstheme="minorHAnsi"/>
          <w:szCs w:val="22"/>
          <w:shd w:val="clear" w:color="auto" w:fill="FFFFFF"/>
        </w:rPr>
      </w:pPr>
      <w:r w:rsidRPr="00CB1F36">
        <w:rPr>
          <w:rFonts w:asciiTheme="minorHAnsi" w:hAnsiTheme="minorHAnsi" w:cstheme="minorHAnsi"/>
          <w:szCs w:val="22"/>
          <w:shd w:val="clear" w:color="auto" w:fill="FFFFFF"/>
        </w:rPr>
        <w:t xml:space="preserve">Sartori, R., </w:t>
      </w:r>
      <w:proofErr w:type="spellStart"/>
      <w:r w:rsidRPr="00CB1F36">
        <w:rPr>
          <w:rFonts w:asciiTheme="minorHAnsi" w:hAnsiTheme="minorHAnsi" w:cstheme="minorHAnsi"/>
          <w:szCs w:val="22"/>
          <w:shd w:val="clear" w:color="auto" w:fill="FFFFFF"/>
        </w:rPr>
        <w:t>Costantini</w:t>
      </w:r>
      <w:proofErr w:type="spellEnd"/>
      <w:r w:rsidRPr="00CB1F36">
        <w:rPr>
          <w:rFonts w:asciiTheme="minorHAnsi" w:hAnsiTheme="minorHAnsi" w:cstheme="minorHAnsi"/>
          <w:szCs w:val="22"/>
          <w:shd w:val="clear" w:color="auto" w:fill="FFFFFF"/>
        </w:rPr>
        <w:t xml:space="preserve">, A., Ceschi, A. and </w:t>
      </w:r>
      <w:proofErr w:type="spellStart"/>
      <w:r w:rsidRPr="00CB1F36">
        <w:rPr>
          <w:rFonts w:asciiTheme="minorHAnsi" w:hAnsiTheme="minorHAnsi" w:cstheme="minorHAnsi"/>
          <w:szCs w:val="22"/>
          <w:shd w:val="clear" w:color="auto" w:fill="FFFFFF"/>
        </w:rPr>
        <w:t>Tommasi</w:t>
      </w:r>
      <w:proofErr w:type="spellEnd"/>
      <w:r w:rsidRPr="00CB1F36">
        <w:rPr>
          <w:rFonts w:asciiTheme="minorHAnsi" w:hAnsiTheme="minorHAnsi" w:cstheme="minorHAnsi"/>
          <w:szCs w:val="22"/>
          <w:shd w:val="clear" w:color="auto" w:fill="FFFFFF"/>
        </w:rPr>
        <w:t>, F. (2018) ‘How Do You Manage Change in</w:t>
      </w:r>
    </w:p>
    <w:p w:rsidR="0074016C" w:rsidRPr="00CB1F36" w:rsidRDefault="0074016C" w:rsidP="0074016C">
      <w:pPr>
        <w:pStyle w:val="Listparag"/>
        <w:numPr>
          <w:ilvl w:val="0"/>
          <w:numId w:val="0"/>
        </w:numPr>
        <w:pBdr>
          <w:bar w:val="single" w:sz="4" w:color="auto"/>
        </w:pBdr>
        <w:spacing w:after="0"/>
        <w:ind w:left="360" w:hanging="360"/>
        <w:rPr>
          <w:rFonts w:asciiTheme="minorHAnsi" w:hAnsiTheme="minorHAnsi" w:cstheme="minorHAnsi"/>
          <w:szCs w:val="22"/>
          <w:shd w:val="clear" w:color="auto" w:fill="FFFFFF"/>
        </w:rPr>
      </w:pPr>
      <w:r w:rsidRPr="00CB1F36">
        <w:rPr>
          <w:rFonts w:asciiTheme="minorHAnsi" w:hAnsiTheme="minorHAnsi" w:cstheme="minorHAnsi"/>
          <w:szCs w:val="22"/>
          <w:shd w:val="clear" w:color="auto" w:fill="FFFFFF"/>
        </w:rPr>
        <w:t xml:space="preserve">Organizations? Training, Development, Innovation, and Their Relationships’, </w:t>
      </w:r>
      <w:r w:rsidRPr="00CB1F36">
        <w:rPr>
          <w:rFonts w:asciiTheme="minorHAnsi" w:hAnsiTheme="minorHAnsi" w:cstheme="minorHAnsi"/>
          <w:i/>
          <w:szCs w:val="22"/>
          <w:shd w:val="clear" w:color="auto" w:fill="FFFFFF"/>
        </w:rPr>
        <w:t>Frontiers in Psychology</w:t>
      </w:r>
      <w:r w:rsidRPr="00CB1F36">
        <w:rPr>
          <w:rFonts w:asciiTheme="minorHAnsi" w:hAnsiTheme="minorHAnsi" w:cstheme="minorHAnsi"/>
          <w:szCs w:val="22"/>
          <w:shd w:val="clear" w:color="auto" w:fill="FFFFFF"/>
        </w:rPr>
        <w:t xml:space="preserve">, </w:t>
      </w:r>
    </w:p>
    <w:p w:rsidR="0074016C" w:rsidRPr="00CB1F36" w:rsidRDefault="0074016C" w:rsidP="0074016C">
      <w:pPr>
        <w:pStyle w:val="Listparag"/>
        <w:numPr>
          <w:ilvl w:val="0"/>
          <w:numId w:val="0"/>
        </w:numPr>
        <w:pBdr>
          <w:bar w:val="single" w:sz="4" w:color="auto"/>
        </w:pBdr>
        <w:ind w:left="360" w:hanging="360"/>
        <w:rPr>
          <w:rFonts w:asciiTheme="minorHAnsi" w:hAnsiTheme="minorHAnsi" w:cstheme="minorHAnsi"/>
        </w:rPr>
      </w:pPr>
      <w:r w:rsidRPr="00CB1F36">
        <w:rPr>
          <w:rFonts w:asciiTheme="minorHAnsi" w:hAnsiTheme="minorHAnsi" w:cstheme="minorHAnsi"/>
          <w:szCs w:val="22"/>
          <w:shd w:val="clear" w:color="auto" w:fill="FFFFFF"/>
        </w:rPr>
        <w:t xml:space="preserve">15(9), pp. 313. Available at: </w:t>
      </w:r>
      <w:hyperlink r:id="rId32" w:history="1">
        <w:r w:rsidRPr="00CB1F36">
          <w:rPr>
            <w:rStyle w:val="Hyperlink"/>
            <w:rFonts w:asciiTheme="minorHAnsi" w:hAnsiTheme="minorHAnsi" w:cstheme="minorHAnsi"/>
            <w:color w:val="auto"/>
            <w:u w:val="none"/>
          </w:rPr>
          <w:t>https://doi.org/10.3389/fpsyg.2018.00313</w:t>
        </w:r>
      </w:hyperlink>
    </w:p>
    <w:p w:rsidR="00CD723E" w:rsidRPr="00CB1F36" w:rsidRDefault="0056114D" w:rsidP="00EF6E04">
      <w:pPr>
        <w:pStyle w:val="Listparag"/>
        <w:numPr>
          <w:ilvl w:val="0"/>
          <w:numId w:val="0"/>
        </w:numPr>
        <w:pBdr>
          <w:bar w:val="single" w:sz="4" w:color="auto"/>
        </w:pBdr>
        <w:spacing w:after="0"/>
        <w:ind w:left="360" w:hanging="360"/>
        <w:rPr>
          <w:rFonts w:asciiTheme="minorHAnsi" w:hAnsiTheme="minorHAnsi" w:cstheme="minorHAnsi"/>
          <w:szCs w:val="22"/>
        </w:rPr>
      </w:pPr>
      <w:r w:rsidRPr="00CB1F36">
        <w:rPr>
          <w:rFonts w:asciiTheme="minorHAnsi" w:hAnsiTheme="minorHAnsi" w:cstheme="minorHAnsi"/>
          <w:szCs w:val="22"/>
        </w:rPr>
        <w:t xml:space="preserve">Social Care Wales. (2022) </w:t>
      </w:r>
      <w:r w:rsidRPr="00CB1F36">
        <w:rPr>
          <w:rFonts w:asciiTheme="minorHAnsi" w:hAnsiTheme="minorHAnsi" w:cstheme="minorHAnsi"/>
          <w:i/>
          <w:szCs w:val="22"/>
        </w:rPr>
        <w:t xml:space="preserve">Continuing professional development (CPD). </w:t>
      </w:r>
      <w:r w:rsidRPr="00CB1F36">
        <w:rPr>
          <w:rFonts w:asciiTheme="minorHAnsi" w:hAnsiTheme="minorHAnsi" w:cstheme="minorHAnsi"/>
          <w:szCs w:val="22"/>
        </w:rPr>
        <w:t xml:space="preserve">Available at: </w:t>
      </w:r>
    </w:p>
    <w:p w:rsidR="00CD723E" w:rsidRPr="00CB1F36" w:rsidRDefault="0056114D" w:rsidP="00CD723E">
      <w:pPr>
        <w:pStyle w:val="Listparag"/>
        <w:numPr>
          <w:ilvl w:val="0"/>
          <w:numId w:val="0"/>
        </w:numPr>
        <w:pBdr>
          <w:bar w:val="single" w:sz="4" w:color="auto"/>
        </w:pBdr>
        <w:spacing w:after="0"/>
        <w:ind w:left="360" w:hanging="360"/>
        <w:rPr>
          <w:rFonts w:asciiTheme="minorHAnsi" w:hAnsiTheme="minorHAnsi" w:cstheme="minorHAnsi"/>
          <w:szCs w:val="22"/>
        </w:rPr>
      </w:pPr>
      <w:r w:rsidRPr="00CB1F36">
        <w:rPr>
          <w:rFonts w:asciiTheme="minorHAnsi" w:hAnsiTheme="minorHAnsi" w:cstheme="minorHAnsi"/>
          <w:szCs w:val="22"/>
        </w:rPr>
        <w:t xml:space="preserve">https://socialcare.wales/registration/continuing-professional-development-cpd (Accessed: 29 July </w:t>
      </w:r>
    </w:p>
    <w:p w:rsidR="0056114D" w:rsidRPr="00CB1F36" w:rsidRDefault="0056114D" w:rsidP="0056114D">
      <w:pPr>
        <w:pStyle w:val="Listparag"/>
        <w:numPr>
          <w:ilvl w:val="0"/>
          <w:numId w:val="0"/>
        </w:numPr>
        <w:pBdr>
          <w:bar w:val="single" w:sz="4" w:color="auto"/>
        </w:pBdr>
        <w:ind w:left="360" w:hanging="360"/>
        <w:rPr>
          <w:rFonts w:asciiTheme="minorHAnsi" w:hAnsiTheme="minorHAnsi" w:cstheme="minorHAnsi"/>
          <w:szCs w:val="22"/>
        </w:rPr>
      </w:pPr>
      <w:r w:rsidRPr="00CB1F36">
        <w:rPr>
          <w:rFonts w:asciiTheme="minorHAnsi" w:hAnsiTheme="minorHAnsi" w:cstheme="minorHAnsi"/>
          <w:szCs w:val="22"/>
        </w:rPr>
        <w:t xml:space="preserve">2023). </w:t>
      </w:r>
    </w:p>
    <w:p w:rsidR="00EF6E04" w:rsidRPr="00CB1F36" w:rsidRDefault="00EF6E04" w:rsidP="00EF6E04">
      <w:r w:rsidRPr="00CB1F36">
        <w:t xml:space="preserve">Song, D. and Oh, E. (2011) ‘Learning styles based on the different cultural background of KFL learners in online learning’, </w:t>
      </w:r>
      <w:r w:rsidRPr="00CB1F36">
        <w:rPr>
          <w:i/>
        </w:rPr>
        <w:t>Multimedia-Assisted Language Learning</w:t>
      </w:r>
      <w:r w:rsidRPr="00CB1F36">
        <w:t>, 14(3), pp. 133-154. Available at: https://einbrain.com/116</w:t>
      </w:r>
    </w:p>
    <w:p w:rsidR="002938A1" w:rsidRPr="00CB1F36" w:rsidRDefault="002938A1" w:rsidP="002938A1">
      <w:pPr>
        <w:rPr>
          <w:rFonts w:cstheme="minorHAnsi"/>
        </w:rPr>
      </w:pPr>
      <w:r w:rsidRPr="00CB1F36">
        <w:rPr>
          <w:rFonts w:cstheme="minorHAnsi"/>
          <w:shd w:val="clear" w:color="auto" w:fill="FFFFFF"/>
        </w:rPr>
        <w:t>Tsai, P., Yen, C. Y., Huang, L. and Huang, I. (2007) ‘A study on motivating employees’ learning commitment in the post-downsizing era: Job satisfaction perspective’, </w:t>
      </w:r>
      <w:r w:rsidRPr="00CB1F36">
        <w:rPr>
          <w:rStyle w:val="Emphasis"/>
          <w:rFonts w:cstheme="minorHAnsi"/>
          <w:shd w:val="clear" w:color="auto" w:fill="FFFFFF"/>
        </w:rPr>
        <w:t>Journal of World Business</w:t>
      </w:r>
      <w:r w:rsidRPr="00CB1F36">
        <w:rPr>
          <w:rFonts w:cstheme="minorHAnsi"/>
          <w:shd w:val="clear" w:color="auto" w:fill="FFFFFF"/>
        </w:rPr>
        <w:t xml:space="preserve">, 42, pp. 157-169. Available at: </w:t>
      </w:r>
      <w:hyperlink r:id="rId33" w:history="1">
        <w:r w:rsidR="00CD723E" w:rsidRPr="00CB1F36">
          <w:rPr>
            <w:rStyle w:val="Hyperlink"/>
            <w:rFonts w:cstheme="minorHAnsi"/>
            <w:color w:val="auto"/>
            <w:u w:val="none"/>
          </w:rPr>
          <w:t>https://doi.org/10.1016/j.jwb.2007.02.002</w:t>
        </w:r>
      </w:hyperlink>
    </w:p>
    <w:p w:rsidR="002938A1" w:rsidRPr="00CB1F36" w:rsidRDefault="002938A1" w:rsidP="002938A1">
      <w:pPr>
        <w:rPr>
          <w:rFonts w:cstheme="minorHAnsi"/>
        </w:rPr>
      </w:pPr>
      <w:r w:rsidRPr="00CB1F36">
        <w:rPr>
          <w:rFonts w:cstheme="minorHAnsi"/>
        </w:rPr>
        <w:t xml:space="preserve">Valente, J. (2023) </w:t>
      </w:r>
      <w:r w:rsidRPr="00CB1F36">
        <w:rPr>
          <w:rFonts w:cstheme="minorHAnsi"/>
          <w:i/>
        </w:rPr>
        <w:t xml:space="preserve">Why training and development need to become a core part of career development. </w:t>
      </w:r>
      <w:r w:rsidR="006D5089" w:rsidRPr="00CB1F36">
        <w:rPr>
          <w:rFonts w:cstheme="minorHAnsi"/>
        </w:rPr>
        <w:t xml:space="preserve">Available at: </w:t>
      </w:r>
      <w:hyperlink r:id="rId34" w:history="1">
        <w:r w:rsidR="00F36273" w:rsidRPr="00CB1F36">
          <w:rPr>
            <w:rStyle w:val="Hyperlink"/>
            <w:rFonts w:cstheme="minorHAnsi"/>
            <w:color w:val="auto"/>
            <w:u w:val="none"/>
          </w:rPr>
          <w:t>https://elitebusinessmagazine.co.uk/people/item/why-training-and-development-need-to-become-a-core-part-of-career-development</w:t>
        </w:r>
      </w:hyperlink>
      <w:r w:rsidRPr="00CB1F36">
        <w:rPr>
          <w:rFonts w:cstheme="minorHAnsi"/>
        </w:rPr>
        <w:t xml:space="preserve"> (Accessed: 17 July 2023).</w:t>
      </w:r>
    </w:p>
    <w:p w:rsidR="0056114D" w:rsidRPr="00CB1F36" w:rsidRDefault="0056114D" w:rsidP="0056114D">
      <w:pPr>
        <w:pStyle w:val="Listparag"/>
        <w:numPr>
          <w:ilvl w:val="0"/>
          <w:numId w:val="0"/>
        </w:numPr>
        <w:pBdr>
          <w:bar w:val="single" w:sz="4" w:color="auto"/>
        </w:pBdr>
        <w:spacing w:after="0"/>
        <w:ind w:left="360" w:hanging="360"/>
        <w:rPr>
          <w:rFonts w:asciiTheme="minorHAnsi" w:hAnsiTheme="minorHAnsi" w:cstheme="minorHAnsi"/>
          <w:szCs w:val="22"/>
        </w:rPr>
      </w:pPr>
      <w:r w:rsidRPr="00CB1F36">
        <w:rPr>
          <w:rFonts w:asciiTheme="minorHAnsi" w:hAnsiTheme="minorHAnsi" w:cstheme="minorHAnsi"/>
          <w:szCs w:val="22"/>
        </w:rPr>
        <w:t xml:space="preserve">Walsh, D. (2017) </w:t>
      </w:r>
      <w:r w:rsidRPr="00CB1F36">
        <w:rPr>
          <w:rFonts w:asciiTheme="minorHAnsi" w:hAnsiTheme="minorHAnsi" w:cstheme="minorHAnsi"/>
          <w:i/>
          <w:szCs w:val="22"/>
        </w:rPr>
        <w:t xml:space="preserve">Soft skills training brings substantial returns on investment. </w:t>
      </w:r>
      <w:r w:rsidRPr="00CB1F36">
        <w:rPr>
          <w:rFonts w:asciiTheme="minorHAnsi" w:hAnsiTheme="minorHAnsi" w:cstheme="minorHAnsi"/>
          <w:szCs w:val="22"/>
        </w:rPr>
        <w:t xml:space="preserve">Available at: </w:t>
      </w:r>
    </w:p>
    <w:p w:rsidR="0056114D" w:rsidRPr="00CB1F36" w:rsidRDefault="0056114D" w:rsidP="0056114D">
      <w:pPr>
        <w:pStyle w:val="Listparag"/>
        <w:numPr>
          <w:ilvl w:val="0"/>
          <w:numId w:val="0"/>
        </w:numPr>
        <w:pBdr>
          <w:bar w:val="single" w:sz="4" w:color="auto"/>
        </w:pBdr>
        <w:spacing w:after="0"/>
        <w:ind w:left="360" w:hanging="360"/>
        <w:rPr>
          <w:rFonts w:asciiTheme="minorHAnsi" w:hAnsiTheme="minorHAnsi" w:cstheme="minorHAnsi"/>
          <w:szCs w:val="22"/>
        </w:rPr>
      </w:pPr>
      <w:hyperlink r:id="rId35" w:history="1">
        <w:r w:rsidRPr="00CB1F36">
          <w:rPr>
            <w:rStyle w:val="Hyperlink"/>
            <w:rFonts w:asciiTheme="minorHAnsi" w:hAnsiTheme="minorHAnsi" w:cstheme="minorHAnsi"/>
            <w:color w:val="auto"/>
            <w:szCs w:val="22"/>
            <w:u w:val="none"/>
          </w:rPr>
          <w:t>https://mitsloan.mit.edu/ideas-made-to-matter/soft-skills-training-brings</w:t>
        </w:r>
        <w:r w:rsidRPr="00CB1F36">
          <w:rPr>
            <w:rStyle w:val="Hyperlink"/>
            <w:rFonts w:asciiTheme="minorHAnsi" w:hAnsiTheme="minorHAnsi" w:cstheme="minorHAnsi"/>
            <w:color w:val="auto"/>
            <w:szCs w:val="22"/>
            <w:u w:val="none"/>
          </w:rPr>
          <w:t>-substantial</w:t>
        </w:r>
        <w:r w:rsidRPr="00CB1F36">
          <w:rPr>
            <w:rStyle w:val="Hyperlink"/>
            <w:rFonts w:asciiTheme="minorHAnsi" w:hAnsiTheme="minorHAnsi" w:cstheme="minorHAnsi"/>
            <w:color w:val="auto"/>
            <w:szCs w:val="22"/>
            <w:u w:val="none"/>
          </w:rPr>
          <w:t>-</w:t>
        </w:r>
        <w:r w:rsidRPr="00CB1F36">
          <w:rPr>
            <w:rStyle w:val="Hyperlink"/>
            <w:rFonts w:asciiTheme="minorHAnsi" w:hAnsiTheme="minorHAnsi" w:cstheme="minorHAnsi"/>
            <w:color w:val="auto"/>
            <w:szCs w:val="22"/>
            <w:u w:val="none"/>
          </w:rPr>
          <w:t>returns-</w:t>
        </w:r>
      </w:hyperlink>
    </w:p>
    <w:p w:rsidR="0056114D" w:rsidRPr="00CB1F36" w:rsidRDefault="0056114D" w:rsidP="0056114D">
      <w:pPr>
        <w:pStyle w:val="Listparag"/>
        <w:numPr>
          <w:ilvl w:val="0"/>
          <w:numId w:val="0"/>
        </w:numPr>
        <w:pBdr>
          <w:bar w:val="single" w:sz="4" w:color="auto"/>
        </w:pBdr>
        <w:spacing w:after="0"/>
        <w:ind w:left="360" w:hanging="360"/>
        <w:rPr>
          <w:rFonts w:asciiTheme="minorBidi" w:hAnsiTheme="minorBidi" w:cstheme="minorBidi"/>
          <w:szCs w:val="22"/>
        </w:rPr>
      </w:pPr>
      <w:r w:rsidRPr="00CB1F36">
        <w:rPr>
          <w:rFonts w:asciiTheme="minorHAnsi" w:hAnsiTheme="minorHAnsi" w:cstheme="minorHAnsi"/>
          <w:szCs w:val="22"/>
        </w:rPr>
        <w:t>investment (Accessed: 29 July 2023).</w:t>
      </w:r>
      <w:r w:rsidRPr="00CB1F36">
        <w:rPr>
          <w:rFonts w:asciiTheme="minorBidi" w:hAnsiTheme="minorBidi" w:cstheme="minorBidi"/>
          <w:szCs w:val="22"/>
        </w:rPr>
        <w:t xml:space="preserve"> </w:t>
      </w:r>
    </w:p>
    <w:p w:rsidR="0056114D" w:rsidRPr="00CB1F36" w:rsidRDefault="0056114D" w:rsidP="00F87AD8">
      <w:pPr>
        <w:pStyle w:val="Listparag"/>
        <w:numPr>
          <w:ilvl w:val="0"/>
          <w:numId w:val="0"/>
        </w:numPr>
        <w:pBdr>
          <w:bar w:val="single" w:sz="4" w:color="auto"/>
        </w:pBdr>
        <w:spacing w:before="240" w:after="0"/>
        <w:rPr>
          <w:rFonts w:asciiTheme="minorHAnsi" w:hAnsiTheme="minorHAnsi" w:cstheme="minorHAnsi"/>
          <w:szCs w:val="22"/>
        </w:rPr>
      </w:pPr>
      <w:r w:rsidRPr="00CB1F36">
        <w:rPr>
          <w:rFonts w:asciiTheme="minorHAnsi" w:hAnsiTheme="minorHAnsi" w:cstheme="minorHAnsi"/>
          <w:szCs w:val="22"/>
        </w:rPr>
        <w:t xml:space="preserve">Wilton, N. (2016) </w:t>
      </w:r>
      <w:r w:rsidRPr="00CB1F36">
        <w:rPr>
          <w:rFonts w:asciiTheme="minorHAnsi" w:hAnsiTheme="minorHAnsi" w:cstheme="minorHAnsi"/>
          <w:i/>
          <w:szCs w:val="22"/>
        </w:rPr>
        <w:t xml:space="preserve">An Introduction to Human Resource Management. </w:t>
      </w:r>
      <w:r w:rsidRPr="00CB1F36">
        <w:rPr>
          <w:rFonts w:asciiTheme="minorHAnsi" w:hAnsiTheme="minorHAnsi" w:cstheme="minorHAnsi"/>
          <w:szCs w:val="22"/>
        </w:rPr>
        <w:t>3</w:t>
      </w:r>
      <w:r w:rsidRPr="00CB1F36">
        <w:rPr>
          <w:rFonts w:asciiTheme="minorHAnsi" w:hAnsiTheme="minorHAnsi" w:cstheme="minorHAnsi"/>
          <w:szCs w:val="22"/>
          <w:vertAlign w:val="superscript"/>
        </w:rPr>
        <w:t>rd</w:t>
      </w:r>
      <w:r w:rsidRPr="00CB1F36">
        <w:rPr>
          <w:rFonts w:asciiTheme="minorHAnsi" w:hAnsiTheme="minorHAnsi" w:cstheme="minorHAnsi"/>
          <w:szCs w:val="22"/>
        </w:rPr>
        <w:t xml:space="preserve"> edn</w:t>
      </w:r>
      <w:r w:rsidRPr="00CB1F36">
        <w:rPr>
          <w:rFonts w:asciiTheme="minorHAnsi" w:hAnsiTheme="minorHAnsi" w:cstheme="minorHAnsi"/>
          <w:i/>
          <w:szCs w:val="22"/>
        </w:rPr>
        <w:t xml:space="preserve">. </w:t>
      </w:r>
      <w:r w:rsidRPr="00CB1F36">
        <w:rPr>
          <w:rFonts w:asciiTheme="minorHAnsi" w:hAnsiTheme="minorHAnsi" w:cstheme="minorHAnsi"/>
          <w:szCs w:val="22"/>
        </w:rPr>
        <w:t xml:space="preserve">SAGE Publications Ltd: </w:t>
      </w:r>
    </w:p>
    <w:p w:rsidR="00037804" w:rsidRPr="00CB1F36" w:rsidRDefault="0056114D" w:rsidP="00037804">
      <w:pPr>
        <w:pStyle w:val="Listparag"/>
        <w:numPr>
          <w:ilvl w:val="0"/>
          <w:numId w:val="0"/>
        </w:numPr>
        <w:pBdr>
          <w:bar w:val="single" w:sz="4" w:color="auto"/>
        </w:pBdr>
        <w:spacing w:after="0"/>
        <w:ind w:left="360" w:hanging="360"/>
        <w:rPr>
          <w:rFonts w:asciiTheme="minorHAnsi" w:hAnsiTheme="minorHAnsi" w:cstheme="minorHAnsi"/>
          <w:szCs w:val="22"/>
        </w:rPr>
      </w:pPr>
      <w:r w:rsidRPr="00CB1F36">
        <w:rPr>
          <w:rFonts w:asciiTheme="minorHAnsi" w:hAnsiTheme="minorHAnsi" w:cstheme="minorHAnsi"/>
          <w:szCs w:val="22"/>
        </w:rPr>
        <w:t>London</w:t>
      </w:r>
      <w:r w:rsidR="00037804" w:rsidRPr="00CB1F36">
        <w:rPr>
          <w:rFonts w:asciiTheme="minorHAnsi" w:hAnsiTheme="minorHAnsi" w:cstheme="minorHAnsi"/>
          <w:szCs w:val="22"/>
        </w:rPr>
        <w:t>.</w:t>
      </w:r>
    </w:p>
    <w:p w:rsidR="00037804" w:rsidRPr="00CB1F36" w:rsidRDefault="00037804" w:rsidP="00037804">
      <w:pPr>
        <w:pStyle w:val="Listparag"/>
        <w:numPr>
          <w:ilvl w:val="0"/>
          <w:numId w:val="0"/>
        </w:numPr>
        <w:pBdr>
          <w:bar w:val="single" w:sz="4" w:color="auto"/>
        </w:pBdr>
        <w:spacing w:after="0"/>
        <w:ind w:left="360" w:hanging="360"/>
        <w:rPr>
          <w:rFonts w:asciiTheme="minorHAnsi" w:hAnsiTheme="minorHAnsi" w:cstheme="minorHAnsi"/>
          <w:szCs w:val="22"/>
        </w:rPr>
      </w:pPr>
    </w:p>
    <w:p w:rsidR="00037804" w:rsidRPr="00CB1F36" w:rsidRDefault="00F87AD8" w:rsidP="00037804">
      <w:pPr>
        <w:pStyle w:val="Listparag"/>
        <w:numPr>
          <w:ilvl w:val="0"/>
          <w:numId w:val="0"/>
        </w:numPr>
        <w:pBdr>
          <w:bar w:val="single" w:sz="4" w:color="auto"/>
        </w:pBdr>
        <w:spacing w:after="0"/>
        <w:ind w:left="360" w:hanging="360"/>
        <w:rPr>
          <w:rStyle w:val="a-size-extra-large"/>
          <w:rFonts w:asciiTheme="minorHAnsi" w:hAnsiTheme="minorHAnsi" w:cstheme="minorHAnsi"/>
          <w:szCs w:val="22"/>
        </w:rPr>
      </w:pPr>
      <w:r w:rsidRPr="00CB1F36">
        <w:rPr>
          <w:rFonts w:asciiTheme="minorHAnsi" w:hAnsiTheme="minorHAnsi" w:cstheme="minorHAnsi"/>
          <w:szCs w:val="22"/>
        </w:rPr>
        <w:t xml:space="preserve">Zachary, L. (2005) </w:t>
      </w:r>
      <w:r w:rsidRPr="00CB1F36">
        <w:rPr>
          <w:rStyle w:val="a-size-extra-large"/>
          <w:rFonts w:asciiTheme="minorHAnsi" w:hAnsiTheme="minorHAnsi" w:cstheme="minorHAnsi"/>
          <w:i/>
          <w:szCs w:val="22"/>
        </w:rPr>
        <w:t>Creating a Mentoring Culture: The Organization's Guide.</w:t>
      </w:r>
      <w:r w:rsidRPr="00CB1F36">
        <w:rPr>
          <w:rStyle w:val="a-size-extra-large"/>
          <w:rFonts w:asciiTheme="minorHAnsi" w:hAnsiTheme="minorHAnsi" w:cstheme="minorHAnsi"/>
          <w:szCs w:val="22"/>
        </w:rPr>
        <w:t xml:space="preserve"> San Francisco: Jossey</w:t>
      </w:r>
    </w:p>
    <w:p w:rsidR="00F87AD8" w:rsidRPr="00CB1F36" w:rsidRDefault="00F87AD8" w:rsidP="00037804">
      <w:pPr>
        <w:pStyle w:val="Listparag"/>
        <w:numPr>
          <w:ilvl w:val="0"/>
          <w:numId w:val="0"/>
        </w:numPr>
        <w:pBdr>
          <w:bar w:val="single" w:sz="4" w:color="auto"/>
        </w:pBdr>
        <w:spacing w:after="0"/>
        <w:ind w:left="360" w:hanging="360"/>
        <w:rPr>
          <w:rStyle w:val="a-size-extra-large"/>
          <w:rFonts w:asciiTheme="minorHAnsi" w:hAnsiTheme="minorHAnsi" w:cstheme="minorHAnsi"/>
          <w:szCs w:val="22"/>
        </w:rPr>
      </w:pPr>
      <w:r w:rsidRPr="00CB1F36">
        <w:rPr>
          <w:rStyle w:val="a-size-extra-large"/>
          <w:rFonts w:asciiTheme="minorHAnsi" w:hAnsiTheme="minorHAnsi" w:cstheme="minorHAnsi"/>
          <w:szCs w:val="22"/>
        </w:rPr>
        <w:t>Bass.</w:t>
      </w:r>
    </w:p>
    <w:p w:rsidR="00F87AD8" w:rsidRPr="00CB1F36" w:rsidRDefault="00F87AD8" w:rsidP="00F87AD8">
      <w:pPr>
        <w:pStyle w:val="Listparag"/>
        <w:numPr>
          <w:ilvl w:val="0"/>
          <w:numId w:val="0"/>
        </w:numPr>
        <w:pBdr>
          <w:bar w:val="single" w:sz="4" w:color="auto"/>
        </w:pBdr>
        <w:spacing w:after="0"/>
        <w:ind w:left="360" w:hanging="360"/>
        <w:rPr>
          <w:rFonts w:asciiTheme="minorHAnsi" w:hAnsiTheme="minorHAnsi" w:cstheme="minorHAnsi"/>
          <w:szCs w:val="22"/>
        </w:rPr>
      </w:pPr>
    </w:p>
    <w:p w:rsidR="002938A1" w:rsidRPr="00CB1F36" w:rsidRDefault="002938A1" w:rsidP="00047209">
      <w:pPr>
        <w:pStyle w:val="Listparag"/>
        <w:numPr>
          <w:ilvl w:val="0"/>
          <w:numId w:val="0"/>
        </w:numPr>
        <w:pBdr>
          <w:bar w:val="single" w:sz="4" w:color="auto"/>
        </w:pBdr>
        <w:ind w:left="360" w:hanging="360"/>
        <w:rPr>
          <w:rFonts w:asciiTheme="minorHAnsi" w:hAnsiTheme="minorHAnsi" w:cstheme="minorHAnsi"/>
          <w:szCs w:val="22"/>
        </w:rPr>
      </w:pPr>
    </w:p>
    <w:p w:rsidR="00047209" w:rsidRPr="00CB1F36" w:rsidRDefault="00047209" w:rsidP="00047209">
      <w:pPr>
        <w:pStyle w:val="Listparag"/>
        <w:numPr>
          <w:ilvl w:val="0"/>
          <w:numId w:val="0"/>
        </w:numPr>
        <w:pBdr>
          <w:bar w:val="single" w:sz="4" w:color="auto"/>
        </w:pBdr>
        <w:ind w:left="360" w:hanging="360"/>
        <w:rPr>
          <w:rFonts w:asciiTheme="minorHAnsi" w:hAnsiTheme="minorHAnsi" w:cstheme="minorHAnsi"/>
          <w:szCs w:val="22"/>
        </w:rPr>
      </w:pPr>
    </w:p>
    <w:p w:rsidR="007173B0" w:rsidRPr="00CB1F36" w:rsidRDefault="007173B0" w:rsidP="00603552">
      <w:pPr>
        <w:tabs>
          <w:tab w:val="left" w:pos="7356"/>
        </w:tabs>
      </w:pPr>
    </w:p>
    <w:sectPr w:rsidR="007173B0" w:rsidRPr="00CB1F36" w:rsidSect="00B94102">
      <w:pgSz w:w="11906" w:h="16838"/>
      <w:pgMar w:top="1440" w:right="1440" w:bottom="1440" w:left="1440" w:header="22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7A84" w:rsidRDefault="00257A84" w:rsidP="00B94102">
      <w:pPr>
        <w:spacing w:after="0" w:line="240" w:lineRule="auto"/>
      </w:pPr>
      <w:r>
        <w:separator/>
      </w:r>
    </w:p>
  </w:endnote>
  <w:endnote w:type="continuationSeparator" w:id="0">
    <w:p w:rsidR="00257A84" w:rsidRDefault="00257A84" w:rsidP="00B94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7A84" w:rsidRDefault="00257A84" w:rsidP="00B94102">
      <w:pPr>
        <w:spacing w:after="0" w:line="240" w:lineRule="auto"/>
      </w:pPr>
      <w:r>
        <w:separator/>
      </w:r>
    </w:p>
  </w:footnote>
  <w:footnote w:type="continuationSeparator" w:id="0">
    <w:p w:rsidR="00257A84" w:rsidRDefault="00257A84" w:rsidP="00B941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4302E"/>
    <w:multiLevelType w:val="multilevel"/>
    <w:tmpl w:val="FF888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102"/>
    <w:rsid w:val="00010D5A"/>
    <w:rsid w:val="00012224"/>
    <w:rsid w:val="00020B71"/>
    <w:rsid w:val="00037804"/>
    <w:rsid w:val="000409D1"/>
    <w:rsid w:val="00045F22"/>
    <w:rsid w:val="00047209"/>
    <w:rsid w:val="00086696"/>
    <w:rsid w:val="000D16F1"/>
    <w:rsid w:val="000D4275"/>
    <w:rsid w:val="000F065F"/>
    <w:rsid w:val="00112102"/>
    <w:rsid w:val="00117280"/>
    <w:rsid w:val="00133AFA"/>
    <w:rsid w:val="00137F16"/>
    <w:rsid w:val="00172D18"/>
    <w:rsid w:val="001A42DE"/>
    <w:rsid w:val="00211E2F"/>
    <w:rsid w:val="00257A84"/>
    <w:rsid w:val="00274244"/>
    <w:rsid w:val="002938A1"/>
    <w:rsid w:val="002A7F02"/>
    <w:rsid w:val="002C39DC"/>
    <w:rsid w:val="002F7224"/>
    <w:rsid w:val="003404A9"/>
    <w:rsid w:val="00354B52"/>
    <w:rsid w:val="003579E1"/>
    <w:rsid w:val="00375EE2"/>
    <w:rsid w:val="00391D20"/>
    <w:rsid w:val="003A2107"/>
    <w:rsid w:val="003B5293"/>
    <w:rsid w:val="003B644E"/>
    <w:rsid w:val="003C02A5"/>
    <w:rsid w:val="003C07DF"/>
    <w:rsid w:val="003C7A61"/>
    <w:rsid w:val="00425130"/>
    <w:rsid w:val="00433A80"/>
    <w:rsid w:val="004573C9"/>
    <w:rsid w:val="00461C0A"/>
    <w:rsid w:val="004856DA"/>
    <w:rsid w:val="004943ED"/>
    <w:rsid w:val="004C43C2"/>
    <w:rsid w:val="004E52E6"/>
    <w:rsid w:val="00526F31"/>
    <w:rsid w:val="00532A5E"/>
    <w:rsid w:val="0056114D"/>
    <w:rsid w:val="005B3DE8"/>
    <w:rsid w:val="005F1A3E"/>
    <w:rsid w:val="005F4B55"/>
    <w:rsid w:val="00603552"/>
    <w:rsid w:val="006214D3"/>
    <w:rsid w:val="006D5089"/>
    <w:rsid w:val="007173B0"/>
    <w:rsid w:val="007246E7"/>
    <w:rsid w:val="0074016C"/>
    <w:rsid w:val="00752CEB"/>
    <w:rsid w:val="0077199B"/>
    <w:rsid w:val="00775368"/>
    <w:rsid w:val="00780B72"/>
    <w:rsid w:val="00784080"/>
    <w:rsid w:val="0079615D"/>
    <w:rsid w:val="007F311F"/>
    <w:rsid w:val="007F6728"/>
    <w:rsid w:val="00835BF9"/>
    <w:rsid w:val="00876670"/>
    <w:rsid w:val="00880BEA"/>
    <w:rsid w:val="008A669F"/>
    <w:rsid w:val="008F3480"/>
    <w:rsid w:val="00926812"/>
    <w:rsid w:val="009540CD"/>
    <w:rsid w:val="009736F2"/>
    <w:rsid w:val="009B24ED"/>
    <w:rsid w:val="009B658F"/>
    <w:rsid w:val="009E6E69"/>
    <w:rsid w:val="009F00A3"/>
    <w:rsid w:val="00A077BF"/>
    <w:rsid w:val="00A13E56"/>
    <w:rsid w:val="00A15DDC"/>
    <w:rsid w:val="00A8523D"/>
    <w:rsid w:val="00AB74A9"/>
    <w:rsid w:val="00AE5944"/>
    <w:rsid w:val="00B14396"/>
    <w:rsid w:val="00B22418"/>
    <w:rsid w:val="00B712BE"/>
    <w:rsid w:val="00B842E7"/>
    <w:rsid w:val="00B92200"/>
    <w:rsid w:val="00B94102"/>
    <w:rsid w:val="00BB4F1F"/>
    <w:rsid w:val="00BC7D9E"/>
    <w:rsid w:val="00BD6200"/>
    <w:rsid w:val="00BE2491"/>
    <w:rsid w:val="00BF51BE"/>
    <w:rsid w:val="00C015B5"/>
    <w:rsid w:val="00C14AAF"/>
    <w:rsid w:val="00C24FBD"/>
    <w:rsid w:val="00C50630"/>
    <w:rsid w:val="00C73E73"/>
    <w:rsid w:val="00C75F15"/>
    <w:rsid w:val="00C816E6"/>
    <w:rsid w:val="00C820DD"/>
    <w:rsid w:val="00C82F8C"/>
    <w:rsid w:val="00CB1F36"/>
    <w:rsid w:val="00CC33C6"/>
    <w:rsid w:val="00CD723E"/>
    <w:rsid w:val="00D469A5"/>
    <w:rsid w:val="00D710ED"/>
    <w:rsid w:val="00D93472"/>
    <w:rsid w:val="00DA557B"/>
    <w:rsid w:val="00DC151A"/>
    <w:rsid w:val="00DE1484"/>
    <w:rsid w:val="00E1791D"/>
    <w:rsid w:val="00E614BE"/>
    <w:rsid w:val="00ED779A"/>
    <w:rsid w:val="00EF6E04"/>
    <w:rsid w:val="00F024CF"/>
    <w:rsid w:val="00F17D75"/>
    <w:rsid w:val="00F36273"/>
    <w:rsid w:val="00F44021"/>
    <w:rsid w:val="00F52D8F"/>
    <w:rsid w:val="00F8191A"/>
    <w:rsid w:val="00F87AD8"/>
    <w:rsid w:val="00F90CC3"/>
    <w:rsid w:val="00FE1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414FA5"/>
  <w15:chartTrackingRefBased/>
  <w15:docId w15:val="{3A6EE853-703C-43D3-87B9-881F3F0DD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7199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41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102"/>
  </w:style>
  <w:style w:type="paragraph" w:styleId="Footer">
    <w:name w:val="footer"/>
    <w:basedOn w:val="Normal"/>
    <w:link w:val="FooterChar"/>
    <w:uiPriority w:val="99"/>
    <w:unhideWhenUsed/>
    <w:rsid w:val="00B941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102"/>
  </w:style>
  <w:style w:type="paragraph" w:customStyle="1" w:styleId="Listparag">
    <w:name w:val="List parag"/>
    <w:basedOn w:val="ListParagraph"/>
    <w:link w:val="ListparagChar"/>
    <w:qFormat/>
    <w:rsid w:val="00775368"/>
    <w:pPr>
      <w:numPr>
        <w:numId w:val="1"/>
      </w:numPr>
      <w:spacing w:after="120" w:line="264" w:lineRule="auto"/>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775368"/>
    <w:rPr>
      <w:rFonts w:ascii="Arial" w:eastAsia="Times New Roman" w:hAnsi="Arial" w:cs="Arial"/>
      <w:szCs w:val="24"/>
      <w:lang w:eastAsia="en-GB"/>
    </w:rPr>
  </w:style>
  <w:style w:type="paragraph" w:styleId="ListParagraph">
    <w:name w:val="List Paragraph"/>
    <w:basedOn w:val="Normal"/>
    <w:uiPriority w:val="34"/>
    <w:qFormat/>
    <w:rsid w:val="00775368"/>
    <w:pPr>
      <w:ind w:left="720"/>
      <w:contextualSpacing/>
    </w:pPr>
  </w:style>
  <w:style w:type="character" w:styleId="Strong">
    <w:name w:val="Strong"/>
    <w:basedOn w:val="DefaultParagraphFont"/>
    <w:uiPriority w:val="22"/>
    <w:qFormat/>
    <w:rsid w:val="00926812"/>
    <w:rPr>
      <w:b/>
      <w:bCs/>
    </w:rPr>
  </w:style>
  <w:style w:type="character" w:styleId="Hyperlink">
    <w:name w:val="Hyperlink"/>
    <w:basedOn w:val="DefaultParagraphFont"/>
    <w:uiPriority w:val="99"/>
    <w:unhideWhenUsed/>
    <w:rsid w:val="0079615D"/>
    <w:rPr>
      <w:color w:val="0563C1" w:themeColor="hyperlink"/>
      <w:u w:val="single"/>
    </w:rPr>
  </w:style>
  <w:style w:type="character" w:styleId="UnresolvedMention">
    <w:name w:val="Unresolved Mention"/>
    <w:basedOn w:val="DefaultParagraphFont"/>
    <w:uiPriority w:val="99"/>
    <w:semiHidden/>
    <w:unhideWhenUsed/>
    <w:rsid w:val="0079615D"/>
    <w:rPr>
      <w:color w:val="605E5C"/>
      <w:shd w:val="clear" w:color="auto" w:fill="E1DFDD"/>
    </w:rPr>
  </w:style>
  <w:style w:type="character" w:customStyle="1" w:styleId="Heading1Char">
    <w:name w:val="Heading 1 Char"/>
    <w:basedOn w:val="DefaultParagraphFont"/>
    <w:link w:val="Heading1"/>
    <w:uiPriority w:val="9"/>
    <w:rsid w:val="0077199B"/>
    <w:rPr>
      <w:rFonts w:ascii="Times New Roman" w:eastAsia="Times New Roman" w:hAnsi="Times New Roman" w:cs="Times New Roman"/>
      <w:b/>
      <w:bCs/>
      <w:kern w:val="36"/>
      <w:sz w:val="48"/>
      <w:szCs w:val="48"/>
      <w:lang w:eastAsia="en-GB"/>
    </w:rPr>
  </w:style>
  <w:style w:type="paragraph" w:customStyle="1" w:styleId="nova-legacy-e-listitem">
    <w:name w:val="nova-legacy-e-list__item"/>
    <w:basedOn w:val="Normal"/>
    <w:rsid w:val="003579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938A1"/>
    <w:rPr>
      <w:i/>
      <w:iCs/>
    </w:rPr>
  </w:style>
  <w:style w:type="character" w:customStyle="1" w:styleId="anchor-text">
    <w:name w:val="anchor-text"/>
    <w:basedOn w:val="DefaultParagraphFont"/>
    <w:rsid w:val="002938A1"/>
  </w:style>
  <w:style w:type="character" w:styleId="FollowedHyperlink">
    <w:name w:val="FollowedHyperlink"/>
    <w:basedOn w:val="DefaultParagraphFont"/>
    <w:uiPriority w:val="99"/>
    <w:semiHidden/>
    <w:unhideWhenUsed/>
    <w:rsid w:val="0056114D"/>
    <w:rPr>
      <w:color w:val="954F72" w:themeColor="followedHyperlink"/>
      <w:u w:val="single"/>
    </w:rPr>
  </w:style>
  <w:style w:type="character" w:customStyle="1" w:styleId="volumeinfo">
    <w:name w:val="volumeinfo"/>
    <w:basedOn w:val="DefaultParagraphFont"/>
    <w:rsid w:val="0074016C"/>
  </w:style>
  <w:style w:type="character" w:customStyle="1" w:styleId="a-size-extra-large">
    <w:name w:val="a-size-extra-large"/>
    <w:basedOn w:val="DefaultParagraphFont"/>
    <w:rsid w:val="00F87A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4656120">
      <w:bodyDiv w:val="1"/>
      <w:marLeft w:val="0"/>
      <w:marRight w:val="0"/>
      <w:marTop w:val="0"/>
      <w:marBottom w:val="0"/>
      <w:divBdr>
        <w:top w:val="none" w:sz="0" w:space="0" w:color="auto"/>
        <w:left w:val="none" w:sz="0" w:space="0" w:color="auto"/>
        <w:bottom w:val="none" w:sz="0" w:space="0" w:color="auto"/>
        <w:right w:val="none" w:sz="0" w:space="0" w:color="auto"/>
      </w:divBdr>
    </w:div>
    <w:div w:id="95849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odosurvey.com/blog/brinkerhoff-model-101-methodology-and-goals" TargetMode="External"/><Relationship Id="rId18" Type="http://schemas.openxmlformats.org/officeDocument/2006/relationships/hyperlink" Target="https://www.forbes.com/sites/serenitygibbons/2020/11/26/how-companies-are-adapting-to-" TargetMode="External"/><Relationship Id="rId26" Type="http://schemas.openxmlformats.org/officeDocument/2006/relationships/hyperlink" Target="https://www.hrzone.com/talent/development/the-importance-of-employee-motivation-in-training" TargetMode="External"/><Relationship Id="rId21" Type="http://schemas.openxmlformats.org/officeDocument/2006/relationships/hyperlink" Target="https://www.cipd.org/uk/knowledge/factsheets/learning-methods-factsheet/" TargetMode="External"/><Relationship Id="rId34" Type="http://schemas.openxmlformats.org/officeDocument/2006/relationships/hyperlink" Target="https://elitebusinessmagazine.co.uk/people/item/why-training-and-development-need-to-become-a-core-part-of-career-development" TargetMode="External"/><Relationship Id="rId7" Type="http://schemas.openxmlformats.org/officeDocument/2006/relationships/endnotes" Target="endnotes.xml"/><Relationship Id="rId12" Type="http://schemas.openxmlformats.org/officeDocument/2006/relationships/hyperlink" Target="https://corevalues.com/facilitation/the-benefits-of-facilitation-management/" TargetMode="External"/><Relationship Id="rId17" Type="http://schemas.openxmlformats.org/officeDocument/2006/relationships/hyperlink" Target="https://www.linkedin.com/pulse/facilitation-key-skill-ld-olaug-n%C3%B8rsterud-gardener/" TargetMode="External"/><Relationship Id="rId25" Type="http://schemas.openxmlformats.org/officeDocument/2006/relationships/hyperlink" Target="https://doi.org/10.1016/j.ijintrel.2008.11.002" TargetMode="External"/><Relationship Id="rId33" Type="http://schemas.openxmlformats.org/officeDocument/2006/relationships/hyperlink" Target="https://doi.org/10.1016/j.jwb.2007.02.002" TargetMode="External"/><Relationship Id="rId2" Type="http://schemas.openxmlformats.org/officeDocument/2006/relationships/numbering" Target="numbering.xml"/><Relationship Id="rId16" Type="http://schemas.openxmlformats.org/officeDocument/2006/relationships/hyperlink" Target="https://smallbusiness.chron.com/effects-training-employee-performance-39737.html" TargetMode="External"/><Relationship Id="rId20" Type="http://schemas.openxmlformats.org/officeDocument/2006/relationships/hyperlink" Target="https://www.cipd.org/uk/knowledge/factsheets/learning-needs-factsheet/#Preparing" TargetMode="External"/><Relationship Id="rId29" Type="http://schemas.openxmlformats.org/officeDocument/2006/relationships/hyperlink" Target="https://www.fmj.co.uk/skills-shortage-protecting-the-wellbeing-and-performance-of-staf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zone.com/community/blogs/blakebeus/how-investing-in-training-benefits-the-business" TargetMode="External"/><Relationship Id="rId24" Type="http://schemas.openxmlformats.org/officeDocument/2006/relationships/hyperlink" Target="https://www.linkedin.com/business/talent/blog/learning-and-development/best-way-to-use-" TargetMode="External"/><Relationship Id="rId32" Type="http://schemas.openxmlformats.org/officeDocument/2006/relationships/hyperlink" Target="https://doi.org/10.3389/fpsyg.2018.00313"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dapp.com/blog/why-learning-styles-are-important/" TargetMode="External"/><Relationship Id="rId23" Type="http://schemas.openxmlformats.org/officeDocument/2006/relationships/hyperlink" Target="https://builtin.com/company-culture/employee-development" TargetMode="External"/><Relationship Id="rId28" Type="http://schemas.openxmlformats.org/officeDocument/2006/relationships/hyperlink" Target="https://kitaboo.com/training-evaluation-evaluate-training-effectiveness-impact/" TargetMode="External"/><Relationship Id="rId36" Type="http://schemas.openxmlformats.org/officeDocument/2006/relationships/fontTable" Target="fontTable.xml"/><Relationship Id="rId10" Type="http://schemas.openxmlformats.org/officeDocument/2006/relationships/hyperlink" Target="https://www.trainingzone.co.uk/lead/culture/adapting-to-the-new-reality-flexible-training-for-flexible-workers" TargetMode="External"/><Relationship Id="rId19" Type="http://schemas.openxmlformats.org/officeDocument/2006/relationships/hyperlink" Target="https://www.inc.com/chad-halvorson/5-reasons-you-should-be-investing-in-employee-development.html" TargetMode="External"/><Relationship Id="rId31" Type="http://schemas.openxmlformats.org/officeDocument/2006/relationships/hyperlink" Target="https://trainingindustry.com/articles/content-development/how-culture-impacts-training-what-you-dont-know-can-hurt-you/" TargetMode="External"/><Relationship Id="rId4" Type="http://schemas.openxmlformats.org/officeDocument/2006/relationships/settings" Target="settings.xml"/><Relationship Id="rId9" Type="http://schemas.openxmlformats.org/officeDocument/2006/relationships/hyperlink" Target="https://innovationmanagement.se/2017/11/17/6-benefits-of-ongoing-employee-development/" TargetMode="External"/><Relationship Id="rId14" Type="http://schemas.openxmlformats.org/officeDocument/2006/relationships/hyperlink" Target="https://www.watershedlrs.com/blog/learning-evaluation/brinkerhoff-method/" TargetMode="External"/><Relationship Id="rId22" Type="http://schemas.openxmlformats.org/officeDocument/2006/relationships/hyperlink" Target="https://www.cipd.org/uk/knowledge/factsheets/evaluating-learning-factsheet/" TargetMode="External"/><Relationship Id="rId27" Type="http://schemas.openxmlformats.org/officeDocument/2006/relationships/hyperlink" Target="https://www.roffeypark.ac.uk/knowledge-and-learning-resources-hub/what-are-facilitation-skills-and-how-do-you-facilitate/" TargetMode="External"/><Relationship Id="rId30" Type="http://schemas.openxmlformats.org/officeDocument/2006/relationships/hyperlink" Target="https://ceoworld.biz/2021/03/31/the-influence-of-culture-on-learning-styles/" TargetMode="External"/><Relationship Id="rId35" Type="http://schemas.openxmlformats.org/officeDocument/2006/relationships/hyperlink" Target="https://mitsloan.mit.edu/ideas-made-to-matter/soft-skills-training-brings-substantial-returns-"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4EAB2-9A42-4EB5-A3B8-75EFEE6D7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5</Pages>
  <Words>1557</Words>
  <Characters>8878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Hudson</dc:creator>
  <cp:keywords/>
  <dc:description/>
  <cp:lastModifiedBy>Abbie Hudson</cp:lastModifiedBy>
  <cp:revision>37</cp:revision>
  <dcterms:created xsi:type="dcterms:W3CDTF">2023-08-04T10:29:00Z</dcterms:created>
  <dcterms:modified xsi:type="dcterms:W3CDTF">2023-08-04T12:54:00Z</dcterms:modified>
</cp:coreProperties>
</file>