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5E1E8B67" w:rsidR="00C558B0" w:rsidRDefault="00C558B0" w:rsidP="00594FAC">
      <w:pPr>
        <w:tabs>
          <w:tab w:val="left" w:pos="6540"/>
        </w:tabs>
        <w:spacing w:line="360" w:lineRule="auto"/>
        <w:rPr>
          <w:rFonts w:ascii="Arial" w:hAnsi="Arial" w:cs="Arial"/>
          <w:sz w:val="28"/>
          <w:szCs w:val="28"/>
        </w:rPr>
      </w:pPr>
      <w:r w:rsidRPr="00527A28">
        <w:rPr>
          <w:rFonts w:ascii="Arial" w:hAnsi="Arial" w:cs="Arial"/>
          <w:b/>
          <w:bCs/>
          <w:sz w:val="28"/>
          <w:szCs w:val="28"/>
        </w:rPr>
        <w:t>Student name</w:t>
      </w:r>
      <w:r w:rsidRPr="00527A28">
        <w:rPr>
          <w:rFonts w:ascii="Arial" w:hAnsi="Arial" w:cs="Arial"/>
          <w:sz w:val="28"/>
          <w:szCs w:val="28"/>
        </w:rPr>
        <w:t>:</w:t>
      </w:r>
      <w:r w:rsidR="00DA6BD1">
        <w:rPr>
          <w:rFonts w:ascii="Arial" w:hAnsi="Arial" w:cs="Arial"/>
          <w:sz w:val="28"/>
          <w:szCs w:val="28"/>
        </w:rPr>
        <w:t xml:space="preserve"> Rayssa Silva </w:t>
      </w:r>
    </w:p>
    <w:p w14:paraId="304B3F2C" w14:textId="77777777" w:rsidR="00D97723" w:rsidRPr="00527A28" w:rsidRDefault="00D97723" w:rsidP="00594FAC">
      <w:pPr>
        <w:tabs>
          <w:tab w:val="left" w:pos="6540"/>
        </w:tabs>
        <w:spacing w:line="360" w:lineRule="auto"/>
        <w:rPr>
          <w:rFonts w:ascii="Arial" w:hAnsi="Arial" w:cs="Arial"/>
          <w:sz w:val="28"/>
          <w:szCs w:val="28"/>
        </w:rPr>
      </w:pPr>
    </w:p>
    <w:p w14:paraId="18D88AE2" w14:textId="1903A677" w:rsidR="00C558B0" w:rsidRDefault="00C558B0" w:rsidP="00594FAC">
      <w:pPr>
        <w:tabs>
          <w:tab w:val="left" w:pos="6540"/>
        </w:tabs>
        <w:spacing w:line="360" w:lineRule="auto"/>
        <w:rPr>
          <w:rFonts w:ascii="Arial" w:hAnsi="Arial" w:cs="Arial"/>
          <w:sz w:val="28"/>
          <w:szCs w:val="28"/>
        </w:rPr>
      </w:pPr>
      <w:r w:rsidRPr="00527A28">
        <w:rPr>
          <w:rFonts w:ascii="Arial" w:hAnsi="Arial" w:cs="Arial"/>
          <w:b/>
          <w:bCs/>
          <w:sz w:val="28"/>
          <w:szCs w:val="28"/>
        </w:rPr>
        <w:t>Student ID</w:t>
      </w:r>
      <w:r w:rsidRPr="00527A28">
        <w:rPr>
          <w:rFonts w:ascii="Arial" w:hAnsi="Arial" w:cs="Arial"/>
          <w:sz w:val="28"/>
          <w:szCs w:val="28"/>
        </w:rPr>
        <w:t>:</w:t>
      </w:r>
      <w:r w:rsidR="00DA6BD1">
        <w:rPr>
          <w:rFonts w:ascii="Arial" w:hAnsi="Arial" w:cs="Arial"/>
          <w:sz w:val="28"/>
          <w:szCs w:val="28"/>
        </w:rPr>
        <w:t xml:space="preserve"> </w:t>
      </w:r>
      <w:r w:rsidR="00FA3C59" w:rsidRPr="00FA3C59">
        <w:rPr>
          <w:rFonts w:ascii="Arial" w:hAnsi="Arial" w:cs="Arial"/>
          <w:sz w:val="28"/>
          <w:szCs w:val="28"/>
        </w:rPr>
        <w:t>2417813</w:t>
      </w:r>
    </w:p>
    <w:p w14:paraId="4654C81C" w14:textId="77777777" w:rsidR="00C558B0" w:rsidRPr="00527A28" w:rsidRDefault="00C558B0" w:rsidP="00594FAC">
      <w:pPr>
        <w:tabs>
          <w:tab w:val="left" w:pos="6540"/>
        </w:tabs>
        <w:spacing w:line="360" w:lineRule="auto"/>
        <w:rPr>
          <w:rFonts w:ascii="Arial" w:hAnsi="Arial" w:cs="Arial"/>
          <w:sz w:val="28"/>
          <w:szCs w:val="28"/>
        </w:rPr>
      </w:pPr>
    </w:p>
    <w:p w14:paraId="3D8DA301" w14:textId="0D9F4626" w:rsidR="00C558B0" w:rsidRDefault="00C558B0" w:rsidP="00594FAC">
      <w:pPr>
        <w:tabs>
          <w:tab w:val="left" w:pos="6540"/>
        </w:tabs>
        <w:spacing w:line="360" w:lineRule="auto"/>
        <w:rPr>
          <w:rFonts w:ascii="Arial" w:hAnsi="Arial" w:cs="Arial"/>
          <w:b/>
          <w:bCs/>
          <w:sz w:val="28"/>
          <w:szCs w:val="28"/>
        </w:rPr>
      </w:pPr>
      <w:r w:rsidRPr="00527A28">
        <w:rPr>
          <w:rFonts w:ascii="Arial" w:hAnsi="Arial" w:cs="Arial"/>
          <w:b/>
          <w:bCs/>
          <w:sz w:val="28"/>
          <w:szCs w:val="28"/>
        </w:rPr>
        <w:t>Module name</w:t>
      </w:r>
      <w:r w:rsidRPr="00527A28">
        <w:rPr>
          <w:rFonts w:ascii="Arial" w:hAnsi="Arial" w:cs="Arial"/>
          <w:sz w:val="28"/>
          <w:szCs w:val="28"/>
        </w:rPr>
        <w:t xml:space="preserve">: </w:t>
      </w:r>
      <w:r w:rsidR="00887FBB" w:rsidRPr="00527A28">
        <w:rPr>
          <w:rFonts w:ascii="Arial" w:hAnsi="Arial" w:cs="Arial"/>
          <w:b/>
          <w:bCs/>
          <w:sz w:val="28"/>
          <w:szCs w:val="28"/>
        </w:rPr>
        <w:t>Principles of Health and Social Care Practice</w:t>
      </w:r>
    </w:p>
    <w:p w14:paraId="3FE92678" w14:textId="77777777" w:rsidR="00D97723" w:rsidRPr="00527A28" w:rsidRDefault="00D97723" w:rsidP="00594FAC">
      <w:pPr>
        <w:tabs>
          <w:tab w:val="left" w:pos="6540"/>
        </w:tabs>
        <w:spacing w:line="360" w:lineRule="auto"/>
        <w:rPr>
          <w:rFonts w:ascii="Arial" w:hAnsi="Arial" w:cs="Arial"/>
          <w:b/>
          <w:bCs/>
          <w:sz w:val="28"/>
          <w:szCs w:val="28"/>
        </w:rPr>
      </w:pPr>
    </w:p>
    <w:p w14:paraId="3E48CEF6" w14:textId="34265016" w:rsidR="00887FBB" w:rsidRDefault="00887FBB" w:rsidP="00594FAC">
      <w:pPr>
        <w:tabs>
          <w:tab w:val="left" w:pos="6540"/>
        </w:tabs>
        <w:spacing w:line="360" w:lineRule="auto"/>
        <w:rPr>
          <w:rFonts w:ascii="Arial" w:hAnsi="Arial" w:cs="Arial"/>
          <w:b/>
          <w:bCs/>
          <w:sz w:val="28"/>
          <w:szCs w:val="28"/>
        </w:rPr>
      </w:pPr>
      <w:r w:rsidRPr="00527A28">
        <w:rPr>
          <w:rFonts w:ascii="Arial" w:hAnsi="Arial" w:cs="Arial"/>
          <w:b/>
          <w:bCs/>
          <w:sz w:val="28"/>
          <w:szCs w:val="28"/>
        </w:rPr>
        <w:t>Component: 1</w:t>
      </w:r>
    </w:p>
    <w:p w14:paraId="4A612B61" w14:textId="77777777" w:rsidR="00D97723" w:rsidRPr="00527A28" w:rsidRDefault="00D97723" w:rsidP="00594FAC">
      <w:pPr>
        <w:tabs>
          <w:tab w:val="left" w:pos="6540"/>
        </w:tabs>
        <w:spacing w:line="360" w:lineRule="auto"/>
        <w:rPr>
          <w:rFonts w:ascii="Arial" w:hAnsi="Arial" w:cs="Arial"/>
          <w:sz w:val="28"/>
          <w:szCs w:val="28"/>
        </w:rPr>
      </w:pPr>
    </w:p>
    <w:p w14:paraId="7DB3261D" w14:textId="54EA5EAC" w:rsidR="00C558B0"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104264AC" w14:textId="77777777" w:rsidR="00D97723" w:rsidRDefault="00D97723" w:rsidP="00594FAC">
      <w:pPr>
        <w:tabs>
          <w:tab w:val="left" w:pos="6540"/>
        </w:tabs>
        <w:spacing w:line="360" w:lineRule="auto"/>
        <w:rPr>
          <w:rFonts w:ascii="Arial" w:hAnsi="Arial" w:cs="Arial"/>
          <w:b/>
          <w:bCs/>
          <w:sz w:val="28"/>
          <w:szCs w:val="28"/>
        </w:rPr>
      </w:pPr>
    </w:p>
    <w:p w14:paraId="3CF9138E" w14:textId="77777777" w:rsidR="00D97723" w:rsidRPr="00594FAC" w:rsidRDefault="00D97723" w:rsidP="00594FAC">
      <w:pPr>
        <w:tabs>
          <w:tab w:val="left" w:pos="6540"/>
        </w:tabs>
        <w:spacing w:line="360" w:lineRule="auto"/>
        <w:rPr>
          <w:rFonts w:ascii="Arial" w:hAnsi="Arial" w:cs="Arial"/>
          <w:sz w:val="28"/>
          <w:szCs w:val="28"/>
        </w:rPr>
      </w:pPr>
    </w:p>
    <w:p w14:paraId="5CCA350C" w14:textId="6C918448" w:rsidR="00C558B0"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527A28">
        <w:rPr>
          <w:rFonts w:ascii="Arial" w:hAnsi="Arial" w:cs="Arial"/>
          <w:sz w:val="28"/>
          <w:szCs w:val="28"/>
        </w:rPr>
        <w:t xml:space="preserve"> Rayssa Silva</w:t>
      </w:r>
    </w:p>
    <w:p w14:paraId="4C2A04E1" w14:textId="77777777" w:rsidR="00D97723" w:rsidRDefault="00D97723" w:rsidP="00594FAC">
      <w:pPr>
        <w:tabs>
          <w:tab w:val="left" w:pos="6540"/>
        </w:tabs>
        <w:spacing w:line="360" w:lineRule="auto"/>
        <w:rPr>
          <w:rFonts w:ascii="Arial" w:hAnsi="Arial" w:cs="Arial"/>
          <w:sz w:val="28"/>
          <w:szCs w:val="28"/>
        </w:rPr>
      </w:pPr>
    </w:p>
    <w:p w14:paraId="3103A1C5" w14:textId="77777777" w:rsidR="00D97723" w:rsidRDefault="00D97723" w:rsidP="00594FAC">
      <w:pPr>
        <w:tabs>
          <w:tab w:val="left" w:pos="6540"/>
        </w:tabs>
        <w:spacing w:line="360" w:lineRule="auto"/>
        <w:rPr>
          <w:rFonts w:ascii="Arial" w:hAnsi="Arial" w:cs="Arial"/>
          <w:sz w:val="28"/>
          <w:szCs w:val="28"/>
        </w:rPr>
      </w:pPr>
    </w:p>
    <w:p w14:paraId="08C51354" w14:textId="77777777" w:rsidR="00D97723" w:rsidRPr="00594FAC" w:rsidRDefault="00D97723" w:rsidP="00594FAC">
      <w:pPr>
        <w:tabs>
          <w:tab w:val="left" w:pos="6540"/>
        </w:tabs>
        <w:spacing w:line="360" w:lineRule="auto"/>
        <w:rPr>
          <w:rFonts w:ascii="Arial" w:hAnsi="Arial" w:cs="Arial"/>
          <w:sz w:val="28"/>
          <w:szCs w:val="28"/>
        </w:rPr>
      </w:pP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001571D6" w14:textId="51BCD956" w:rsidR="000D7603" w:rsidRPr="000D7603" w:rsidRDefault="006D2F2D" w:rsidP="00594FAC">
      <w:pPr>
        <w:spacing w:line="360" w:lineRule="auto"/>
        <w:rPr>
          <w:rFonts w:ascii="Arial" w:hAnsi="Arial" w:cs="Arial"/>
        </w:rPr>
      </w:pPr>
      <w:r w:rsidRPr="00594FAC">
        <w:rPr>
          <w:rFonts w:ascii="Arial" w:hAnsi="Arial" w:cs="Arial"/>
        </w:rPr>
        <w:br w:type="page"/>
      </w:r>
    </w:p>
    <w:p w14:paraId="2BB1CE40" w14:textId="1219BA86" w:rsidR="00B21FE6"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4140A5DD" w14:textId="77777777" w:rsidR="00D97723" w:rsidRDefault="00D97723" w:rsidP="00594FAC">
      <w:pPr>
        <w:spacing w:line="360" w:lineRule="auto"/>
        <w:rPr>
          <w:rFonts w:ascii="Arial" w:hAnsi="Arial" w:cs="Arial"/>
          <w:b/>
          <w:bCs/>
        </w:rPr>
      </w:pPr>
    </w:p>
    <w:p w14:paraId="5B756155" w14:textId="0314A427" w:rsidR="00D97723" w:rsidRPr="009258DC" w:rsidRDefault="009258DC" w:rsidP="00594FAC">
      <w:pPr>
        <w:spacing w:line="360" w:lineRule="auto"/>
        <w:rPr>
          <w:rFonts w:ascii="Arial" w:hAnsi="Arial" w:cs="Arial"/>
          <w:b/>
          <w:bCs/>
        </w:rPr>
      </w:pPr>
      <w:r w:rsidRPr="009258DC">
        <w:rPr>
          <w:rFonts w:ascii="Arial" w:hAnsi="Arial" w:cs="Arial"/>
        </w:rPr>
        <w:t>Reflection on the Importance of Principles of Health and Social Care</w:t>
      </w:r>
      <w:r w:rsidR="00D97723" w:rsidRPr="009258DC">
        <w:rPr>
          <w:rFonts w:ascii="Arial" w:hAnsi="Arial" w:cs="Arial"/>
        </w:rPr>
        <w:t>………………………………</w:t>
      </w:r>
      <w:r>
        <w:rPr>
          <w:rFonts w:ascii="Arial" w:hAnsi="Arial" w:cs="Arial"/>
        </w:rPr>
        <w:t>………………………</w:t>
      </w:r>
      <w:r w:rsidR="00D97723" w:rsidRPr="009258DC">
        <w:rPr>
          <w:rFonts w:ascii="Arial" w:hAnsi="Arial" w:cs="Arial"/>
        </w:rPr>
        <w:t xml:space="preserve"> 03</w:t>
      </w:r>
    </w:p>
    <w:p w14:paraId="088B1219" w14:textId="77777777" w:rsidR="009258DC" w:rsidRDefault="009258DC" w:rsidP="00594FAC">
      <w:pPr>
        <w:spacing w:line="360" w:lineRule="auto"/>
        <w:rPr>
          <w:rFonts w:ascii="Arial" w:hAnsi="Arial" w:cs="Arial"/>
        </w:rPr>
      </w:pPr>
      <w:r w:rsidRPr="009258DC">
        <w:rPr>
          <w:rFonts w:ascii="Arial" w:hAnsi="Arial" w:cs="Arial"/>
        </w:rPr>
        <w:t>Practical Examples of Concepts in Practice</w:t>
      </w:r>
    </w:p>
    <w:p w14:paraId="47BF477A" w14:textId="4D674A2E" w:rsidR="00D97723" w:rsidRDefault="009258DC" w:rsidP="00594FAC">
      <w:pPr>
        <w:spacing w:line="360" w:lineRule="auto"/>
        <w:rPr>
          <w:rFonts w:ascii="Arial" w:hAnsi="Arial" w:cs="Arial"/>
          <w:b/>
          <w:bCs/>
        </w:rPr>
      </w:pPr>
      <w:r>
        <w:rPr>
          <w:rFonts w:ascii="Arial" w:hAnsi="Arial" w:cs="Arial"/>
        </w:rPr>
        <w:t>…………………………………..</w:t>
      </w:r>
      <w:r w:rsidR="00D97723" w:rsidRPr="009258DC">
        <w:rPr>
          <w:rFonts w:ascii="Arial" w:hAnsi="Arial" w:cs="Arial"/>
        </w:rPr>
        <w:t>………………………. 04</w:t>
      </w:r>
    </w:p>
    <w:p w14:paraId="78E69711" w14:textId="7B092539" w:rsidR="00D97723" w:rsidRPr="009258DC" w:rsidRDefault="009258DC" w:rsidP="00594FAC">
      <w:pPr>
        <w:spacing w:line="360" w:lineRule="auto"/>
        <w:rPr>
          <w:rFonts w:ascii="Arial" w:hAnsi="Arial" w:cs="Arial"/>
        </w:rPr>
      </w:pPr>
      <w:r w:rsidRPr="009258DC">
        <w:rPr>
          <w:rFonts w:ascii="Arial" w:hAnsi="Arial" w:cs="Arial"/>
        </w:rPr>
        <w:t>Self-Reflection as a Health and Social Care Professional</w:t>
      </w:r>
      <w:r w:rsidRPr="009258DC">
        <w:rPr>
          <w:rFonts w:ascii="Arial" w:hAnsi="Arial" w:cs="Arial"/>
        </w:rPr>
        <w:t xml:space="preserve"> </w:t>
      </w:r>
      <w:r w:rsidR="00D97723" w:rsidRPr="009258DC">
        <w:rPr>
          <w:rFonts w:ascii="Arial" w:hAnsi="Arial" w:cs="Arial"/>
        </w:rPr>
        <w:t>……………………………………</w:t>
      </w:r>
      <w:r>
        <w:rPr>
          <w:rFonts w:ascii="Arial" w:hAnsi="Arial" w:cs="Arial"/>
        </w:rPr>
        <w:t>………………………</w:t>
      </w:r>
      <w:r w:rsidR="009F7E7D" w:rsidRPr="009258DC">
        <w:rPr>
          <w:rFonts w:ascii="Arial" w:hAnsi="Arial" w:cs="Arial"/>
        </w:rPr>
        <w:t xml:space="preserve"> 05</w:t>
      </w:r>
    </w:p>
    <w:p w14:paraId="7CEC7736" w14:textId="5DF68515" w:rsidR="009F7E7D" w:rsidRDefault="009F7E7D" w:rsidP="00594FAC">
      <w:pPr>
        <w:spacing w:line="360" w:lineRule="auto"/>
        <w:rPr>
          <w:rFonts w:ascii="Arial" w:hAnsi="Arial" w:cs="Arial"/>
        </w:rPr>
      </w:pPr>
      <w:r w:rsidRPr="009258DC">
        <w:rPr>
          <w:rFonts w:ascii="Arial" w:hAnsi="Arial" w:cs="Arial"/>
        </w:rPr>
        <w:t>Conclusion ……………………………</w:t>
      </w:r>
      <w:r w:rsidR="009258DC">
        <w:rPr>
          <w:rFonts w:ascii="Arial" w:hAnsi="Arial" w:cs="Arial"/>
        </w:rPr>
        <w:t>……………</w:t>
      </w:r>
      <w:proofErr w:type="gramStart"/>
      <w:r w:rsidR="009258DC">
        <w:rPr>
          <w:rFonts w:ascii="Arial" w:hAnsi="Arial" w:cs="Arial"/>
        </w:rPr>
        <w:t>…..</w:t>
      </w:r>
      <w:proofErr w:type="gramEnd"/>
      <w:r w:rsidRPr="009258DC">
        <w:rPr>
          <w:rFonts w:ascii="Arial" w:hAnsi="Arial" w:cs="Arial"/>
        </w:rPr>
        <w:t xml:space="preserve"> 07</w:t>
      </w:r>
    </w:p>
    <w:p w14:paraId="51821D86" w14:textId="2EF20B80" w:rsidR="009258DC" w:rsidRPr="009258DC" w:rsidRDefault="009258DC" w:rsidP="00594FAC">
      <w:pPr>
        <w:spacing w:line="360" w:lineRule="auto"/>
        <w:rPr>
          <w:rFonts w:ascii="Arial" w:hAnsi="Arial" w:cs="Arial"/>
        </w:rPr>
      </w:pPr>
      <w:r>
        <w:rPr>
          <w:rFonts w:ascii="Arial" w:hAnsi="Arial" w:cs="Arial"/>
        </w:rPr>
        <w:t>References …………………………………………</w:t>
      </w:r>
      <w:proofErr w:type="gramStart"/>
      <w:r>
        <w:rPr>
          <w:rFonts w:ascii="Arial" w:hAnsi="Arial" w:cs="Arial"/>
        </w:rPr>
        <w:t>…..</w:t>
      </w:r>
      <w:proofErr w:type="gramEnd"/>
      <w:r>
        <w:rPr>
          <w:rFonts w:ascii="Arial" w:hAnsi="Arial" w:cs="Arial"/>
        </w:rPr>
        <w:t xml:space="preserve"> 09</w:t>
      </w:r>
    </w:p>
    <w:p w14:paraId="46324C18" w14:textId="77777777" w:rsidR="000D7603" w:rsidRDefault="000D7603" w:rsidP="00594FAC">
      <w:pPr>
        <w:spacing w:line="360" w:lineRule="auto"/>
        <w:rPr>
          <w:rFonts w:ascii="Arial" w:hAnsi="Arial" w:cs="Arial"/>
          <w:b/>
          <w:bCs/>
        </w:rPr>
      </w:pPr>
    </w:p>
    <w:p w14:paraId="52CFAA92" w14:textId="77777777" w:rsidR="000D7603" w:rsidRDefault="000D7603" w:rsidP="00594FAC">
      <w:pPr>
        <w:spacing w:line="360" w:lineRule="auto"/>
        <w:rPr>
          <w:rFonts w:ascii="Arial" w:hAnsi="Arial" w:cs="Arial"/>
          <w:b/>
          <w:bCs/>
        </w:rPr>
      </w:pPr>
    </w:p>
    <w:p w14:paraId="4C357B8B" w14:textId="77777777" w:rsidR="000D7603" w:rsidRDefault="000D7603" w:rsidP="00594FAC">
      <w:pPr>
        <w:spacing w:line="360" w:lineRule="auto"/>
        <w:rPr>
          <w:rFonts w:ascii="Arial" w:hAnsi="Arial" w:cs="Arial"/>
          <w:b/>
          <w:bCs/>
        </w:rPr>
      </w:pPr>
    </w:p>
    <w:p w14:paraId="0FDC1C8D" w14:textId="77777777" w:rsidR="000D7603" w:rsidRDefault="000D7603" w:rsidP="00594FAC">
      <w:pPr>
        <w:spacing w:line="360" w:lineRule="auto"/>
        <w:rPr>
          <w:rFonts w:ascii="Arial" w:hAnsi="Arial" w:cs="Arial"/>
          <w:b/>
          <w:bCs/>
        </w:rPr>
      </w:pPr>
    </w:p>
    <w:p w14:paraId="55FA1298" w14:textId="77777777" w:rsidR="000D7603" w:rsidRDefault="000D7603" w:rsidP="00594FAC">
      <w:pPr>
        <w:spacing w:line="360" w:lineRule="auto"/>
        <w:rPr>
          <w:rFonts w:ascii="Arial" w:hAnsi="Arial" w:cs="Arial"/>
          <w:b/>
          <w:bCs/>
        </w:rPr>
      </w:pPr>
    </w:p>
    <w:p w14:paraId="4F3DF37C" w14:textId="77777777" w:rsidR="000D7603" w:rsidRDefault="000D7603" w:rsidP="00594FAC">
      <w:pPr>
        <w:spacing w:line="360" w:lineRule="auto"/>
        <w:rPr>
          <w:rFonts w:ascii="Arial" w:hAnsi="Arial" w:cs="Arial"/>
          <w:b/>
          <w:bCs/>
        </w:rPr>
      </w:pPr>
    </w:p>
    <w:p w14:paraId="5FB6A59F" w14:textId="77777777" w:rsidR="000D7603" w:rsidRDefault="000D7603" w:rsidP="00594FAC">
      <w:pPr>
        <w:spacing w:line="360" w:lineRule="auto"/>
        <w:rPr>
          <w:rFonts w:ascii="Arial" w:hAnsi="Arial" w:cs="Arial"/>
          <w:b/>
          <w:bCs/>
        </w:rPr>
      </w:pPr>
    </w:p>
    <w:p w14:paraId="027A0A54" w14:textId="77777777" w:rsidR="000D7603" w:rsidRDefault="000D7603" w:rsidP="00594FAC">
      <w:pPr>
        <w:spacing w:line="360" w:lineRule="auto"/>
        <w:rPr>
          <w:rFonts w:ascii="Arial" w:hAnsi="Arial" w:cs="Arial"/>
          <w:b/>
          <w:bCs/>
        </w:rPr>
      </w:pPr>
    </w:p>
    <w:p w14:paraId="34EDC6A4" w14:textId="77777777" w:rsidR="000D7603" w:rsidRDefault="000D7603" w:rsidP="00594FAC">
      <w:pPr>
        <w:spacing w:line="360" w:lineRule="auto"/>
        <w:rPr>
          <w:rFonts w:ascii="Arial" w:hAnsi="Arial" w:cs="Arial"/>
          <w:b/>
          <w:bCs/>
        </w:rPr>
      </w:pPr>
    </w:p>
    <w:p w14:paraId="55D0F6EF" w14:textId="77777777" w:rsidR="000D7603" w:rsidRDefault="000D7603" w:rsidP="00594FAC">
      <w:pPr>
        <w:spacing w:line="360" w:lineRule="auto"/>
        <w:rPr>
          <w:rFonts w:ascii="Arial" w:hAnsi="Arial" w:cs="Arial"/>
          <w:b/>
          <w:bCs/>
        </w:rPr>
      </w:pPr>
    </w:p>
    <w:p w14:paraId="69BBA584" w14:textId="77777777" w:rsidR="000D7603" w:rsidRDefault="000D7603" w:rsidP="00594FAC">
      <w:pPr>
        <w:spacing w:line="360" w:lineRule="auto"/>
        <w:rPr>
          <w:rFonts w:ascii="Arial" w:hAnsi="Arial" w:cs="Arial"/>
          <w:b/>
          <w:bCs/>
        </w:rPr>
      </w:pPr>
    </w:p>
    <w:p w14:paraId="7AF96EE6" w14:textId="77777777" w:rsidR="000D7603" w:rsidRDefault="000D7603" w:rsidP="00594FAC">
      <w:pPr>
        <w:spacing w:line="360" w:lineRule="auto"/>
        <w:rPr>
          <w:rFonts w:ascii="Arial" w:hAnsi="Arial" w:cs="Arial"/>
          <w:b/>
          <w:bCs/>
        </w:rPr>
      </w:pPr>
    </w:p>
    <w:p w14:paraId="4D619A53" w14:textId="77777777" w:rsidR="000D7603" w:rsidRPr="00594FAC" w:rsidRDefault="000D7603" w:rsidP="00594FAC">
      <w:pPr>
        <w:spacing w:line="360" w:lineRule="auto"/>
        <w:rPr>
          <w:rFonts w:ascii="Arial" w:hAnsi="Arial" w:cs="Arial"/>
          <w:b/>
          <w:bCs/>
        </w:rPr>
      </w:pPr>
    </w:p>
    <w:p w14:paraId="529D6F14" w14:textId="77777777" w:rsidR="00B21FE6" w:rsidRPr="00594FAC" w:rsidRDefault="00B21FE6" w:rsidP="00594FAC">
      <w:pPr>
        <w:spacing w:line="360" w:lineRule="auto"/>
        <w:rPr>
          <w:rFonts w:ascii="Arial" w:hAnsi="Arial" w:cs="Arial"/>
          <w:sz w:val="22"/>
        </w:rPr>
      </w:pPr>
    </w:p>
    <w:p w14:paraId="38907C43" w14:textId="781C7D09" w:rsidR="009258DC" w:rsidRDefault="009258DC" w:rsidP="009258DC">
      <w:pPr>
        <w:spacing w:line="360" w:lineRule="auto"/>
        <w:rPr>
          <w:rFonts w:ascii="Arial" w:hAnsi="Arial" w:cs="Arial"/>
          <w:sz w:val="22"/>
        </w:rPr>
      </w:pPr>
    </w:p>
    <w:p w14:paraId="299734B0" w14:textId="77777777" w:rsidR="009258DC" w:rsidRPr="009258DC" w:rsidRDefault="009258DC" w:rsidP="009258DC">
      <w:pPr>
        <w:spacing w:line="360" w:lineRule="auto"/>
        <w:rPr>
          <w:rFonts w:ascii="Arial" w:hAnsi="Arial" w:cs="Arial"/>
          <w:sz w:val="22"/>
        </w:rPr>
      </w:pPr>
    </w:p>
    <w:p w14:paraId="607C0EA6" w14:textId="77777777" w:rsidR="009258DC" w:rsidRDefault="009258DC" w:rsidP="000D7603">
      <w:pPr>
        <w:spacing w:after="0" w:line="360" w:lineRule="auto"/>
        <w:rPr>
          <w:rFonts w:ascii="Arial" w:eastAsia="Arial" w:hAnsi="Arial" w:cs="Arial"/>
          <w:b/>
          <w:bCs/>
          <w:szCs w:val="24"/>
        </w:rPr>
      </w:pPr>
      <w:r w:rsidRPr="009258DC">
        <w:rPr>
          <w:rFonts w:ascii="Arial" w:eastAsia="Arial" w:hAnsi="Arial" w:cs="Arial"/>
          <w:b/>
          <w:bCs/>
          <w:szCs w:val="24"/>
        </w:rPr>
        <w:t>Reflection on the Importance of Principles of Health and Social Care</w:t>
      </w:r>
      <w:r w:rsidRPr="009258DC">
        <w:rPr>
          <w:rFonts w:ascii="Arial" w:eastAsia="Arial" w:hAnsi="Arial" w:cs="Arial"/>
          <w:b/>
          <w:bCs/>
          <w:szCs w:val="24"/>
        </w:rPr>
        <w:t xml:space="preserve"> </w:t>
      </w:r>
    </w:p>
    <w:p w14:paraId="5E58E7FF" w14:textId="77777777" w:rsidR="009258DC" w:rsidRDefault="009258DC" w:rsidP="000D7603">
      <w:pPr>
        <w:spacing w:after="0" w:line="360" w:lineRule="auto"/>
        <w:rPr>
          <w:rFonts w:ascii="Arial" w:eastAsia="Arial" w:hAnsi="Arial" w:cs="Arial"/>
          <w:b/>
          <w:bCs/>
          <w:szCs w:val="24"/>
        </w:rPr>
      </w:pPr>
    </w:p>
    <w:p w14:paraId="30A27A90" w14:textId="5FD3EEC6" w:rsidR="000D7603" w:rsidRPr="000D7603" w:rsidRDefault="000D7603" w:rsidP="000D7603">
      <w:pPr>
        <w:spacing w:after="0" w:line="360" w:lineRule="auto"/>
        <w:rPr>
          <w:rFonts w:ascii="Arial" w:eastAsia="Arial" w:hAnsi="Arial" w:cs="Arial"/>
          <w:b/>
          <w:bCs/>
          <w:szCs w:val="24"/>
        </w:rPr>
      </w:pPr>
      <w:r w:rsidRPr="000D7603">
        <w:rPr>
          <w:rFonts w:ascii="Arial" w:eastAsia="Arial" w:hAnsi="Arial" w:cs="Arial"/>
          <w:szCs w:val="24"/>
        </w:rPr>
        <w:t>Person-centred care is a central principle within health and social care, emphasising the importance of placing the individual at the centre of all decisions regarding their care. This approach involves recognising and responding to each person’s unique preferences, values, and needs, ensuring that care is tailored appropriately. According to The Health Foundation (2016), person-centred care promotes shared decision-making and empowers individuals to take an active role in managing their health and wellbeing. This is essential, as it supports autonomy, increases patient satisfaction, and contributes to improved health outcomes. By involving individuals in their care, professionals can build trust and provide more responsive and effective services.</w:t>
      </w:r>
    </w:p>
    <w:p w14:paraId="6444B86F" w14:textId="77777777"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t>The importance of person-centred care is widely recognised in improving both patient outcomes and the overall quality of care. It supports independence by encouraging individuals to actively participate in decision-making processes. For example, O’Leary et al. (2016) found that patient-centred practices increase engagement and improve decision-making abilities. This is significant because individuals are more likely to feel satisfied and confident in healthcare services when they are informed and involved. In the UK, the Care Act 2014 reinforces this principle by placing a duty on professionals to promote wellbeing, including dignity, control, and personal choice. Therefore, person-centred care plays a key role in delivering effective and high-quality health and social care services.</w:t>
      </w:r>
    </w:p>
    <w:p w14:paraId="3B645729" w14:textId="69DCF8D5"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t xml:space="preserve">Partnership working is another essential principle, involving collaboration between professionals, organisations, and service users to provide coordinated care. Glasby and Dickinson (2014) describe partnership working as a key component of integrated care, allowing services to work together to meet complex needs. This is particularly important as many individuals require support from multiple services, including healthcare, social care, and voluntary organisations. Effective partnership working improves communication, reduces duplication, and ensures continuity of care. The Health and Care Act 2022 further </w:t>
      </w:r>
      <w:r w:rsidRPr="000D7603">
        <w:rPr>
          <w:rFonts w:ascii="Arial" w:eastAsia="Arial" w:hAnsi="Arial" w:cs="Arial"/>
          <w:szCs w:val="24"/>
        </w:rPr>
        <w:t>support</w:t>
      </w:r>
      <w:r w:rsidRPr="000D7603">
        <w:rPr>
          <w:rFonts w:ascii="Arial" w:eastAsia="Arial" w:hAnsi="Arial" w:cs="Arial"/>
          <w:szCs w:val="24"/>
        </w:rPr>
        <w:t xml:space="preserve"> this approach by promoting integrated care systems in the UK. As a result, partnership working is essential for improving outcomes and delivering safe and effective care.</w:t>
      </w:r>
    </w:p>
    <w:p w14:paraId="13709BC2" w14:textId="77777777"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lastRenderedPageBreak/>
        <w:t>Ethical practice is also fundamental in health and social care, guiding professionals to act in the best interests of individuals while maintaining dignity, respect, and safety. Key ethical principles include autonomy, beneficence, non-maleficence, and justice. These principles support decision-making and ensure that individuals are treated fairly and respectfully. Ethical responsibilities also include addressing poor practice; for example, whistleblowing is essential in safeguarding individuals (Ash, 2013). Professional standards, such as those set by regulatory bodies, require practitioners to maintain confidentiality, integrity, and accountability. Therefore, ethical practice is both a moral and legal requirement that supports high-quality care.</w:t>
      </w:r>
    </w:p>
    <w:p w14:paraId="00EE015D" w14:textId="77777777" w:rsidR="00AF39E7" w:rsidRDefault="00AF39E7" w:rsidP="00A11336">
      <w:pPr>
        <w:spacing w:after="0" w:line="360" w:lineRule="auto"/>
        <w:rPr>
          <w:rFonts w:ascii="Arial" w:eastAsia="Arial" w:hAnsi="Arial" w:cs="Arial"/>
          <w:szCs w:val="24"/>
        </w:rPr>
      </w:pPr>
    </w:p>
    <w:p w14:paraId="269892CF" w14:textId="77777777" w:rsidR="009258DC" w:rsidRPr="009258DC" w:rsidRDefault="009258DC" w:rsidP="009258DC">
      <w:pPr>
        <w:spacing w:line="360" w:lineRule="auto"/>
        <w:rPr>
          <w:rFonts w:ascii="Arial" w:hAnsi="Arial" w:cs="Arial"/>
          <w:b/>
          <w:bCs/>
        </w:rPr>
      </w:pPr>
      <w:r w:rsidRPr="009258DC">
        <w:rPr>
          <w:rFonts w:ascii="Arial" w:hAnsi="Arial" w:cs="Arial"/>
          <w:b/>
          <w:bCs/>
        </w:rPr>
        <w:t>Practical Examples of Concepts in Practice</w:t>
      </w:r>
    </w:p>
    <w:p w14:paraId="365B75F2" w14:textId="77777777" w:rsidR="002279FE" w:rsidRDefault="002279FE" w:rsidP="00A11336">
      <w:pPr>
        <w:spacing w:after="0" w:line="360" w:lineRule="auto"/>
        <w:rPr>
          <w:rFonts w:ascii="Arial" w:eastAsia="Arial" w:hAnsi="Arial" w:cs="Arial"/>
          <w:szCs w:val="24"/>
        </w:rPr>
      </w:pPr>
    </w:p>
    <w:p w14:paraId="3AE78EB7" w14:textId="77777777"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t>A service user living in a highly disorganised home environment experienced significant difficulties in managing daily routines and completing everyday tasks. The presence of excessive clutter created a sense of overwhelm, making it difficult to focus and locate essential items. This negatively affected the individual’s productivity and overall well-being. These challenges were particularly evident in tasks requiring sustained attention, leading to increased frustration and emotional distress. Research suggests that cluttered environments are associated with increased stress and emotional reactivity, as individuals may struggle to regulate their responses to environmental stimuli (Crone and Norberg, 2018). This highlights the impact that the physical environment can have on mental well-being and daily functioning.</w:t>
      </w:r>
    </w:p>
    <w:p w14:paraId="605AD713" w14:textId="77777777"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t>The support provided was guided by a person-centred approach, ensuring that the individual’s needs, preferences, and routines were considered throughout the process. Rather than applying a standardised method, the intervention was tailored to the individual’s lifestyle and specific challenges. The service user was actively involved in decision-making, including how items were organised and accessed, which promoted a sense of control. This is important, as shared decision-making improves engagement and satisfaction (Eliacin et al., 2015). In addition, individualised care has been shown to improve outcomes by adapting interventions to personal needs (Charalambous et al., 2010). This demonstrates how person-centred care supports autonomy and enhances the effectiveness of support.</w:t>
      </w:r>
    </w:p>
    <w:p w14:paraId="17F9D084" w14:textId="77777777"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lastRenderedPageBreak/>
        <w:t>Partnership working was also relevant in this case, as the individual’s needs extended beyond environmental organisation. Collaboration with professionals such as psychologists could support both the emotional and behavioural aspects of disorganisation. Evidence shows that interprofessional collaboration improves communication, coordination, and overall outcomes (Reeves et al., 2017). In addition, the physical environment plays a role in supporting mental health interventions and daily functioning (Harrison et al., 2016). Therefore, combining environmental and psychological support can lead to more effective outcomes, while lack of collaboration may result in fragmented care.</w:t>
      </w:r>
    </w:p>
    <w:p w14:paraId="65C11EE9" w14:textId="77777777" w:rsidR="000D7603" w:rsidRPr="000D7603" w:rsidRDefault="000D7603" w:rsidP="000D7603">
      <w:pPr>
        <w:spacing w:after="0" w:line="360" w:lineRule="auto"/>
        <w:rPr>
          <w:rFonts w:ascii="Arial" w:eastAsia="Arial" w:hAnsi="Arial" w:cs="Arial"/>
          <w:szCs w:val="24"/>
        </w:rPr>
      </w:pPr>
      <w:r w:rsidRPr="000D7603">
        <w:rPr>
          <w:rFonts w:ascii="Arial" w:eastAsia="Arial" w:hAnsi="Arial" w:cs="Arial"/>
          <w:szCs w:val="24"/>
        </w:rPr>
        <w:t>Ethical practice was maintained throughout the intervention by ensuring that the individual was treated with dignity, respect, and sensitivity. As the support took place in the individual’s home, it was essential to maintain confidentiality and respect personal space. A non-judgemental approach was used, recognising that the individual may feel vulnerable about their living conditions. Evidence highlights that dignity, privacy, and respect are essential in building trust and improving care experiences (Bagnasco et al., 2020). This demonstrates that ethical practice plays a key role in delivering safe and person-centred care.</w:t>
      </w:r>
    </w:p>
    <w:p w14:paraId="64475599" w14:textId="77777777" w:rsidR="002279FE" w:rsidRPr="002279FE" w:rsidRDefault="002279FE" w:rsidP="00A11336">
      <w:pPr>
        <w:spacing w:after="0" w:line="360" w:lineRule="auto"/>
        <w:rPr>
          <w:rFonts w:ascii="Arial" w:eastAsia="Arial" w:hAnsi="Arial" w:cs="Arial"/>
          <w:szCs w:val="24"/>
        </w:rPr>
      </w:pPr>
    </w:p>
    <w:p w14:paraId="2863374C" w14:textId="77777777" w:rsidR="009258DC" w:rsidRPr="009258DC" w:rsidRDefault="009258DC" w:rsidP="000D7603">
      <w:pPr>
        <w:spacing w:line="360" w:lineRule="auto"/>
        <w:ind w:right="248"/>
        <w:rPr>
          <w:rFonts w:ascii="Arial" w:hAnsi="Arial" w:cs="Arial"/>
          <w:b/>
          <w:bCs/>
        </w:rPr>
      </w:pPr>
      <w:r w:rsidRPr="009258DC">
        <w:rPr>
          <w:rFonts w:ascii="Arial" w:hAnsi="Arial" w:cs="Arial"/>
          <w:b/>
          <w:bCs/>
        </w:rPr>
        <w:t xml:space="preserve">Self-Reflection as a Health and Social Care Professional </w:t>
      </w:r>
    </w:p>
    <w:p w14:paraId="29D12538" w14:textId="2E34530F" w:rsidR="000D7603" w:rsidRPr="000D7603" w:rsidRDefault="000D7603" w:rsidP="000D7603">
      <w:pPr>
        <w:spacing w:line="360" w:lineRule="auto"/>
        <w:ind w:right="248"/>
        <w:rPr>
          <w:rFonts w:ascii="Arial" w:eastAsia="Arial" w:hAnsi="Arial" w:cs="Arial"/>
          <w:szCs w:val="24"/>
        </w:rPr>
      </w:pPr>
      <w:r w:rsidRPr="000D7603">
        <w:rPr>
          <w:rFonts w:ascii="Arial" w:eastAsia="Arial" w:hAnsi="Arial" w:cs="Arial"/>
          <w:szCs w:val="24"/>
        </w:rPr>
        <w:t>Through my experience as a personal organiser, I have developed a clearer understanding of how the home environment can influence an individual’s well-being and daily functioning. This has helped me recognise the importance of applying key principles of health and social care, including person-centred care, partnership working, and ethical practice. A holistic approach is essential, as it considers both environmental and personal factors that affect well-being (European Commission, 2015). In addition, environmental design can support mental health and improve quality of life (Calvo and Peters, 2016). This experience has shown me that effective support requires an understanding of both practical and emotional needs.</w:t>
      </w:r>
    </w:p>
    <w:p w14:paraId="578D94F5" w14:textId="77777777" w:rsidR="000D7603" w:rsidRPr="000D7603" w:rsidRDefault="000D7603" w:rsidP="000D7603">
      <w:pPr>
        <w:spacing w:line="360" w:lineRule="auto"/>
        <w:ind w:right="248"/>
        <w:rPr>
          <w:rFonts w:ascii="Arial" w:eastAsia="Arial" w:hAnsi="Arial" w:cs="Arial"/>
          <w:szCs w:val="24"/>
        </w:rPr>
      </w:pPr>
      <w:r w:rsidRPr="000D7603">
        <w:rPr>
          <w:rFonts w:ascii="Arial" w:eastAsia="Arial" w:hAnsi="Arial" w:cs="Arial"/>
          <w:szCs w:val="24"/>
        </w:rPr>
        <w:t xml:space="preserve">Reflecting on the case study, I recognise that person-centred care was essential in promoting autonomy and independence. Involving the individual in decisions improved their engagement and sense of control. Research supports this, showing that person-centred environments enhance autonomy (van Loon et al., 2023). </w:t>
      </w:r>
      <w:r w:rsidRPr="000D7603">
        <w:rPr>
          <w:rFonts w:ascii="Arial" w:eastAsia="Arial" w:hAnsi="Arial" w:cs="Arial"/>
          <w:szCs w:val="24"/>
        </w:rPr>
        <w:lastRenderedPageBreak/>
        <w:t>However, I have realised that I need to improve how I explore individuals’ preferences in greater depth. This links to Maslow’s Hierarchy of Needs, which highlights the importance of meeting both basic and psychological needs (Jackson et al., 2014). In my future practice, I will focus more on understanding emotional as well as physical needs to provide more effective support.</w:t>
      </w:r>
    </w:p>
    <w:p w14:paraId="6D985D02" w14:textId="77777777" w:rsidR="000D7603" w:rsidRPr="000D7603" w:rsidRDefault="000D7603" w:rsidP="000D7603">
      <w:pPr>
        <w:spacing w:line="360" w:lineRule="auto"/>
        <w:ind w:right="248"/>
        <w:rPr>
          <w:rFonts w:ascii="Arial" w:eastAsia="Arial" w:hAnsi="Arial" w:cs="Arial"/>
          <w:szCs w:val="24"/>
        </w:rPr>
      </w:pPr>
      <w:r w:rsidRPr="000D7603">
        <w:rPr>
          <w:rFonts w:ascii="Arial" w:eastAsia="Arial" w:hAnsi="Arial" w:cs="Arial"/>
          <w:szCs w:val="24"/>
        </w:rPr>
        <w:t>This experience has also highlighted the importance of partnership working. I currently work independently, which I now recognise as a limitation. Evidence shows that collaboration improves communication and outcomes (Reeves et al., 2019). Involving professionals such as psychologists could provide more comprehensive support. This aligns with the Health and Care Act 2022, which promotes integrated care. In the future, I aim to develop my communication skills and work more collaboratively with other professionals.</w:t>
      </w:r>
    </w:p>
    <w:p w14:paraId="0935060C" w14:textId="77777777" w:rsidR="000D7603" w:rsidRPr="000D7603" w:rsidRDefault="000D7603" w:rsidP="000D7603">
      <w:pPr>
        <w:spacing w:line="360" w:lineRule="auto"/>
        <w:ind w:right="248"/>
        <w:rPr>
          <w:rFonts w:ascii="Arial" w:eastAsia="Arial" w:hAnsi="Arial" w:cs="Arial"/>
          <w:szCs w:val="24"/>
        </w:rPr>
      </w:pPr>
      <w:r w:rsidRPr="000D7603">
        <w:rPr>
          <w:rFonts w:ascii="Arial" w:eastAsia="Arial" w:hAnsi="Arial" w:cs="Arial"/>
          <w:szCs w:val="24"/>
        </w:rPr>
        <w:t>Ethical practice is essential when working in personal environments such as individuals’ homes. Individuals may feel vulnerable, so it is important to adopt a respectful and non-judgemental approach. Ethical care involves recognising dignity and personal context (Barker, 2011), while maintaining professional boundaries (</w:t>
      </w:r>
      <w:proofErr w:type="spellStart"/>
      <w:r w:rsidRPr="000D7603">
        <w:rPr>
          <w:rFonts w:ascii="Arial" w:eastAsia="Arial" w:hAnsi="Arial" w:cs="Arial"/>
          <w:szCs w:val="24"/>
        </w:rPr>
        <w:t>Leathard</w:t>
      </w:r>
      <w:proofErr w:type="spellEnd"/>
      <w:r w:rsidRPr="000D7603">
        <w:rPr>
          <w:rFonts w:ascii="Arial" w:eastAsia="Arial" w:hAnsi="Arial" w:cs="Arial"/>
          <w:szCs w:val="24"/>
        </w:rPr>
        <w:t xml:space="preserve"> and Goodinson-McLaren, 2007). I have identified the need to improve how I balance empathy with professional boundaries. This aligns with the Care Act 2014, which promotes dignity and well-being. In my future practice, I will ensure confidentiality and respect at all times.</w:t>
      </w:r>
    </w:p>
    <w:p w14:paraId="30FF8181" w14:textId="52CB2B3A" w:rsidR="0077041E" w:rsidRDefault="000D7603" w:rsidP="006B360C">
      <w:pPr>
        <w:spacing w:line="360" w:lineRule="auto"/>
        <w:ind w:right="248"/>
        <w:rPr>
          <w:rFonts w:ascii="Arial" w:eastAsia="Arial" w:hAnsi="Arial" w:cs="Arial"/>
          <w:szCs w:val="24"/>
        </w:rPr>
      </w:pPr>
      <w:r w:rsidRPr="000D7603">
        <w:rPr>
          <w:rFonts w:ascii="Arial" w:eastAsia="Arial" w:hAnsi="Arial" w:cs="Arial"/>
          <w:szCs w:val="24"/>
        </w:rPr>
        <w:t>Finally, I recognise that continuous professional development is essential for improving my practice. While I have developed practical skills, I need to strengthen my knowledge of emotional and psychological support. Research highlights the importance of a skilled workforce in delivering high-quality care (Anderson et al., 2021). I plan to develop my communication, empathy, and collaboration skills, and continue learning to improve my practice. In the future, I aim to combine my experience in organisation with health and social care to support individuals more effectively.</w:t>
      </w:r>
    </w:p>
    <w:p w14:paraId="4DDA3D10" w14:textId="77777777" w:rsidR="00D97723" w:rsidRDefault="00D97723" w:rsidP="006B360C">
      <w:pPr>
        <w:spacing w:line="360" w:lineRule="auto"/>
        <w:ind w:right="248"/>
        <w:rPr>
          <w:rFonts w:ascii="Arial" w:eastAsia="Arial" w:hAnsi="Arial" w:cs="Arial"/>
          <w:szCs w:val="24"/>
        </w:rPr>
      </w:pPr>
    </w:p>
    <w:p w14:paraId="75A33DE1" w14:textId="77777777" w:rsidR="00D97723" w:rsidRDefault="00D97723" w:rsidP="006B360C">
      <w:pPr>
        <w:spacing w:line="360" w:lineRule="auto"/>
        <w:ind w:right="248"/>
        <w:rPr>
          <w:rFonts w:ascii="Arial" w:eastAsia="Arial" w:hAnsi="Arial" w:cs="Arial"/>
          <w:szCs w:val="24"/>
        </w:rPr>
      </w:pPr>
    </w:p>
    <w:p w14:paraId="4E39B2B7" w14:textId="77777777" w:rsidR="00D97723" w:rsidRDefault="00D97723" w:rsidP="006B360C">
      <w:pPr>
        <w:spacing w:line="360" w:lineRule="auto"/>
        <w:ind w:right="248"/>
        <w:rPr>
          <w:rFonts w:ascii="Arial" w:eastAsia="Arial" w:hAnsi="Arial" w:cs="Arial"/>
          <w:szCs w:val="24"/>
        </w:rPr>
      </w:pPr>
    </w:p>
    <w:p w14:paraId="443172D5" w14:textId="77777777" w:rsidR="00D97723" w:rsidRDefault="00D97723" w:rsidP="006B360C">
      <w:pPr>
        <w:spacing w:line="360" w:lineRule="auto"/>
        <w:ind w:right="248"/>
        <w:rPr>
          <w:rFonts w:ascii="Arial" w:eastAsia="Arial" w:hAnsi="Arial" w:cs="Arial"/>
          <w:szCs w:val="24"/>
        </w:rPr>
      </w:pPr>
    </w:p>
    <w:p w14:paraId="3A3721A5" w14:textId="77777777" w:rsidR="00D97723" w:rsidRDefault="00D97723" w:rsidP="006B360C">
      <w:pPr>
        <w:spacing w:line="360" w:lineRule="auto"/>
        <w:ind w:right="248"/>
        <w:rPr>
          <w:rFonts w:ascii="Arial" w:eastAsia="Arial" w:hAnsi="Arial" w:cs="Arial"/>
          <w:szCs w:val="24"/>
        </w:rPr>
      </w:pPr>
    </w:p>
    <w:p w14:paraId="1282C341" w14:textId="77777777" w:rsidR="00D97723" w:rsidRDefault="00D97723" w:rsidP="006B360C">
      <w:pPr>
        <w:spacing w:line="360" w:lineRule="auto"/>
        <w:ind w:right="248"/>
        <w:rPr>
          <w:rFonts w:ascii="Arial" w:eastAsia="Arial" w:hAnsi="Arial" w:cs="Arial"/>
          <w:szCs w:val="24"/>
        </w:rPr>
      </w:pPr>
    </w:p>
    <w:p w14:paraId="58EF9163" w14:textId="77777777" w:rsidR="00D97723" w:rsidRDefault="00D97723" w:rsidP="006B360C">
      <w:pPr>
        <w:spacing w:line="360" w:lineRule="auto"/>
        <w:ind w:right="248"/>
        <w:rPr>
          <w:rFonts w:ascii="Arial" w:eastAsia="Arial" w:hAnsi="Arial" w:cs="Arial"/>
          <w:szCs w:val="24"/>
        </w:rPr>
      </w:pPr>
    </w:p>
    <w:p w14:paraId="708B25D1" w14:textId="77777777" w:rsidR="00D97723" w:rsidRPr="000D7603" w:rsidRDefault="00D97723" w:rsidP="006B360C">
      <w:pPr>
        <w:spacing w:line="360" w:lineRule="auto"/>
        <w:ind w:right="248"/>
        <w:rPr>
          <w:rFonts w:ascii="Arial" w:eastAsia="Arial" w:hAnsi="Arial" w:cs="Arial"/>
          <w:szCs w:val="24"/>
        </w:rPr>
      </w:pPr>
    </w:p>
    <w:p w14:paraId="5A4D465C" w14:textId="5F638AD7" w:rsidR="006524ED" w:rsidRPr="000D7603" w:rsidRDefault="006D2F2D" w:rsidP="00594FAC">
      <w:pPr>
        <w:spacing w:line="360" w:lineRule="auto"/>
        <w:rPr>
          <w:rFonts w:ascii="Arial" w:hAnsi="Arial" w:cs="Arial"/>
          <w:b/>
          <w:bCs/>
          <w:szCs w:val="24"/>
        </w:rPr>
      </w:pPr>
      <w:r w:rsidRPr="000D7603">
        <w:rPr>
          <w:rFonts w:ascii="Arial" w:hAnsi="Arial" w:cs="Arial"/>
          <w:b/>
          <w:bCs/>
          <w:szCs w:val="24"/>
        </w:rPr>
        <w:t>Conclusion</w:t>
      </w:r>
    </w:p>
    <w:p w14:paraId="31C48EB7" w14:textId="77777777" w:rsidR="000D7603" w:rsidRDefault="00AF0FAD" w:rsidP="00AF0FAD">
      <w:pPr>
        <w:spacing w:line="360" w:lineRule="auto"/>
        <w:rPr>
          <w:rFonts w:ascii="Arial" w:hAnsi="Arial" w:cs="Arial"/>
          <w:szCs w:val="24"/>
        </w:rPr>
      </w:pPr>
      <w:r w:rsidRPr="00AF0FAD">
        <w:rPr>
          <w:rFonts w:ascii="Arial" w:hAnsi="Arial" w:cs="Arial"/>
          <w:szCs w:val="24"/>
        </w:rPr>
        <w:t>In conclusion, this assessment has demonstrated the importance of applying key principles of health and social care, including person-centred care, partnership working, and ethical practice, in both theoretical and practical contexts. Task 1 provided a foundation by exploring these concepts and their relevance within health and social care settings. Task 2 further developed this understanding by applying these principles to a real-life case, highlighting how the home environment can significantly influence an individual’s well-being, daily functioning, and overall quality of life.</w:t>
      </w:r>
    </w:p>
    <w:p w14:paraId="23BC351F" w14:textId="12892106" w:rsidR="000D7603" w:rsidRDefault="00AF0FAD" w:rsidP="00AF0FAD">
      <w:pPr>
        <w:spacing w:line="360" w:lineRule="auto"/>
        <w:rPr>
          <w:rFonts w:ascii="Arial" w:hAnsi="Arial" w:cs="Arial"/>
          <w:szCs w:val="24"/>
        </w:rPr>
      </w:pPr>
      <w:r w:rsidRPr="00AF0FAD">
        <w:rPr>
          <w:rFonts w:ascii="Arial" w:hAnsi="Arial" w:cs="Arial"/>
          <w:szCs w:val="24"/>
        </w:rPr>
        <w:t>Task 3 allowed for critical reflection on my own practice, enabling me to identify areas for improvement and consider how these principles will shape my future professional development. This process has reinforced the importance of adopting a holistic approach that considers both environmental and psychological factors, as well as the value of collaboration with other professionals to provide more effective and integrated care. In addition, the application of relevant theories, such as Maslow’s Hierarchy of Needs, and legislation, including the Care Act 2014 and the Health and Care Act 2022, has strengthened my understanding of how professional practice is guided within the UK health and social care system.</w:t>
      </w:r>
    </w:p>
    <w:p w14:paraId="774DF09D" w14:textId="26F4BE3B" w:rsidR="007065DE" w:rsidRDefault="00AF0FAD" w:rsidP="00594FAC">
      <w:pPr>
        <w:spacing w:line="360" w:lineRule="auto"/>
        <w:rPr>
          <w:rFonts w:ascii="Arial" w:hAnsi="Arial" w:cs="Arial"/>
          <w:szCs w:val="24"/>
        </w:rPr>
      </w:pPr>
      <w:r w:rsidRPr="00AF0FAD">
        <w:rPr>
          <w:rFonts w:ascii="Arial" w:hAnsi="Arial" w:cs="Arial"/>
          <w:szCs w:val="24"/>
        </w:rPr>
        <w:t>Overall, this assessment has contributed to my development as a future health and social care professional by increasing my awareness of the importance of empathy, communication, and continuous learning. Moving forward, I aim to apply these principles in my practice to support individuals in a respectful, ethical, and person-centred manner, ultimately contributing to improved well-being and quality of care.</w:t>
      </w:r>
    </w:p>
    <w:p w14:paraId="3043C5E8" w14:textId="77777777" w:rsidR="00123794" w:rsidRDefault="00123794" w:rsidP="00594FAC">
      <w:pPr>
        <w:spacing w:line="360" w:lineRule="auto"/>
        <w:rPr>
          <w:rFonts w:ascii="Arial" w:hAnsi="Arial" w:cs="Arial"/>
          <w:szCs w:val="24"/>
        </w:rPr>
      </w:pPr>
    </w:p>
    <w:p w14:paraId="75F4245F" w14:textId="77777777" w:rsidR="00123794" w:rsidRDefault="00123794" w:rsidP="00594FAC">
      <w:pPr>
        <w:spacing w:line="360" w:lineRule="auto"/>
        <w:rPr>
          <w:rFonts w:ascii="Arial" w:hAnsi="Arial" w:cs="Arial"/>
          <w:szCs w:val="24"/>
        </w:rPr>
      </w:pPr>
    </w:p>
    <w:p w14:paraId="3298D7ED" w14:textId="77777777" w:rsidR="00123794" w:rsidRDefault="00123794" w:rsidP="00594FAC">
      <w:pPr>
        <w:spacing w:line="360" w:lineRule="auto"/>
        <w:rPr>
          <w:rFonts w:ascii="Arial" w:hAnsi="Arial" w:cs="Arial"/>
          <w:szCs w:val="24"/>
        </w:rPr>
      </w:pPr>
    </w:p>
    <w:p w14:paraId="217D95AF" w14:textId="77777777" w:rsidR="00123794" w:rsidRDefault="00123794" w:rsidP="00594FAC">
      <w:pPr>
        <w:spacing w:line="360" w:lineRule="auto"/>
        <w:rPr>
          <w:rFonts w:ascii="Arial" w:hAnsi="Arial" w:cs="Arial"/>
          <w:szCs w:val="24"/>
        </w:rPr>
      </w:pPr>
    </w:p>
    <w:p w14:paraId="1C590D82" w14:textId="77777777" w:rsidR="009258DC" w:rsidRDefault="009258DC" w:rsidP="00594FAC">
      <w:pPr>
        <w:spacing w:line="360" w:lineRule="auto"/>
        <w:rPr>
          <w:rFonts w:ascii="Arial" w:hAnsi="Arial" w:cs="Arial"/>
          <w:szCs w:val="24"/>
        </w:rPr>
      </w:pPr>
    </w:p>
    <w:p w14:paraId="5A789721" w14:textId="735E3176" w:rsidR="006D2F2D" w:rsidRPr="001D345E" w:rsidRDefault="009258DC" w:rsidP="00594FAC">
      <w:pPr>
        <w:spacing w:line="360" w:lineRule="auto"/>
        <w:rPr>
          <w:rFonts w:ascii="Arial" w:hAnsi="Arial" w:cs="Arial"/>
          <w:b/>
          <w:bCs/>
          <w:szCs w:val="24"/>
        </w:rPr>
      </w:pPr>
      <w:r>
        <w:rPr>
          <w:rFonts w:ascii="Arial" w:hAnsi="Arial" w:cs="Arial"/>
          <w:szCs w:val="24"/>
        </w:rPr>
        <w:t xml:space="preserve">  </w:t>
      </w:r>
      <w:r w:rsidR="00123794">
        <w:rPr>
          <w:rFonts w:ascii="Arial" w:hAnsi="Arial" w:cs="Arial"/>
          <w:b/>
          <w:bCs/>
          <w:szCs w:val="24"/>
        </w:rPr>
        <w:t xml:space="preserve"> </w:t>
      </w:r>
      <w:r w:rsidR="006D2F2D" w:rsidRPr="001D345E">
        <w:rPr>
          <w:rFonts w:ascii="Arial" w:hAnsi="Arial" w:cs="Arial"/>
          <w:b/>
          <w:bCs/>
          <w:szCs w:val="24"/>
        </w:rPr>
        <w:t>Reference</w:t>
      </w:r>
      <w:r w:rsidR="001D345E" w:rsidRPr="001D345E">
        <w:rPr>
          <w:rFonts w:ascii="Arial" w:hAnsi="Arial" w:cs="Arial"/>
          <w:b/>
          <w:bCs/>
          <w:szCs w:val="24"/>
        </w:rPr>
        <w:t>s</w:t>
      </w:r>
    </w:p>
    <w:p w14:paraId="6FDBBC30" w14:textId="14B1EB4D" w:rsidR="004612F7" w:rsidRPr="009B272D" w:rsidRDefault="004612F7" w:rsidP="00A33817">
      <w:pPr>
        <w:pStyle w:val="PargrafodaLista"/>
        <w:spacing w:after="0" w:line="240" w:lineRule="auto"/>
        <w:rPr>
          <w:rFonts w:eastAsia="Times New Roman" w:cs="Times New Roman"/>
          <w:szCs w:val="24"/>
          <w:lang w:eastAsia="en-GB"/>
        </w:rPr>
      </w:pPr>
    </w:p>
    <w:p w14:paraId="03384259"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Ash, A. (2013) </w:t>
      </w:r>
      <w:r w:rsidRPr="006851D1">
        <w:rPr>
          <w:rFonts w:eastAsia="Times New Roman" w:cs="Times New Roman"/>
          <w:i/>
          <w:iCs/>
          <w:szCs w:val="24"/>
          <w:lang w:eastAsia="en-GB"/>
        </w:rPr>
        <w:t>Whistleblowing and patient safety</w:t>
      </w:r>
      <w:r w:rsidRPr="006851D1">
        <w:rPr>
          <w:rFonts w:eastAsia="Times New Roman" w:cs="Times New Roman"/>
          <w:szCs w:val="24"/>
          <w:lang w:eastAsia="en-GB"/>
        </w:rPr>
        <w:t>.</w:t>
      </w:r>
    </w:p>
    <w:p w14:paraId="2055F92C"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Bagnasco, A., Zanini, M., Dasso, N., Rossi, S., Timmins, F., Galanti, M.C., Aleo, G., Catania, G. and Sasso, L. (2020) ‘Dignity, privacy, respect and choice—A scoping review of measurement of these concepts within acute healthcare practice’, </w:t>
      </w:r>
      <w:r w:rsidRPr="006851D1">
        <w:rPr>
          <w:rFonts w:eastAsia="Times New Roman" w:cs="Times New Roman"/>
          <w:i/>
          <w:iCs/>
          <w:szCs w:val="24"/>
          <w:lang w:eastAsia="en-GB"/>
        </w:rPr>
        <w:t>Journal of Clinical Nursing</w:t>
      </w:r>
      <w:r w:rsidRPr="006851D1">
        <w:rPr>
          <w:rFonts w:eastAsia="Times New Roman" w:cs="Times New Roman"/>
          <w:szCs w:val="24"/>
          <w:lang w:eastAsia="en-GB"/>
        </w:rPr>
        <w:t xml:space="preserve">, 29(11–12), pp. 1832–1857. Available at: </w:t>
      </w:r>
      <w:hyperlink r:id="rId9" w:tgtFrame="_new" w:history="1">
        <w:r w:rsidRPr="006851D1">
          <w:rPr>
            <w:rStyle w:val="Hyperlink"/>
            <w:rFonts w:eastAsia="Times New Roman" w:cs="Times New Roman"/>
            <w:szCs w:val="24"/>
            <w:lang w:eastAsia="en-GB"/>
          </w:rPr>
          <w:t>https://doi.org/10.1111/jocn.15245</w:t>
        </w:r>
      </w:hyperlink>
      <w:r w:rsidRPr="006851D1">
        <w:rPr>
          <w:rFonts w:eastAsia="Times New Roman" w:cs="Times New Roman"/>
          <w:szCs w:val="24"/>
          <w:lang w:eastAsia="en-GB"/>
        </w:rPr>
        <w:t xml:space="preserve"> (Accessed: 6 April 2026).</w:t>
      </w:r>
    </w:p>
    <w:p w14:paraId="1D44C03D"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Barker, P.J. (2011) </w:t>
      </w:r>
      <w:r w:rsidRPr="006851D1">
        <w:rPr>
          <w:rFonts w:eastAsia="Times New Roman" w:cs="Times New Roman"/>
          <w:i/>
          <w:iCs/>
          <w:szCs w:val="24"/>
          <w:lang w:eastAsia="en-GB"/>
        </w:rPr>
        <w:t>Mental health ethics: The human context</w:t>
      </w:r>
      <w:r w:rsidRPr="006851D1">
        <w:rPr>
          <w:rFonts w:eastAsia="Times New Roman" w:cs="Times New Roman"/>
          <w:szCs w:val="24"/>
          <w:lang w:eastAsia="en-GB"/>
        </w:rPr>
        <w:t xml:space="preserve">. London: Routledge. Available at: </w:t>
      </w:r>
      <w:hyperlink r:id="rId10" w:tgtFrame="_new" w:history="1">
        <w:r w:rsidRPr="006851D1">
          <w:rPr>
            <w:rStyle w:val="Hyperlink"/>
            <w:rFonts w:eastAsia="Times New Roman" w:cs="Times New Roman"/>
            <w:szCs w:val="24"/>
            <w:lang w:eastAsia="en-GB"/>
          </w:rPr>
          <w:t>https://doi.org/10.4324/9780203839058</w:t>
        </w:r>
      </w:hyperlink>
      <w:r w:rsidRPr="006851D1">
        <w:rPr>
          <w:rFonts w:eastAsia="Times New Roman" w:cs="Times New Roman"/>
          <w:szCs w:val="24"/>
          <w:lang w:eastAsia="en-GB"/>
        </w:rPr>
        <w:t xml:space="preserve"> (Accessed: 6 April 2026).</w:t>
      </w:r>
    </w:p>
    <w:p w14:paraId="718FB7ED"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Calvo, R.A. and Peters, D. (2016) ‘Designing for mental wellbeing: Towards a more holistic approach in the treatment and prevention of mental illness’, </w:t>
      </w:r>
      <w:r w:rsidRPr="006851D1">
        <w:rPr>
          <w:rFonts w:eastAsia="Times New Roman" w:cs="Times New Roman"/>
          <w:i/>
          <w:iCs/>
          <w:szCs w:val="24"/>
          <w:lang w:eastAsia="en-GB"/>
        </w:rPr>
        <w:t>Proceedings of the ACM</w:t>
      </w:r>
      <w:r w:rsidRPr="006851D1">
        <w:rPr>
          <w:rFonts w:eastAsia="Times New Roman" w:cs="Times New Roman"/>
          <w:szCs w:val="24"/>
          <w:lang w:eastAsia="en-GB"/>
        </w:rPr>
        <w:t xml:space="preserve">. Available at: </w:t>
      </w:r>
      <w:hyperlink r:id="rId11" w:tgtFrame="_new" w:history="1">
        <w:r w:rsidRPr="006851D1">
          <w:rPr>
            <w:rStyle w:val="Hyperlink"/>
            <w:rFonts w:eastAsia="Times New Roman" w:cs="Times New Roman"/>
            <w:szCs w:val="24"/>
            <w:lang w:eastAsia="en-GB"/>
          </w:rPr>
          <w:t>https://dl.acm.org/doi/epdf/10.1145/2783446.2783586</w:t>
        </w:r>
      </w:hyperlink>
      <w:r w:rsidRPr="006851D1">
        <w:rPr>
          <w:rFonts w:eastAsia="Times New Roman" w:cs="Times New Roman"/>
          <w:szCs w:val="24"/>
          <w:lang w:eastAsia="en-GB"/>
        </w:rPr>
        <w:t xml:space="preserve"> (Accessed: 6 April 2026).</w:t>
      </w:r>
    </w:p>
    <w:p w14:paraId="31900226"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Charalambous, A., Katajisto, J., Välimäki, M., Leino-</w:t>
      </w:r>
      <w:proofErr w:type="spellStart"/>
      <w:r w:rsidRPr="006851D1">
        <w:rPr>
          <w:rFonts w:eastAsia="Times New Roman" w:cs="Times New Roman"/>
          <w:szCs w:val="24"/>
          <w:lang w:eastAsia="en-GB"/>
        </w:rPr>
        <w:t>Kilpi</w:t>
      </w:r>
      <w:proofErr w:type="spellEnd"/>
      <w:r w:rsidRPr="006851D1">
        <w:rPr>
          <w:rFonts w:eastAsia="Times New Roman" w:cs="Times New Roman"/>
          <w:szCs w:val="24"/>
          <w:lang w:eastAsia="en-GB"/>
        </w:rPr>
        <w:t xml:space="preserve">, H. and Suhonen, R. (2010) ‘Individualised care and the professional practice environment: nurses’ perceptions’, </w:t>
      </w:r>
      <w:r w:rsidRPr="006851D1">
        <w:rPr>
          <w:rFonts w:eastAsia="Times New Roman" w:cs="Times New Roman"/>
          <w:i/>
          <w:iCs/>
          <w:szCs w:val="24"/>
          <w:lang w:eastAsia="en-GB"/>
        </w:rPr>
        <w:t>International Nursing Review</w:t>
      </w:r>
      <w:r w:rsidRPr="006851D1">
        <w:rPr>
          <w:rFonts w:eastAsia="Times New Roman" w:cs="Times New Roman"/>
          <w:szCs w:val="24"/>
          <w:lang w:eastAsia="en-GB"/>
        </w:rPr>
        <w:t xml:space="preserve">, 57(4), pp. 500–507. Available at: </w:t>
      </w:r>
      <w:hyperlink r:id="rId12" w:tgtFrame="_new" w:history="1">
        <w:r w:rsidRPr="006851D1">
          <w:rPr>
            <w:rStyle w:val="Hyperlink"/>
            <w:rFonts w:eastAsia="Times New Roman" w:cs="Times New Roman"/>
            <w:szCs w:val="24"/>
            <w:lang w:eastAsia="en-GB"/>
          </w:rPr>
          <w:t>https://doi.org/10.1111/j.1466-7657.2010.00831.x</w:t>
        </w:r>
      </w:hyperlink>
      <w:r w:rsidRPr="006851D1">
        <w:rPr>
          <w:rFonts w:eastAsia="Times New Roman" w:cs="Times New Roman"/>
          <w:szCs w:val="24"/>
          <w:lang w:eastAsia="en-GB"/>
        </w:rPr>
        <w:t xml:space="preserve"> (Accessed: 6 April 2026).</w:t>
      </w:r>
    </w:p>
    <w:p w14:paraId="7CAF39CD"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Crone, C. and Norberg, M.M. (2018) ‘Scared and surrounded by clutter: The influence of emotional reactivity’, </w:t>
      </w:r>
      <w:r w:rsidRPr="006851D1">
        <w:rPr>
          <w:rFonts w:eastAsia="Times New Roman" w:cs="Times New Roman"/>
          <w:i/>
          <w:iCs/>
          <w:szCs w:val="24"/>
          <w:lang w:eastAsia="en-GB"/>
        </w:rPr>
        <w:t>Journal of Affective Disorders</w:t>
      </w:r>
      <w:r w:rsidRPr="006851D1">
        <w:rPr>
          <w:rFonts w:eastAsia="Times New Roman" w:cs="Times New Roman"/>
          <w:szCs w:val="24"/>
          <w:lang w:eastAsia="en-GB"/>
        </w:rPr>
        <w:t xml:space="preserve">, 235, pp. 285–292. Available at: </w:t>
      </w:r>
      <w:hyperlink r:id="rId13" w:tgtFrame="_new" w:history="1">
        <w:r w:rsidRPr="006851D1">
          <w:rPr>
            <w:rStyle w:val="Hyperlink"/>
            <w:rFonts w:eastAsia="Times New Roman" w:cs="Times New Roman"/>
            <w:szCs w:val="24"/>
            <w:lang w:eastAsia="en-GB"/>
          </w:rPr>
          <w:t>https://doi.org/10.1016/j.jad.2018.04.066</w:t>
        </w:r>
      </w:hyperlink>
      <w:r w:rsidRPr="006851D1">
        <w:rPr>
          <w:rFonts w:eastAsia="Times New Roman" w:cs="Times New Roman"/>
          <w:szCs w:val="24"/>
          <w:lang w:eastAsia="en-GB"/>
        </w:rPr>
        <w:t xml:space="preserve"> (Accessed: 6 April 2026).</w:t>
      </w:r>
    </w:p>
    <w:p w14:paraId="6949710B"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Eliacin, J., Salyers, M.P., Kukla, M. and Matthias, M.S. (2015) ‘Factors influencing patients’ preferences and perceived involvement in shared decision-making in mental health care’, </w:t>
      </w:r>
      <w:r w:rsidRPr="006851D1">
        <w:rPr>
          <w:rFonts w:eastAsia="Times New Roman" w:cs="Times New Roman"/>
          <w:i/>
          <w:iCs/>
          <w:szCs w:val="24"/>
          <w:lang w:eastAsia="en-GB"/>
        </w:rPr>
        <w:t>Journal of Mental Health</w:t>
      </w:r>
      <w:r w:rsidRPr="006851D1">
        <w:rPr>
          <w:rFonts w:eastAsia="Times New Roman" w:cs="Times New Roman"/>
          <w:szCs w:val="24"/>
          <w:lang w:eastAsia="en-GB"/>
        </w:rPr>
        <w:t xml:space="preserve">, 24(1), pp. 24–28. Available at: </w:t>
      </w:r>
      <w:hyperlink r:id="rId14" w:tgtFrame="_new" w:history="1">
        <w:r w:rsidRPr="006851D1">
          <w:rPr>
            <w:rStyle w:val="Hyperlink"/>
            <w:rFonts w:eastAsia="Times New Roman" w:cs="Times New Roman"/>
            <w:szCs w:val="24"/>
            <w:lang w:eastAsia="en-GB"/>
          </w:rPr>
          <w:t>https://doi.org/10.3109/09638237.2014.954695</w:t>
        </w:r>
      </w:hyperlink>
      <w:r w:rsidRPr="006851D1">
        <w:rPr>
          <w:rFonts w:eastAsia="Times New Roman" w:cs="Times New Roman"/>
          <w:szCs w:val="24"/>
          <w:lang w:eastAsia="en-GB"/>
        </w:rPr>
        <w:t xml:space="preserve"> (Accessed: 6 April 2026).</w:t>
      </w:r>
    </w:p>
    <w:p w14:paraId="4182B1B3"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European Commission (2015) </w:t>
      </w:r>
      <w:r w:rsidRPr="006851D1">
        <w:rPr>
          <w:rFonts w:eastAsia="Times New Roman" w:cs="Times New Roman"/>
          <w:i/>
          <w:iCs/>
          <w:szCs w:val="24"/>
          <w:lang w:eastAsia="en-GB"/>
        </w:rPr>
        <w:t>Developing a new understanding of enabling health and wellbeing in Europe</w:t>
      </w:r>
      <w:r w:rsidRPr="006851D1">
        <w:rPr>
          <w:rFonts w:eastAsia="Times New Roman" w:cs="Times New Roman"/>
          <w:szCs w:val="24"/>
          <w:lang w:eastAsia="en-GB"/>
        </w:rPr>
        <w:t>. Available at: https://health.ec.europa.eu/system/files/2016-11/health_glance_2015_en_0.pdf (Accessed: 6 April 2026).</w:t>
      </w:r>
    </w:p>
    <w:p w14:paraId="4DE7FFC9"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Frank, L. (2013) ‘Person-</w:t>
      </w:r>
      <w:proofErr w:type="spellStart"/>
      <w:r w:rsidRPr="006851D1">
        <w:rPr>
          <w:rFonts w:eastAsia="Times New Roman" w:cs="Times New Roman"/>
          <w:szCs w:val="24"/>
          <w:lang w:eastAsia="en-GB"/>
        </w:rPr>
        <w:t>centered</w:t>
      </w:r>
      <w:proofErr w:type="spellEnd"/>
      <w:r w:rsidRPr="006851D1">
        <w:rPr>
          <w:rFonts w:eastAsia="Times New Roman" w:cs="Times New Roman"/>
          <w:szCs w:val="24"/>
          <w:lang w:eastAsia="en-GB"/>
        </w:rPr>
        <w:t xml:space="preserve"> care, autonomy, and the definition of health’, </w:t>
      </w:r>
      <w:r w:rsidRPr="006851D1">
        <w:rPr>
          <w:rFonts w:eastAsia="Times New Roman" w:cs="Times New Roman"/>
          <w:i/>
          <w:iCs/>
          <w:szCs w:val="24"/>
          <w:lang w:eastAsia="en-GB"/>
        </w:rPr>
        <w:t>American Journal of Bioethics</w:t>
      </w:r>
      <w:r w:rsidRPr="006851D1">
        <w:rPr>
          <w:rFonts w:eastAsia="Times New Roman" w:cs="Times New Roman"/>
          <w:szCs w:val="24"/>
          <w:lang w:eastAsia="en-GB"/>
        </w:rPr>
        <w:t xml:space="preserve">, 13(8), pp. 59–61. Available at: </w:t>
      </w:r>
      <w:hyperlink r:id="rId15" w:tgtFrame="_new" w:history="1">
        <w:r w:rsidRPr="006851D1">
          <w:rPr>
            <w:rStyle w:val="Hyperlink"/>
            <w:rFonts w:eastAsia="Times New Roman" w:cs="Times New Roman"/>
            <w:szCs w:val="24"/>
            <w:lang w:eastAsia="en-GB"/>
          </w:rPr>
          <w:t>https://doi.org/10.1080/15265161.2013.802068</w:t>
        </w:r>
      </w:hyperlink>
      <w:r w:rsidRPr="006851D1">
        <w:rPr>
          <w:rFonts w:eastAsia="Times New Roman" w:cs="Times New Roman"/>
          <w:szCs w:val="24"/>
          <w:lang w:eastAsia="en-GB"/>
        </w:rPr>
        <w:t xml:space="preserve"> (Accessed: 6 April 2026).</w:t>
      </w:r>
    </w:p>
    <w:p w14:paraId="584CA11A"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Glasby, J. and Dickinson, H. (2014) </w:t>
      </w:r>
      <w:r w:rsidRPr="006851D1">
        <w:rPr>
          <w:rFonts w:eastAsia="Times New Roman" w:cs="Times New Roman"/>
          <w:i/>
          <w:iCs/>
          <w:szCs w:val="24"/>
          <w:lang w:eastAsia="en-GB"/>
        </w:rPr>
        <w:t>Partnership working in health and social care: What is integrated care and how can we deliver it?</w:t>
      </w:r>
      <w:r w:rsidRPr="006851D1">
        <w:rPr>
          <w:rFonts w:eastAsia="Times New Roman" w:cs="Times New Roman"/>
          <w:szCs w:val="24"/>
          <w:lang w:eastAsia="en-GB"/>
        </w:rPr>
        <w:t xml:space="preserve"> 2nd </w:t>
      </w:r>
      <w:proofErr w:type="spellStart"/>
      <w:r w:rsidRPr="006851D1">
        <w:rPr>
          <w:rFonts w:eastAsia="Times New Roman" w:cs="Times New Roman"/>
          <w:szCs w:val="24"/>
          <w:lang w:eastAsia="en-GB"/>
        </w:rPr>
        <w:t>edn</w:t>
      </w:r>
      <w:proofErr w:type="spellEnd"/>
      <w:r w:rsidRPr="006851D1">
        <w:rPr>
          <w:rFonts w:eastAsia="Times New Roman" w:cs="Times New Roman"/>
          <w:szCs w:val="24"/>
          <w:lang w:eastAsia="en-GB"/>
        </w:rPr>
        <w:t>. Bristol: Policy Press.</w:t>
      </w:r>
    </w:p>
    <w:p w14:paraId="0ECD4F8B"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Harrison, M., Angarola, R., Forsyth, K. and Irvine, L. (2016) ‘Defining the environment to support occupational therapy intervention in mental health practice’, </w:t>
      </w:r>
      <w:r w:rsidRPr="006851D1">
        <w:rPr>
          <w:rFonts w:eastAsia="Times New Roman" w:cs="Times New Roman"/>
          <w:i/>
          <w:iCs/>
          <w:szCs w:val="24"/>
          <w:lang w:eastAsia="en-GB"/>
        </w:rPr>
        <w:t>British Journal of Occupational Therapy</w:t>
      </w:r>
      <w:r w:rsidRPr="006851D1">
        <w:rPr>
          <w:rFonts w:eastAsia="Times New Roman" w:cs="Times New Roman"/>
          <w:szCs w:val="24"/>
          <w:lang w:eastAsia="en-GB"/>
        </w:rPr>
        <w:t xml:space="preserve">, 79(1), pp. 57–59. Available at: </w:t>
      </w:r>
      <w:hyperlink r:id="rId16" w:tgtFrame="_new" w:history="1">
        <w:r w:rsidRPr="006851D1">
          <w:rPr>
            <w:rStyle w:val="Hyperlink"/>
            <w:rFonts w:eastAsia="Times New Roman" w:cs="Times New Roman"/>
            <w:szCs w:val="24"/>
            <w:lang w:eastAsia="en-GB"/>
          </w:rPr>
          <w:t>https://doi.org/10.1177/0308022614562787</w:t>
        </w:r>
      </w:hyperlink>
      <w:r w:rsidRPr="006851D1">
        <w:rPr>
          <w:rFonts w:eastAsia="Times New Roman" w:cs="Times New Roman"/>
          <w:szCs w:val="24"/>
          <w:lang w:eastAsia="en-GB"/>
        </w:rPr>
        <w:t xml:space="preserve"> (Accessed: 6 April 2026).</w:t>
      </w:r>
    </w:p>
    <w:p w14:paraId="75714CF4"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Jackson, J.C., Santoro, M.J., Ely, T.M., Boehm, L., Kiehl, A.L., Anderson, L.S. and Ely, E.W. (2014) ‘Improving patient care through the prism of psychology’, </w:t>
      </w:r>
      <w:r w:rsidRPr="006851D1">
        <w:rPr>
          <w:rFonts w:eastAsia="Times New Roman" w:cs="Times New Roman"/>
          <w:i/>
          <w:iCs/>
          <w:szCs w:val="24"/>
          <w:lang w:eastAsia="en-GB"/>
        </w:rPr>
        <w:t>Journal of Critical Care</w:t>
      </w:r>
      <w:r w:rsidRPr="006851D1">
        <w:rPr>
          <w:rFonts w:eastAsia="Times New Roman" w:cs="Times New Roman"/>
          <w:szCs w:val="24"/>
          <w:lang w:eastAsia="en-GB"/>
        </w:rPr>
        <w:t xml:space="preserve">, 29(3), pp. 438–444. Available at: </w:t>
      </w:r>
      <w:hyperlink r:id="rId17" w:tgtFrame="_new" w:history="1">
        <w:r w:rsidRPr="006851D1">
          <w:rPr>
            <w:rStyle w:val="Hyperlink"/>
            <w:rFonts w:eastAsia="Times New Roman" w:cs="Times New Roman"/>
            <w:szCs w:val="24"/>
            <w:lang w:eastAsia="en-GB"/>
          </w:rPr>
          <w:t>https://doi.org/10.1016/j.jcrc.2014.01.009</w:t>
        </w:r>
      </w:hyperlink>
      <w:r w:rsidRPr="006851D1">
        <w:rPr>
          <w:rFonts w:eastAsia="Times New Roman" w:cs="Times New Roman"/>
          <w:szCs w:val="24"/>
          <w:lang w:eastAsia="en-GB"/>
        </w:rPr>
        <w:t xml:space="preserve"> (Accessed: 6 April 2026).</w:t>
      </w:r>
    </w:p>
    <w:p w14:paraId="16A21518" w14:textId="77777777" w:rsidR="006851D1" w:rsidRPr="006851D1" w:rsidRDefault="006851D1" w:rsidP="006851D1">
      <w:pPr>
        <w:spacing w:after="0" w:line="240" w:lineRule="auto"/>
        <w:ind w:left="360"/>
        <w:rPr>
          <w:rFonts w:eastAsia="Times New Roman" w:cs="Times New Roman"/>
          <w:szCs w:val="24"/>
          <w:lang w:eastAsia="en-GB"/>
        </w:rPr>
      </w:pPr>
      <w:proofErr w:type="spellStart"/>
      <w:r w:rsidRPr="006851D1">
        <w:rPr>
          <w:rFonts w:eastAsia="Times New Roman" w:cs="Times New Roman"/>
          <w:szCs w:val="24"/>
          <w:lang w:eastAsia="en-GB"/>
        </w:rPr>
        <w:t>Leathard</w:t>
      </w:r>
      <w:proofErr w:type="spellEnd"/>
      <w:r w:rsidRPr="006851D1">
        <w:rPr>
          <w:rFonts w:eastAsia="Times New Roman" w:cs="Times New Roman"/>
          <w:szCs w:val="24"/>
          <w:lang w:eastAsia="en-GB"/>
        </w:rPr>
        <w:t xml:space="preserve">, A. and Goodinson-McLaren, S. (2007) </w:t>
      </w:r>
      <w:r w:rsidRPr="006851D1">
        <w:rPr>
          <w:rFonts w:eastAsia="Times New Roman" w:cs="Times New Roman"/>
          <w:i/>
          <w:iCs/>
          <w:szCs w:val="24"/>
          <w:lang w:eastAsia="en-GB"/>
        </w:rPr>
        <w:t>Ethics: Contemporary challenges in health and social care</w:t>
      </w:r>
      <w:r w:rsidRPr="006851D1">
        <w:rPr>
          <w:rFonts w:eastAsia="Times New Roman" w:cs="Times New Roman"/>
          <w:szCs w:val="24"/>
          <w:lang w:eastAsia="en-GB"/>
        </w:rPr>
        <w:t>. Bristol: Policy Press.</w:t>
      </w:r>
    </w:p>
    <w:p w14:paraId="630FF549"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lastRenderedPageBreak/>
        <w:t xml:space="preserve">Nederland, T. (2009) ‘Partnership working in action’, </w:t>
      </w:r>
      <w:r w:rsidRPr="006851D1">
        <w:rPr>
          <w:rFonts w:eastAsia="Times New Roman" w:cs="Times New Roman"/>
          <w:i/>
          <w:iCs/>
          <w:szCs w:val="24"/>
          <w:lang w:eastAsia="en-GB"/>
        </w:rPr>
        <w:t>International Journal of Integrated Care</w:t>
      </w:r>
      <w:r w:rsidRPr="006851D1">
        <w:rPr>
          <w:rFonts w:eastAsia="Times New Roman" w:cs="Times New Roman"/>
          <w:szCs w:val="24"/>
          <w:lang w:eastAsia="en-GB"/>
        </w:rPr>
        <w:t xml:space="preserve">, 9(4). Available at: </w:t>
      </w:r>
      <w:hyperlink r:id="rId18" w:tgtFrame="_new" w:history="1">
        <w:r w:rsidRPr="006851D1">
          <w:rPr>
            <w:rStyle w:val="Hyperlink"/>
            <w:rFonts w:eastAsia="Times New Roman" w:cs="Times New Roman"/>
            <w:szCs w:val="24"/>
            <w:lang w:eastAsia="en-GB"/>
          </w:rPr>
          <w:t>https://doi.org/10.5334/ijic.326</w:t>
        </w:r>
      </w:hyperlink>
      <w:r w:rsidRPr="006851D1">
        <w:rPr>
          <w:rFonts w:eastAsia="Times New Roman" w:cs="Times New Roman"/>
          <w:szCs w:val="24"/>
          <w:lang w:eastAsia="en-GB"/>
        </w:rPr>
        <w:t xml:space="preserve"> (Accessed: 6 April 2026).</w:t>
      </w:r>
    </w:p>
    <w:p w14:paraId="7641DADE"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O’Leary, K.J., Killarney, A., Hansen, L.O., Jones, S., Malladi, M., Marks, K. and Shah, H.M. (2016) ‘Effect of patient-centred bedside rounds’, </w:t>
      </w:r>
      <w:r w:rsidRPr="006851D1">
        <w:rPr>
          <w:rFonts w:eastAsia="Times New Roman" w:cs="Times New Roman"/>
          <w:i/>
          <w:iCs/>
          <w:szCs w:val="24"/>
          <w:lang w:eastAsia="en-GB"/>
        </w:rPr>
        <w:t>BMJ Quality &amp; Safety</w:t>
      </w:r>
      <w:r w:rsidRPr="006851D1">
        <w:rPr>
          <w:rFonts w:eastAsia="Times New Roman" w:cs="Times New Roman"/>
          <w:szCs w:val="24"/>
          <w:lang w:eastAsia="en-GB"/>
        </w:rPr>
        <w:t xml:space="preserve">, 25(12), pp. 921–928. Available at: </w:t>
      </w:r>
      <w:hyperlink r:id="rId19" w:tgtFrame="_new" w:history="1">
        <w:r w:rsidRPr="006851D1">
          <w:rPr>
            <w:rStyle w:val="Hyperlink"/>
            <w:rFonts w:eastAsia="Times New Roman" w:cs="Times New Roman"/>
            <w:szCs w:val="24"/>
            <w:lang w:eastAsia="en-GB"/>
          </w:rPr>
          <w:t>https://doi.org/10.1136/bmjqs-2015-004561</w:t>
        </w:r>
      </w:hyperlink>
      <w:r w:rsidRPr="006851D1">
        <w:rPr>
          <w:rFonts w:eastAsia="Times New Roman" w:cs="Times New Roman"/>
          <w:szCs w:val="24"/>
          <w:lang w:eastAsia="en-GB"/>
        </w:rPr>
        <w:t xml:space="preserve"> (Accessed: 6 April 2026).</w:t>
      </w:r>
    </w:p>
    <w:p w14:paraId="57765F52"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Reeves, S., </w:t>
      </w:r>
      <w:proofErr w:type="spellStart"/>
      <w:r w:rsidRPr="006851D1">
        <w:rPr>
          <w:rFonts w:eastAsia="Times New Roman" w:cs="Times New Roman"/>
          <w:szCs w:val="24"/>
          <w:lang w:eastAsia="en-GB"/>
        </w:rPr>
        <w:t>Pelone</w:t>
      </w:r>
      <w:proofErr w:type="spellEnd"/>
      <w:r w:rsidRPr="006851D1">
        <w:rPr>
          <w:rFonts w:eastAsia="Times New Roman" w:cs="Times New Roman"/>
          <w:szCs w:val="24"/>
          <w:lang w:eastAsia="en-GB"/>
        </w:rPr>
        <w:t xml:space="preserve">, F., Harrison, R., Goldman, J. and </w:t>
      </w:r>
      <w:proofErr w:type="spellStart"/>
      <w:r w:rsidRPr="006851D1">
        <w:rPr>
          <w:rFonts w:eastAsia="Times New Roman" w:cs="Times New Roman"/>
          <w:szCs w:val="24"/>
          <w:lang w:eastAsia="en-GB"/>
        </w:rPr>
        <w:t>Zwarenstein</w:t>
      </w:r>
      <w:proofErr w:type="spellEnd"/>
      <w:r w:rsidRPr="006851D1">
        <w:rPr>
          <w:rFonts w:eastAsia="Times New Roman" w:cs="Times New Roman"/>
          <w:szCs w:val="24"/>
          <w:lang w:eastAsia="en-GB"/>
        </w:rPr>
        <w:t xml:space="preserve">, M. (2017) ‘Interprofessional collaboration’, </w:t>
      </w:r>
      <w:r w:rsidRPr="006851D1">
        <w:rPr>
          <w:rFonts w:eastAsia="Times New Roman" w:cs="Times New Roman"/>
          <w:i/>
          <w:iCs/>
          <w:szCs w:val="24"/>
          <w:lang w:eastAsia="en-GB"/>
        </w:rPr>
        <w:t>Journal of Interprofessional Care</w:t>
      </w:r>
      <w:r w:rsidRPr="006851D1">
        <w:rPr>
          <w:rFonts w:eastAsia="Times New Roman" w:cs="Times New Roman"/>
          <w:szCs w:val="24"/>
          <w:lang w:eastAsia="en-GB"/>
        </w:rPr>
        <w:t xml:space="preserve">, 31(5), pp. 603–613. Available at: </w:t>
      </w:r>
      <w:hyperlink r:id="rId20" w:tgtFrame="_new" w:history="1">
        <w:r w:rsidRPr="006851D1">
          <w:rPr>
            <w:rStyle w:val="Hyperlink"/>
            <w:rFonts w:eastAsia="Times New Roman" w:cs="Times New Roman"/>
            <w:szCs w:val="24"/>
            <w:lang w:eastAsia="en-GB"/>
          </w:rPr>
          <w:t>https://doi.org/10.1080/13561820.2017.1310050</w:t>
        </w:r>
      </w:hyperlink>
      <w:r w:rsidRPr="006851D1">
        <w:rPr>
          <w:rFonts w:eastAsia="Times New Roman" w:cs="Times New Roman"/>
          <w:szCs w:val="24"/>
          <w:lang w:eastAsia="en-GB"/>
        </w:rPr>
        <w:t xml:space="preserve"> (Accessed: 6 April 2026).</w:t>
      </w:r>
    </w:p>
    <w:p w14:paraId="7333C38C"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The Health Foundation (2016) </w:t>
      </w:r>
      <w:r w:rsidRPr="006851D1">
        <w:rPr>
          <w:rFonts w:eastAsia="Times New Roman" w:cs="Times New Roman"/>
          <w:i/>
          <w:iCs/>
          <w:szCs w:val="24"/>
          <w:lang w:eastAsia="en-GB"/>
        </w:rPr>
        <w:t>Person-centred care: From ideas to action</w:t>
      </w:r>
      <w:r w:rsidRPr="006851D1">
        <w:rPr>
          <w:rFonts w:eastAsia="Times New Roman" w:cs="Times New Roman"/>
          <w:szCs w:val="24"/>
          <w:lang w:eastAsia="en-GB"/>
        </w:rPr>
        <w:t xml:space="preserve">. Available at: </w:t>
      </w:r>
      <w:hyperlink r:id="rId21" w:tgtFrame="_new" w:history="1">
        <w:r w:rsidRPr="006851D1">
          <w:rPr>
            <w:rStyle w:val="Hyperlink"/>
            <w:rFonts w:eastAsia="Times New Roman" w:cs="Times New Roman"/>
            <w:szCs w:val="24"/>
            <w:lang w:eastAsia="en-GB"/>
          </w:rPr>
          <w:t>https://www.health.org.uk/sites/default/files/PersonCentredCareFromIdeasToAction.pdf</w:t>
        </w:r>
      </w:hyperlink>
      <w:r w:rsidRPr="006851D1">
        <w:rPr>
          <w:rFonts w:eastAsia="Times New Roman" w:cs="Times New Roman"/>
          <w:szCs w:val="24"/>
          <w:lang w:eastAsia="en-GB"/>
        </w:rPr>
        <w:t xml:space="preserve"> (Accessed: 6 April 2026).</w:t>
      </w:r>
    </w:p>
    <w:p w14:paraId="23E1CE3E"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UK Government (2014) </w:t>
      </w:r>
      <w:r w:rsidRPr="006851D1">
        <w:rPr>
          <w:rFonts w:eastAsia="Times New Roman" w:cs="Times New Roman"/>
          <w:i/>
          <w:iCs/>
          <w:szCs w:val="24"/>
          <w:lang w:eastAsia="en-GB"/>
        </w:rPr>
        <w:t>Care Act 2014</w:t>
      </w:r>
      <w:r w:rsidRPr="006851D1">
        <w:rPr>
          <w:rFonts w:eastAsia="Times New Roman" w:cs="Times New Roman"/>
          <w:szCs w:val="24"/>
          <w:lang w:eastAsia="en-GB"/>
        </w:rPr>
        <w:t xml:space="preserve">. Available at: </w:t>
      </w:r>
      <w:hyperlink r:id="rId22" w:tgtFrame="_new" w:history="1">
        <w:r w:rsidRPr="006851D1">
          <w:rPr>
            <w:rStyle w:val="Hyperlink"/>
            <w:rFonts w:eastAsia="Times New Roman" w:cs="Times New Roman"/>
            <w:szCs w:val="24"/>
            <w:lang w:eastAsia="en-GB"/>
          </w:rPr>
          <w:t>https://www.legislation.gov.uk/ukpga/2014/23/section/1</w:t>
        </w:r>
      </w:hyperlink>
      <w:r w:rsidRPr="006851D1">
        <w:rPr>
          <w:rFonts w:eastAsia="Times New Roman" w:cs="Times New Roman"/>
          <w:szCs w:val="24"/>
          <w:lang w:eastAsia="en-GB"/>
        </w:rPr>
        <w:t xml:space="preserve"> (Accessed: 6 April 2026).</w:t>
      </w:r>
    </w:p>
    <w:p w14:paraId="28B1E815"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UK Government (2022) </w:t>
      </w:r>
      <w:r w:rsidRPr="006851D1">
        <w:rPr>
          <w:rFonts w:eastAsia="Times New Roman" w:cs="Times New Roman"/>
          <w:i/>
          <w:iCs/>
          <w:szCs w:val="24"/>
          <w:lang w:eastAsia="en-GB"/>
        </w:rPr>
        <w:t>Health and Care Act 2022</w:t>
      </w:r>
      <w:r w:rsidRPr="006851D1">
        <w:rPr>
          <w:rFonts w:eastAsia="Times New Roman" w:cs="Times New Roman"/>
          <w:szCs w:val="24"/>
          <w:lang w:eastAsia="en-GB"/>
        </w:rPr>
        <w:t xml:space="preserve">. Available at: </w:t>
      </w:r>
      <w:hyperlink r:id="rId23" w:tgtFrame="_new" w:history="1">
        <w:r w:rsidRPr="006851D1">
          <w:rPr>
            <w:rStyle w:val="Hyperlink"/>
            <w:rFonts w:eastAsia="Times New Roman" w:cs="Times New Roman"/>
            <w:szCs w:val="24"/>
            <w:lang w:eastAsia="en-GB"/>
          </w:rPr>
          <w:t>https://www.legislation.gov.uk/ukpga/2022/31/section/26</w:t>
        </w:r>
      </w:hyperlink>
      <w:r w:rsidRPr="006851D1">
        <w:rPr>
          <w:rFonts w:eastAsia="Times New Roman" w:cs="Times New Roman"/>
          <w:szCs w:val="24"/>
          <w:lang w:eastAsia="en-GB"/>
        </w:rPr>
        <w:t xml:space="preserve"> (Accessed: 6 April 2026).</w:t>
      </w:r>
    </w:p>
    <w:p w14:paraId="4C213303"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van Loon, J., Janssen, M., Janssen, B., de </w:t>
      </w:r>
      <w:proofErr w:type="spellStart"/>
      <w:r w:rsidRPr="006851D1">
        <w:rPr>
          <w:rFonts w:eastAsia="Times New Roman" w:cs="Times New Roman"/>
          <w:szCs w:val="24"/>
          <w:lang w:eastAsia="en-GB"/>
        </w:rPr>
        <w:t>Rooij</w:t>
      </w:r>
      <w:proofErr w:type="spellEnd"/>
      <w:r w:rsidRPr="006851D1">
        <w:rPr>
          <w:rFonts w:eastAsia="Times New Roman" w:cs="Times New Roman"/>
          <w:szCs w:val="24"/>
          <w:lang w:eastAsia="en-GB"/>
        </w:rPr>
        <w:t xml:space="preserve">, I. and </w:t>
      </w:r>
      <w:proofErr w:type="spellStart"/>
      <w:r w:rsidRPr="006851D1">
        <w:rPr>
          <w:rFonts w:eastAsia="Times New Roman" w:cs="Times New Roman"/>
          <w:szCs w:val="24"/>
          <w:lang w:eastAsia="en-GB"/>
        </w:rPr>
        <w:t>Luijkx</w:t>
      </w:r>
      <w:proofErr w:type="spellEnd"/>
      <w:r w:rsidRPr="006851D1">
        <w:rPr>
          <w:rFonts w:eastAsia="Times New Roman" w:cs="Times New Roman"/>
          <w:szCs w:val="24"/>
          <w:lang w:eastAsia="en-GB"/>
        </w:rPr>
        <w:t xml:space="preserve">, K. (2023) ‘Developing a person-centred care environment’, </w:t>
      </w:r>
      <w:r w:rsidRPr="006851D1">
        <w:rPr>
          <w:rFonts w:eastAsia="Times New Roman" w:cs="Times New Roman"/>
          <w:i/>
          <w:iCs/>
          <w:szCs w:val="24"/>
          <w:lang w:eastAsia="en-GB"/>
        </w:rPr>
        <w:t>BMC Geriatrics</w:t>
      </w:r>
      <w:r w:rsidRPr="006851D1">
        <w:rPr>
          <w:rFonts w:eastAsia="Times New Roman" w:cs="Times New Roman"/>
          <w:szCs w:val="24"/>
          <w:lang w:eastAsia="en-GB"/>
        </w:rPr>
        <w:t xml:space="preserve">, 23(1). Available at: </w:t>
      </w:r>
      <w:hyperlink r:id="rId24" w:tgtFrame="_new" w:history="1">
        <w:r w:rsidRPr="006851D1">
          <w:rPr>
            <w:rStyle w:val="Hyperlink"/>
            <w:rFonts w:eastAsia="Times New Roman" w:cs="Times New Roman"/>
            <w:szCs w:val="24"/>
            <w:lang w:eastAsia="en-GB"/>
          </w:rPr>
          <w:t>https://doi.org/10.1186/s12877-023-04434-8</w:t>
        </w:r>
      </w:hyperlink>
      <w:r w:rsidRPr="006851D1">
        <w:rPr>
          <w:rFonts w:eastAsia="Times New Roman" w:cs="Times New Roman"/>
          <w:szCs w:val="24"/>
          <w:lang w:eastAsia="en-GB"/>
        </w:rPr>
        <w:t xml:space="preserve"> (Accessed: 6 April 2026).</w:t>
      </w:r>
    </w:p>
    <w:p w14:paraId="30AEDB93"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Wei, H., Horns, P., Sears, S.F., Huang, K., Smith, C.M. and Wei, T.L. (2022) ‘A systematic meta-review of interprofessional collaboration’, </w:t>
      </w:r>
      <w:r w:rsidRPr="006851D1">
        <w:rPr>
          <w:rFonts w:eastAsia="Times New Roman" w:cs="Times New Roman"/>
          <w:i/>
          <w:iCs/>
          <w:szCs w:val="24"/>
          <w:lang w:eastAsia="en-GB"/>
        </w:rPr>
        <w:t>Journal of Interprofessional Care</w:t>
      </w:r>
      <w:r w:rsidRPr="006851D1">
        <w:rPr>
          <w:rFonts w:eastAsia="Times New Roman" w:cs="Times New Roman"/>
          <w:szCs w:val="24"/>
          <w:lang w:eastAsia="en-GB"/>
        </w:rPr>
        <w:t xml:space="preserve">, 36(5), pp. 735–749. Available at: </w:t>
      </w:r>
      <w:hyperlink r:id="rId25" w:tgtFrame="_new" w:history="1">
        <w:r w:rsidRPr="006851D1">
          <w:rPr>
            <w:rStyle w:val="Hyperlink"/>
            <w:rFonts w:eastAsia="Times New Roman" w:cs="Times New Roman"/>
            <w:szCs w:val="24"/>
            <w:lang w:eastAsia="en-GB"/>
          </w:rPr>
          <w:t>https://doi.org/10.1080/13561820.2021.1973975</w:t>
        </w:r>
      </w:hyperlink>
      <w:r w:rsidRPr="006851D1">
        <w:rPr>
          <w:rFonts w:eastAsia="Times New Roman" w:cs="Times New Roman"/>
          <w:szCs w:val="24"/>
          <w:lang w:eastAsia="en-GB"/>
        </w:rPr>
        <w:t xml:space="preserve"> (Accessed: 6 April 2026).</w:t>
      </w:r>
    </w:p>
    <w:p w14:paraId="3F2A55F1" w14:textId="77777777" w:rsidR="006851D1" w:rsidRPr="006851D1" w:rsidRDefault="006851D1" w:rsidP="006851D1">
      <w:pPr>
        <w:spacing w:after="0" w:line="240" w:lineRule="auto"/>
        <w:ind w:left="360"/>
        <w:rPr>
          <w:rFonts w:eastAsia="Times New Roman" w:cs="Times New Roman"/>
          <w:szCs w:val="24"/>
          <w:lang w:eastAsia="en-GB"/>
        </w:rPr>
      </w:pPr>
      <w:r w:rsidRPr="006851D1">
        <w:rPr>
          <w:rFonts w:eastAsia="Times New Roman" w:cs="Times New Roman"/>
          <w:szCs w:val="24"/>
          <w:lang w:eastAsia="en-GB"/>
        </w:rPr>
        <w:t xml:space="preserve">Taylor &amp; Francis (2019) ‘Interprofessional collaboration article’. Available at: </w:t>
      </w:r>
      <w:hyperlink r:id="rId26" w:tgtFrame="_new" w:history="1">
        <w:r w:rsidRPr="006851D1">
          <w:rPr>
            <w:rStyle w:val="Hyperlink"/>
            <w:rFonts w:eastAsia="Times New Roman" w:cs="Times New Roman"/>
            <w:szCs w:val="24"/>
            <w:lang w:eastAsia="en-GB"/>
          </w:rPr>
          <w:t>https://www.tandfonline.com/doi/epdf/10.1080/13561820.2019.1694496</w:t>
        </w:r>
      </w:hyperlink>
      <w:r w:rsidRPr="006851D1">
        <w:rPr>
          <w:rFonts w:eastAsia="Times New Roman" w:cs="Times New Roman"/>
          <w:szCs w:val="24"/>
          <w:lang w:eastAsia="en-GB"/>
        </w:rPr>
        <w:t xml:space="preserve"> (Accessed: 6 April 2026).</w:t>
      </w:r>
    </w:p>
    <w:p w14:paraId="22438D4E" w14:textId="77777777" w:rsidR="00123794" w:rsidRPr="00F95A23" w:rsidRDefault="00123794" w:rsidP="00F95A23">
      <w:pPr>
        <w:spacing w:after="0" w:line="240" w:lineRule="auto"/>
        <w:ind w:left="360"/>
        <w:rPr>
          <w:rFonts w:eastAsia="Times New Roman" w:cs="Times New Roman"/>
          <w:szCs w:val="24"/>
          <w:lang w:eastAsia="en-GB"/>
        </w:rPr>
      </w:pPr>
    </w:p>
    <w:sectPr w:rsidR="00123794" w:rsidRPr="00F95A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3C96E" w14:textId="77777777" w:rsidR="005865A2" w:rsidRDefault="005865A2" w:rsidP="00B21FE6">
      <w:pPr>
        <w:spacing w:after="0" w:line="240" w:lineRule="auto"/>
      </w:pPr>
      <w:r>
        <w:separator/>
      </w:r>
    </w:p>
  </w:endnote>
  <w:endnote w:type="continuationSeparator" w:id="0">
    <w:p w14:paraId="5C2F88C3" w14:textId="77777777" w:rsidR="005865A2" w:rsidRDefault="005865A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B9F6C" w14:textId="77777777" w:rsidR="005865A2" w:rsidRDefault="005865A2" w:rsidP="00B21FE6">
      <w:pPr>
        <w:spacing w:after="0" w:line="240" w:lineRule="auto"/>
      </w:pPr>
      <w:r>
        <w:separator/>
      </w:r>
    </w:p>
  </w:footnote>
  <w:footnote w:type="continuationSeparator" w:id="0">
    <w:p w14:paraId="11EF895E" w14:textId="77777777" w:rsidR="005865A2" w:rsidRDefault="005865A2"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B5643"/>
    <w:multiLevelType w:val="hybridMultilevel"/>
    <w:tmpl w:val="5F5E2DE0"/>
    <w:lvl w:ilvl="0" w:tplc="BC3262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401765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8551B"/>
    <w:rsid w:val="000D7603"/>
    <w:rsid w:val="000F779F"/>
    <w:rsid w:val="00123794"/>
    <w:rsid w:val="001333C2"/>
    <w:rsid w:val="00182BD4"/>
    <w:rsid w:val="001B6553"/>
    <w:rsid w:val="001D345E"/>
    <w:rsid w:val="001D6394"/>
    <w:rsid w:val="00220640"/>
    <w:rsid w:val="0022558B"/>
    <w:rsid w:val="00225FD6"/>
    <w:rsid w:val="00226821"/>
    <w:rsid w:val="002279FE"/>
    <w:rsid w:val="002B690F"/>
    <w:rsid w:val="002C233D"/>
    <w:rsid w:val="002D39BD"/>
    <w:rsid w:val="00317E3D"/>
    <w:rsid w:val="00342CDC"/>
    <w:rsid w:val="00350D4F"/>
    <w:rsid w:val="00387208"/>
    <w:rsid w:val="003D24EB"/>
    <w:rsid w:val="003F2D3C"/>
    <w:rsid w:val="0044060B"/>
    <w:rsid w:val="004612F7"/>
    <w:rsid w:val="004F5B88"/>
    <w:rsid w:val="00501DC4"/>
    <w:rsid w:val="00527A28"/>
    <w:rsid w:val="00537BE9"/>
    <w:rsid w:val="005618A1"/>
    <w:rsid w:val="0058218C"/>
    <w:rsid w:val="005865A2"/>
    <w:rsid w:val="00594FAC"/>
    <w:rsid w:val="005F059A"/>
    <w:rsid w:val="00610A5B"/>
    <w:rsid w:val="006524ED"/>
    <w:rsid w:val="006851D1"/>
    <w:rsid w:val="006B360C"/>
    <w:rsid w:val="006D2F2D"/>
    <w:rsid w:val="006E1FF9"/>
    <w:rsid w:val="006E38AB"/>
    <w:rsid w:val="007065DE"/>
    <w:rsid w:val="007307B5"/>
    <w:rsid w:val="00734498"/>
    <w:rsid w:val="00752B54"/>
    <w:rsid w:val="0077041E"/>
    <w:rsid w:val="00785886"/>
    <w:rsid w:val="007F3A6A"/>
    <w:rsid w:val="0087253E"/>
    <w:rsid w:val="00887FBB"/>
    <w:rsid w:val="008B433E"/>
    <w:rsid w:val="008C0557"/>
    <w:rsid w:val="008E586D"/>
    <w:rsid w:val="008F1A36"/>
    <w:rsid w:val="008F6D4B"/>
    <w:rsid w:val="00900ACB"/>
    <w:rsid w:val="009258DC"/>
    <w:rsid w:val="00947120"/>
    <w:rsid w:val="00956212"/>
    <w:rsid w:val="009B2079"/>
    <w:rsid w:val="009B272D"/>
    <w:rsid w:val="009E5C5F"/>
    <w:rsid w:val="009F7E7D"/>
    <w:rsid w:val="00A11336"/>
    <w:rsid w:val="00A33817"/>
    <w:rsid w:val="00AE7DDA"/>
    <w:rsid w:val="00AF0FAD"/>
    <w:rsid w:val="00AF39E7"/>
    <w:rsid w:val="00AF7275"/>
    <w:rsid w:val="00B21FE6"/>
    <w:rsid w:val="00B43B96"/>
    <w:rsid w:val="00B47EAF"/>
    <w:rsid w:val="00B50B26"/>
    <w:rsid w:val="00BA4303"/>
    <w:rsid w:val="00BB6759"/>
    <w:rsid w:val="00BC79FE"/>
    <w:rsid w:val="00C05489"/>
    <w:rsid w:val="00C14732"/>
    <w:rsid w:val="00C558B0"/>
    <w:rsid w:val="00C72F6B"/>
    <w:rsid w:val="00CB1F47"/>
    <w:rsid w:val="00D00A38"/>
    <w:rsid w:val="00D545BA"/>
    <w:rsid w:val="00D66C96"/>
    <w:rsid w:val="00D97723"/>
    <w:rsid w:val="00DA6BD1"/>
    <w:rsid w:val="00E2174D"/>
    <w:rsid w:val="00E2593B"/>
    <w:rsid w:val="00E33EBA"/>
    <w:rsid w:val="00E81204"/>
    <w:rsid w:val="00EA742E"/>
    <w:rsid w:val="00EB354D"/>
    <w:rsid w:val="00F81510"/>
    <w:rsid w:val="00F95A23"/>
    <w:rsid w:val="00FA3C59"/>
    <w:rsid w:val="00FA6248"/>
    <w:rsid w:val="00FA7E56"/>
    <w:rsid w:val="00FE39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8DC"/>
    <w:pPr>
      <w:spacing w:line="256" w:lineRule="auto"/>
    </w:pPr>
    <w:rPr>
      <w:rFonts w:ascii="Times New Roman" w:hAnsi="Times New Roman"/>
      <w:sz w:val="24"/>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6D2F2D"/>
    <w:pPr>
      <w:ind w:left="720"/>
      <w:contextualSpacing/>
    </w:pPr>
  </w:style>
  <w:style w:type="paragraph" w:styleId="Cabealho">
    <w:name w:val="header"/>
    <w:basedOn w:val="Normal"/>
    <w:link w:val="CabealhoChar"/>
    <w:uiPriority w:val="99"/>
    <w:unhideWhenUsed/>
    <w:rsid w:val="00B21FE6"/>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B21FE6"/>
    <w:rPr>
      <w:rFonts w:ascii="Times New Roman" w:hAnsi="Times New Roman"/>
      <w:sz w:val="24"/>
    </w:rPr>
  </w:style>
  <w:style w:type="paragraph" w:styleId="Rodap">
    <w:name w:val="footer"/>
    <w:basedOn w:val="Normal"/>
    <w:link w:val="RodapChar"/>
    <w:uiPriority w:val="99"/>
    <w:unhideWhenUsed/>
    <w:rsid w:val="00B21FE6"/>
    <w:pPr>
      <w:tabs>
        <w:tab w:val="center" w:pos="4513"/>
        <w:tab w:val="right" w:pos="9026"/>
      </w:tabs>
      <w:spacing w:after="0" w:line="240" w:lineRule="auto"/>
    </w:pPr>
  </w:style>
  <w:style w:type="character" w:customStyle="1" w:styleId="RodapChar">
    <w:name w:val="Rodapé Char"/>
    <w:basedOn w:val="Fontepargpadro"/>
    <w:link w:val="Rodap"/>
    <w:uiPriority w:val="99"/>
    <w:rsid w:val="00B21FE6"/>
    <w:rPr>
      <w:rFonts w:ascii="Times New Roman" w:hAnsi="Times New Roman"/>
      <w:sz w:val="24"/>
    </w:rPr>
  </w:style>
  <w:style w:type="character" w:styleId="Hyperlink">
    <w:name w:val="Hyperlink"/>
    <w:basedOn w:val="Fontepargpadro"/>
    <w:uiPriority w:val="99"/>
    <w:unhideWhenUsed/>
    <w:rsid w:val="007065DE"/>
    <w:rPr>
      <w:color w:val="0563C1" w:themeColor="hyperlink"/>
      <w:u w:val="single"/>
    </w:rPr>
  </w:style>
  <w:style w:type="character" w:styleId="MenoPendente">
    <w:name w:val="Unresolved Mention"/>
    <w:basedOn w:val="Fontepargpadro"/>
    <w:uiPriority w:val="99"/>
    <w:semiHidden/>
    <w:unhideWhenUsed/>
    <w:rsid w:val="007065DE"/>
    <w:rPr>
      <w:color w:val="605E5C"/>
      <w:shd w:val="clear" w:color="auto" w:fill="E1DFDD"/>
    </w:rPr>
  </w:style>
  <w:style w:type="paragraph" w:styleId="NormalWeb">
    <w:name w:val="Normal (Web)"/>
    <w:basedOn w:val="Normal"/>
    <w:uiPriority w:val="99"/>
    <w:unhideWhenUsed/>
    <w:rsid w:val="005F059A"/>
    <w:pPr>
      <w:spacing w:before="100" w:beforeAutospacing="1" w:after="100" w:afterAutospacing="1" w:line="240" w:lineRule="auto"/>
    </w:pPr>
    <w:rPr>
      <w:rFonts w:eastAsia="Times New Roman" w:cs="Times New Roman"/>
      <w:szCs w:val="24"/>
      <w:lang w:eastAsia="en-GB"/>
    </w:rPr>
  </w:style>
  <w:style w:type="character" w:styleId="nfase">
    <w:name w:val="Emphasis"/>
    <w:basedOn w:val="Fontepargpadro"/>
    <w:uiPriority w:val="20"/>
    <w:qFormat/>
    <w:rsid w:val="005F05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16/j.jad.2018.04.066" TargetMode="External"/><Relationship Id="rId18" Type="http://schemas.openxmlformats.org/officeDocument/2006/relationships/hyperlink" Target="https://doi.org/10.5334/ijic.326" TargetMode="External"/><Relationship Id="rId26" Type="http://schemas.openxmlformats.org/officeDocument/2006/relationships/hyperlink" Target="https://www.tandfonline.com/doi/epdf/10.1080/13561820.2019.1694496" TargetMode="External"/><Relationship Id="rId3" Type="http://schemas.openxmlformats.org/officeDocument/2006/relationships/settings" Target="settings.xml"/><Relationship Id="rId21" Type="http://schemas.openxmlformats.org/officeDocument/2006/relationships/hyperlink" Target="https://www.health.org.uk/sites/default/files/PersonCentredCareFromIdeasToAction.pdf" TargetMode="External"/><Relationship Id="rId7" Type="http://schemas.openxmlformats.org/officeDocument/2006/relationships/image" Target="media/image1.png"/><Relationship Id="rId12" Type="http://schemas.openxmlformats.org/officeDocument/2006/relationships/hyperlink" Target="https://doi.org/10.1111/j.1466-7657.2010.00831.x" TargetMode="External"/><Relationship Id="rId17" Type="http://schemas.openxmlformats.org/officeDocument/2006/relationships/hyperlink" Target="https://doi.org/10.1016/j.jcrc.2014.01.009" TargetMode="External"/><Relationship Id="rId25" Type="http://schemas.openxmlformats.org/officeDocument/2006/relationships/hyperlink" Target="https://doi.org/10.1080/13561820.2021.1973975" TargetMode="External"/><Relationship Id="rId2" Type="http://schemas.openxmlformats.org/officeDocument/2006/relationships/styles" Target="styles.xml"/><Relationship Id="rId16" Type="http://schemas.openxmlformats.org/officeDocument/2006/relationships/hyperlink" Target="https://doi.org/10.1177/0308022614562787" TargetMode="External"/><Relationship Id="rId20" Type="http://schemas.openxmlformats.org/officeDocument/2006/relationships/hyperlink" Target="https://doi.org/10.1080/13561820.2017.13100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l.acm.org/doi/epdf/10.1145/2783446.2783586" TargetMode="External"/><Relationship Id="rId24" Type="http://schemas.openxmlformats.org/officeDocument/2006/relationships/hyperlink" Target="https://doi.org/10.1186/s12877-023-04434-8" TargetMode="External"/><Relationship Id="rId5" Type="http://schemas.openxmlformats.org/officeDocument/2006/relationships/footnotes" Target="footnotes.xml"/><Relationship Id="rId15" Type="http://schemas.openxmlformats.org/officeDocument/2006/relationships/hyperlink" Target="https://doi.org/10.1080/15265161.2013.802068" TargetMode="External"/><Relationship Id="rId23" Type="http://schemas.openxmlformats.org/officeDocument/2006/relationships/hyperlink" Target="https://www.legislation.gov.uk/ukpga/2022/31/section/26" TargetMode="External"/><Relationship Id="rId28" Type="http://schemas.openxmlformats.org/officeDocument/2006/relationships/theme" Target="theme/theme1.xml"/><Relationship Id="rId10" Type="http://schemas.openxmlformats.org/officeDocument/2006/relationships/hyperlink" Target="https://doi.org/10.4324/9780203839058" TargetMode="External"/><Relationship Id="rId19" Type="http://schemas.openxmlformats.org/officeDocument/2006/relationships/hyperlink" Target="https://doi.org/10.1136/bmjqs-2015-004561" TargetMode="External"/><Relationship Id="rId4" Type="http://schemas.openxmlformats.org/officeDocument/2006/relationships/webSettings" Target="webSettings.xml"/><Relationship Id="rId9" Type="http://schemas.openxmlformats.org/officeDocument/2006/relationships/hyperlink" Target="https://doi.org/10.1111/jocn.15245" TargetMode="External"/><Relationship Id="rId14" Type="http://schemas.openxmlformats.org/officeDocument/2006/relationships/hyperlink" Target="https://doi.org/10.3109/09638237.2014.954695" TargetMode="External"/><Relationship Id="rId22" Type="http://schemas.openxmlformats.org/officeDocument/2006/relationships/hyperlink" Target="https://www.legislation.gov.uk/ukpga/2014/23/section/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9</Pages>
  <Words>2660</Words>
  <Characters>15166</Characters>
  <Application>Microsoft Office Word</Application>
  <DocSecurity>0</DocSecurity>
  <Lines>126</Lines>
  <Paragraphs>35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familia familia</cp:lastModifiedBy>
  <cp:revision>5</cp:revision>
  <dcterms:created xsi:type="dcterms:W3CDTF">2026-04-06T15:11:00Z</dcterms:created>
  <dcterms:modified xsi:type="dcterms:W3CDTF">2026-04-06T17:11:00Z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94ab3e38-4aa5-4e56-b211-59fabee59e77</vt:lpwstr>
  </property>
</Properties>
</file>