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E7B62" w14:textId="77777777" w:rsidR="000F6C65" w:rsidRDefault="00E20580" w:rsidP="003E6FBD">
      <w:pPr>
        <w:pStyle w:val="Title"/>
        <w:jc w:val="both"/>
      </w:pPr>
      <w:bookmarkStart w:id="0" w:name="BRANCH_0"/>
      <w:bookmarkStart w:id="1" w:name="_MV3TS_projectmanagement_2"/>
      <w:bookmarkStart w:id="2" w:name="_MV3BS_0"/>
      <w:r>
        <w:t xml:space="preserve">A Written Assignment showing how a series of learning opportunities can be inter-linked to demonstrate progression in an area of learning and experience </w:t>
      </w:r>
      <w:bookmarkEnd w:id="0"/>
    </w:p>
    <w:p w14:paraId="673064CC" w14:textId="77CCEEBE" w:rsidR="000F6C65" w:rsidRDefault="003305F2" w:rsidP="003E6FBD">
      <w:pPr>
        <w:jc w:val="both"/>
      </w:pPr>
      <w:bookmarkStart w:id="3" w:name="_MV3XX_4"/>
      <w:r w:rsidRPr="003305F2">
        <w:drawing>
          <wp:inline distT="0" distB="0" distL="0" distR="0" wp14:anchorId="0BEFD441" wp14:editId="6FB00465">
            <wp:extent cx="5763802" cy="3103587"/>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917" t="33794" r="28463" b="21559"/>
                    <a:stretch/>
                  </pic:blipFill>
                  <pic:spPr bwMode="auto">
                    <a:xfrm>
                      <a:off x="0" y="0"/>
                      <a:ext cx="5805128" cy="3125839"/>
                    </a:xfrm>
                    <a:prstGeom prst="rect">
                      <a:avLst/>
                    </a:prstGeom>
                    <a:ln>
                      <a:noFill/>
                    </a:ln>
                    <a:extLst>
                      <a:ext uri="{53640926-AAD7-44D8-BBD7-CCE9431645EC}">
                        <a14:shadowObscured xmlns:a14="http://schemas.microsoft.com/office/drawing/2010/main"/>
                      </a:ext>
                    </a:extLst>
                  </pic:spPr>
                </pic:pic>
              </a:graphicData>
            </a:graphic>
          </wp:inline>
        </w:drawing>
      </w:r>
      <w:bookmarkStart w:id="4" w:name="_GoBack"/>
      <w:bookmarkEnd w:id="4"/>
    </w:p>
    <w:bookmarkEnd w:id="3"/>
    <w:p w14:paraId="665D0331" w14:textId="58D41B4D" w:rsidR="00E20580" w:rsidRPr="00E20580" w:rsidRDefault="00E20580" w:rsidP="00E20580">
      <w:pPr>
        <w:pStyle w:val="TOC1"/>
        <w:jc w:val="both"/>
      </w:pPr>
      <w:r>
        <w:fldChar w:fldCharType="begin"/>
      </w:r>
      <w:r>
        <w:instrText xml:space="preserve"> TOC \o "1-3" \h \z \u </w:instrText>
      </w:r>
      <w:r>
        <w:fldChar w:fldCharType="separate"/>
      </w:r>
      <w:hyperlink w:anchor="_Toc4400025" w:history="1">
        <w:r>
          <w:rPr>
            <w:rStyle w:val="Hyperlink"/>
          </w:rPr>
          <w:t xml:space="preserve">Introduction </w:t>
        </w:r>
        <w:r w:rsidR="003E6FBD">
          <w:rPr>
            <w:rStyle w:val="Hyperlink"/>
          </w:rPr>
          <w:t xml:space="preserve">    </w:t>
        </w:r>
        <w:r>
          <w:rPr>
            <w:webHidden/>
          </w:rPr>
          <w:tab/>
        </w:r>
        <w:r>
          <w:rPr>
            <w:webHidden/>
          </w:rPr>
          <w:fldChar w:fldCharType="begin"/>
        </w:r>
        <w:r>
          <w:rPr>
            <w:webHidden/>
          </w:rPr>
          <w:instrText xml:space="preserve"> PAGEREF _Toc4400025 \h </w:instrText>
        </w:r>
        <w:r>
          <w:rPr>
            <w:webHidden/>
          </w:rPr>
        </w:r>
        <w:r>
          <w:rPr>
            <w:webHidden/>
          </w:rPr>
          <w:fldChar w:fldCharType="end"/>
        </w:r>
      </w:hyperlink>
      <w:r w:rsidR="003E6FBD">
        <w:t>2</w:t>
      </w:r>
      <w:r>
        <w:t xml:space="preserve"> - </w:t>
      </w:r>
      <w:r w:rsidR="00EF65B7">
        <w:t>4</w:t>
      </w:r>
    </w:p>
    <w:p w14:paraId="488309BD" w14:textId="15E9844D" w:rsidR="000F6C65" w:rsidRDefault="003305F2" w:rsidP="003E6FBD">
      <w:pPr>
        <w:pStyle w:val="TOC1"/>
        <w:jc w:val="both"/>
      </w:pPr>
      <w:hyperlink w:anchor="_Toc4400026" w:history="1">
        <w:r w:rsidR="00E20580">
          <w:rPr>
            <w:rStyle w:val="Hyperlink"/>
          </w:rPr>
          <w:t xml:space="preserve">Literature review </w:t>
        </w:r>
        <w:r w:rsidR="003E6FBD">
          <w:rPr>
            <w:rStyle w:val="Hyperlink"/>
          </w:rPr>
          <w:t xml:space="preserve">   </w:t>
        </w:r>
        <w:r w:rsidR="00E20580">
          <w:rPr>
            <w:webHidden/>
          </w:rPr>
          <w:tab/>
        </w:r>
        <w:r w:rsidR="00E20580">
          <w:rPr>
            <w:webHidden/>
          </w:rPr>
          <w:fldChar w:fldCharType="begin"/>
        </w:r>
        <w:r w:rsidR="00E20580">
          <w:rPr>
            <w:webHidden/>
          </w:rPr>
          <w:instrText xml:space="preserve"> PAGEREF _Toc4400026 \h </w:instrText>
        </w:r>
        <w:r w:rsidR="00E20580">
          <w:rPr>
            <w:webHidden/>
          </w:rPr>
        </w:r>
        <w:r w:rsidR="00E20580">
          <w:rPr>
            <w:webHidden/>
          </w:rPr>
          <w:fldChar w:fldCharType="end"/>
        </w:r>
      </w:hyperlink>
      <w:r w:rsidR="00EF65B7">
        <w:t>4</w:t>
      </w:r>
      <w:r w:rsidR="00E20580">
        <w:t xml:space="preserve"> - </w:t>
      </w:r>
      <w:r w:rsidR="00EF65B7">
        <w:t>7</w:t>
      </w:r>
    </w:p>
    <w:p w14:paraId="66197FBC" w14:textId="02D37534" w:rsidR="000F6C65" w:rsidRDefault="003305F2" w:rsidP="003E6FBD">
      <w:pPr>
        <w:pStyle w:val="TOC1"/>
        <w:jc w:val="both"/>
      </w:pPr>
      <w:hyperlink w:anchor="_Toc4400027" w:history="1">
        <w:r w:rsidR="00E20580">
          <w:rPr>
            <w:rStyle w:val="Hyperlink"/>
          </w:rPr>
          <w:t xml:space="preserve">Discussion of lesson plan decisions </w:t>
        </w:r>
        <w:r w:rsidR="003E6FBD">
          <w:rPr>
            <w:rStyle w:val="Hyperlink"/>
          </w:rPr>
          <w:t xml:space="preserve">    </w:t>
        </w:r>
        <w:r w:rsidR="00E20580">
          <w:rPr>
            <w:webHidden/>
          </w:rPr>
          <w:tab/>
        </w:r>
        <w:r w:rsidR="00E20580">
          <w:rPr>
            <w:webHidden/>
          </w:rPr>
          <w:fldChar w:fldCharType="begin"/>
        </w:r>
        <w:r w:rsidR="00E20580">
          <w:rPr>
            <w:webHidden/>
          </w:rPr>
          <w:instrText xml:space="preserve"> PAGEREF _Toc4400027 \h </w:instrText>
        </w:r>
        <w:r w:rsidR="00E20580">
          <w:rPr>
            <w:webHidden/>
          </w:rPr>
        </w:r>
        <w:r w:rsidR="00E20580">
          <w:rPr>
            <w:webHidden/>
          </w:rPr>
          <w:fldChar w:fldCharType="end"/>
        </w:r>
      </w:hyperlink>
      <w:r w:rsidR="00EF65B7">
        <w:t>7</w:t>
      </w:r>
      <w:r w:rsidR="00E20580">
        <w:t xml:space="preserve"> - </w:t>
      </w:r>
      <w:r w:rsidR="00EF65B7">
        <w:t>10</w:t>
      </w:r>
    </w:p>
    <w:p w14:paraId="7B463499" w14:textId="55D5C3E2" w:rsidR="000F6C65" w:rsidRDefault="003305F2" w:rsidP="003E6FBD">
      <w:pPr>
        <w:pStyle w:val="TOC1"/>
        <w:jc w:val="both"/>
      </w:pPr>
      <w:hyperlink w:anchor="_Toc4400028" w:history="1">
        <w:r w:rsidR="00E20580">
          <w:rPr>
            <w:rStyle w:val="Hyperlink"/>
          </w:rPr>
          <w:t xml:space="preserve">Conclusion </w:t>
        </w:r>
        <w:r w:rsidR="003E6FBD">
          <w:rPr>
            <w:rStyle w:val="Hyperlink"/>
          </w:rPr>
          <w:t xml:space="preserve">     </w:t>
        </w:r>
        <w:r w:rsidR="00E20580">
          <w:rPr>
            <w:rStyle w:val="Hyperlink"/>
          </w:rPr>
          <w:t xml:space="preserve"> </w:t>
        </w:r>
        <w:r w:rsidR="00E20580">
          <w:rPr>
            <w:webHidden/>
          </w:rPr>
          <w:tab/>
        </w:r>
        <w:r w:rsidR="00E20580">
          <w:rPr>
            <w:webHidden/>
          </w:rPr>
          <w:fldChar w:fldCharType="begin"/>
        </w:r>
        <w:r w:rsidR="00E20580">
          <w:rPr>
            <w:webHidden/>
          </w:rPr>
          <w:instrText xml:space="preserve"> PAGEREF _Toc4400028 \h </w:instrText>
        </w:r>
        <w:r w:rsidR="00E20580">
          <w:rPr>
            <w:webHidden/>
          </w:rPr>
        </w:r>
        <w:r w:rsidR="00E20580">
          <w:rPr>
            <w:webHidden/>
          </w:rPr>
          <w:fldChar w:fldCharType="end"/>
        </w:r>
      </w:hyperlink>
      <w:r w:rsidR="00EF65B7">
        <w:t>10 - 11</w:t>
      </w:r>
    </w:p>
    <w:p w14:paraId="4F5CC199" w14:textId="4A802AAC" w:rsidR="000F6C65" w:rsidRDefault="003305F2" w:rsidP="003E6FBD">
      <w:pPr>
        <w:pStyle w:val="TOC1"/>
        <w:jc w:val="both"/>
      </w:pPr>
      <w:hyperlink w:anchor="_Toc4400029" w:history="1">
        <w:r>
          <w:rPr>
            <w:rStyle w:val="Hyperlink"/>
          </w:rPr>
          <w:t xml:space="preserve">References   </w:t>
        </w:r>
        <w:r w:rsidR="00E20580">
          <w:rPr>
            <w:rStyle w:val="Hyperlink"/>
          </w:rPr>
          <w:t xml:space="preserve"> </w:t>
        </w:r>
        <w:r w:rsidR="003E6FBD">
          <w:rPr>
            <w:rStyle w:val="Hyperlink"/>
          </w:rPr>
          <w:t xml:space="preserve">   </w:t>
        </w:r>
        <w:r w:rsidR="00E20580">
          <w:rPr>
            <w:webHidden/>
          </w:rPr>
          <w:tab/>
        </w:r>
        <w:r w:rsidR="00E20580">
          <w:rPr>
            <w:webHidden/>
          </w:rPr>
          <w:fldChar w:fldCharType="begin"/>
        </w:r>
        <w:r w:rsidR="00E20580">
          <w:rPr>
            <w:webHidden/>
          </w:rPr>
          <w:instrText xml:space="preserve"> PAGEREF _Toc4400029 \h </w:instrText>
        </w:r>
        <w:r w:rsidR="00E20580">
          <w:rPr>
            <w:webHidden/>
          </w:rPr>
        </w:r>
        <w:r w:rsidR="00E20580">
          <w:rPr>
            <w:webHidden/>
          </w:rPr>
          <w:fldChar w:fldCharType="end"/>
        </w:r>
      </w:hyperlink>
      <w:r w:rsidR="00EF65B7">
        <w:t>11-13</w:t>
      </w:r>
    </w:p>
    <w:p w14:paraId="347BF9B4" w14:textId="1DB7C77E" w:rsidR="000F6C65" w:rsidRDefault="003305F2" w:rsidP="003E6FBD">
      <w:pPr>
        <w:pStyle w:val="TOC1"/>
        <w:jc w:val="both"/>
      </w:pPr>
      <w:hyperlink w:anchor="_Toc4400030" w:history="1">
        <w:r w:rsidR="00E20580">
          <w:rPr>
            <w:rStyle w:val="Hyperlink"/>
          </w:rPr>
          <w:t>Appendix</w:t>
        </w:r>
        <w:r w:rsidR="003E6FBD">
          <w:rPr>
            <w:rStyle w:val="Hyperlink"/>
          </w:rPr>
          <w:t xml:space="preserve">          </w:t>
        </w:r>
        <w:r w:rsidR="00E20580">
          <w:rPr>
            <w:webHidden/>
          </w:rPr>
          <w:tab/>
        </w:r>
        <w:r w:rsidR="00E20580">
          <w:rPr>
            <w:webHidden/>
          </w:rPr>
          <w:fldChar w:fldCharType="begin"/>
        </w:r>
        <w:r w:rsidR="00E20580">
          <w:rPr>
            <w:webHidden/>
          </w:rPr>
          <w:instrText xml:space="preserve"> PAGEREF _Toc4400030 \h </w:instrText>
        </w:r>
        <w:r w:rsidR="00E20580">
          <w:rPr>
            <w:webHidden/>
          </w:rPr>
        </w:r>
        <w:r w:rsidR="00E20580">
          <w:rPr>
            <w:webHidden/>
          </w:rPr>
          <w:fldChar w:fldCharType="end"/>
        </w:r>
      </w:hyperlink>
      <w:r w:rsidR="00E20580">
        <w:t xml:space="preserve"> </w:t>
      </w:r>
    </w:p>
    <w:p w14:paraId="1327302E" w14:textId="77777777" w:rsidR="000F6C65" w:rsidRDefault="00E20580" w:rsidP="003E6FBD">
      <w:pPr>
        <w:jc w:val="both"/>
      </w:pPr>
      <w:r>
        <w:fldChar w:fldCharType="end"/>
      </w:r>
    </w:p>
    <w:p w14:paraId="61701A9E" w14:textId="77777777" w:rsidR="000F6C65" w:rsidRDefault="00E20580" w:rsidP="003E6FBD">
      <w:pPr>
        <w:jc w:val="both"/>
      </w:pPr>
      <w:r>
        <w:br w:type="page"/>
      </w:r>
    </w:p>
    <w:p w14:paraId="24BA0B4C" w14:textId="3BF9E5A4" w:rsidR="000F6C65" w:rsidRDefault="00E20580" w:rsidP="008C66F4">
      <w:pPr>
        <w:pStyle w:val="Heading1"/>
        <w:spacing w:line="360" w:lineRule="auto"/>
        <w:jc w:val="both"/>
      </w:pPr>
      <w:bookmarkStart w:id="5" w:name="_MV3TD_PT8H00M00S_5"/>
      <w:bookmarkStart w:id="6" w:name="BRANCH_1"/>
      <w:bookmarkStart w:id="7" w:name="_Toc4400025"/>
      <w:bookmarkStart w:id="8" w:name="_MV3BS_1"/>
      <w:bookmarkEnd w:id="5"/>
      <w:bookmarkEnd w:id="1"/>
      <w:bookmarkEnd w:id="2"/>
      <w:r>
        <w:lastRenderedPageBreak/>
        <w:t>Introduction</w:t>
      </w:r>
      <w:bookmarkEnd w:id="6"/>
      <w:bookmarkEnd w:id="7"/>
    </w:p>
    <w:p w14:paraId="7F42642C" w14:textId="45D066D9" w:rsidR="00FF6157"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bookmarkStart w:id="9" w:name="_MV3TD_PT8H00M00S_8"/>
      <w:bookmarkEnd w:id="9"/>
      <w:r>
        <w:rPr>
          <w:rFonts w:ascii="Arial" w:hAnsi="Arial" w:cs="Arial"/>
          <w:sz w:val="24"/>
          <w:szCs w:val="24"/>
          <w:lang w:val="en-GB" w:eastAsia="en-GB"/>
        </w:rPr>
        <w:t>The central theme of this assignment will focus on Assessment for Learning (AfL) which will concentrate on learning progression throughout a series of learning opportunities (3 lesson plans) presented within the Appendix of this assignment.</w:t>
      </w:r>
      <w:r w:rsidR="008E5157">
        <w:rPr>
          <w:rFonts w:ascii="Arial" w:hAnsi="Arial" w:cs="Arial"/>
          <w:sz w:val="24"/>
          <w:szCs w:val="24"/>
          <w:lang w:val="en-GB" w:eastAsia="en-GB"/>
        </w:rPr>
        <w:t xml:space="preserve">  The method of interlinking looks at joining two things, in this case joining two learning opportunities and helping pupils to develop their skills within these interlinking learning opportunities. Creating learning opportunities for pupils to further develop skills in different AoLE’s allows them to experience different methods of teaching from the class teacher.  </w:t>
      </w:r>
      <w:r>
        <w:rPr>
          <w:rFonts w:ascii="Arial" w:hAnsi="Arial" w:cs="Arial"/>
          <w:sz w:val="24"/>
          <w:szCs w:val="24"/>
          <w:lang w:val="en-GB" w:eastAsia="en-GB"/>
        </w:rPr>
        <w:t>These lessons will be aimed at year 6 pupils who are between the ages of 10 and 11; this class will be of mixed ability, with 10% of the class having learning differences which will need to be accounted for within the lesson plans. For the lesson plans, three out of the Six Areas of Learning and Experience (AoLE) recommended by Professor Graham Donaldson have been chosen. The Six AoLEs include Expressive Arts, Health &amp; Well-Being, Humanities, Languages, Literacy &amp; Communication, Mathematics &amp; Numeracy and Science &amp; Technology (Donaldson, 2015). From these six, three had to be selected, namely Humanities, Expressive Arts and Language, Literacy and Communication. Each of these AoLEs provide different benefits for pupil learning. For example, Expressive Arts involves a range of media such as music, film, dance, art and digital media all of which are used within teaching in order to guide pupils into becoming creative individuals and provide them with the motivation needed to encourage self-confidence and determination. Furthermore, within the draft curriculum for Expressive Arts</w:t>
      </w:r>
      <w:r w:rsidR="008E5157">
        <w:rPr>
          <w:rFonts w:ascii="Arial" w:hAnsi="Arial" w:cs="Arial"/>
          <w:sz w:val="24"/>
          <w:szCs w:val="24"/>
          <w:lang w:val="en-GB" w:eastAsia="en-GB"/>
        </w:rPr>
        <w:t>.</w:t>
      </w:r>
    </w:p>
    <w:p w14:paraId="6EA7F66A"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CA542A9"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ab/>
        <w:t>The Expressive Arts Area of Learning and Experience will also foster creativity and critical thinking skills which will aid learners’ capacity to question, make connections, innovate, solve problems, communicate, collaborate and reflect critically. These are higher-order skills in demand by employers and essential for learners to become active twenty-first century citizens.</w:t>
      </w:r>
    </w:p>
    <w:p w14:paraId="2AFB1481"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7D4E5ACC"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(Welsh Assembly Government, 2019a, p. 3).</w:t>
      </w:r>
    </w:p>
    <w:p w14:paraId="41FE3E51"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51A98D28"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Furthermore, when teaching aspects of Humanities, it is important to distinguish which aspect within Humanities is being taught as it encompasses a wide range of topics </w:t>
      </w:r>
      <w:r>
        <w:rPr>
          <w:rFonts w:ascii="Arial" w:hAnsi="Arial" w:cs="Arial"/>
          <w:sz w:val="24"/>
          <w:szCs w:val="24"/>
          <w:lang w:val="en-GB" w:eastAsia="en-GB"/>
        </w:rPr>
        <w:lastRenderedPageBreak/>
        <w:t>such as History, Geography, Religious Education and Social and Business Studies. Humanities can engage pupils in learning about their heritage and culture but allow them to also learn about other cultures from around the world. The Draft Curriculum relating to Humanities states that:</w:t>
      </w:r>
    </w:p>
    <w:p w14:paraId="7099084D"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9E06AD5"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ab/>
        <w:t>...learners will enquire and investigate; evaluate diverse views of the world and form their own interpretations; engage with issues including sustainability and social change; and be invited to take social action in response to their learning.</w:t>
      </w:r>
    </w:p>
    <w:p w14:paraId="716F46C4"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54FAC1CA"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(Welsh Assembly Government, 2019b, p. 3).</w:t>
      </w:r>
    </w:p>
    <w:p w14:paraId="32E95480"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C5B7E7A"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The Language, Literacy and Communication AoLE supports learners as they learn languages such as English and Welsh, providing them with the skills needed to communicate in their homes and everyday lives. Along with learning languages, pupils will also engage with literature that can further support their learning within this AoLE. Also, with the draft curriculum for language, literacy and communication, pupils</w:t>
      </w:r>
    </w:p>
    <w:p w14:paraId="1D0FEF34"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0758726A"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ab/>
        <w:t>… will be encouraged to transfer what they have learned about how languages work in, for example, Welsh and English to learning and using international languages. This multilingual approach will ignite learners’ enthusiasm and provide them with a firm foundation for a lifelong interest in learning subsequent languages and in literature from Wales and the world.</w:t>
      </w:r>
    </w:p>
    <w:p w14:paraId="6729FBC9"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4E658854" w14:textId="5A43FBA8" w:rsidR="00660711"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(Welsh Assembly Government, 2019c, p. 3).</w:t>
      </w:r>
    </w:p>
    <w:p w14:paraId="21686BDC"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DFE902B" w14:textId="55926457" w:rsidR="00A14D9C" w:rsidRDefault="00E20580" w:rsidP="008C66F4">
      <w:pPr>
        <w:spacing w:line="360" w:lineRule="auto"/>
        <w:jc w:val="both"/>
      </w:pPr>
      <w:r>
        <w:rPr>
          <w:rFonts w:ascii="Arial" w:hAnsi="Arial" w:cs="Arial"/>
          <w:sz w:val="24"/>
          <w:szCs w:val="24"/>
          <w:lang w:val="en-GB" w:eastAsia="en-GB"/>
        </w:rPr>
        <w:t xml:space="preserve">The three lessons based on the AoLE's will follow on as part of a sequence of lessons based on the theme of Ancient Greece. The previous lesson within this topic focused on the religious views of the people of Ancient Greece including looking at what religion the people of Ancient Greece practiced and studying the religious buildings, such as temples, which were dedicated to Gods and Goddesses. The three lessons which are the focus of this assignment will follow on from this lesson and will link together with each of them making clear links to the last learning experience, which enforces cross-curricular responsibilities. According to the Welsh Assembly Government (2019d, p. 4) the cross-curricular responsibilities involve the inclusion of the Literacy and </w:t>
      </w:r>
      <w:r>
        <w:rPr>
          <w:rFonts w:ascii="Arial" w:hAnsi="Arial" w:cs="Arial"/>
          <w:sz w:val="24"/>
          <w:szCs w:val="24"/>
          <w:lang w:val="en-GB" w:eastAsia="en-GB"/>
        </w:rPr>
        <w:lastRenderedPageBreak/>
        <w:t xml:space="preserve">Numeracy Framework along with the Digital Competency Framework. These cross-curricular responsibilities must be included throughout a pupil's learning and be integrated with each AoLE wherever and however possible </w:t>
      </w:r>
      <w:r w:rsidR="008E5157">
        <w:rPr>
          <w:rFonts w:ascii="Arial" w:hAnsi="Arial" w:cs="Arial"/>
          <w:sz w:val="24"/>
          <w:szCs w:val="24"/>
          <w:lang w:val="en-GB" w:eastAsia="en-GB"/>
        </w:rPr>
        <w:t>in order</w:t>
      </w:r>
      <w:r>
        <w:rPr>
          <w:rFonts w:ascii="Arial" w:hAnsi="Arial" w:cs="Arial"/>
          <w:sz w:val="24"/>
          <w:szCs w:val="24"/>
          <w:lang w:val="en-GB" w:eastAsia="en-GB"/>
        </w:rPr>
        <w:t xml:space="preserve"> to further a pupil’s understanding and provide them with the most effective and engaging education throughout their time in primary school and beyond.</w:t>
      </w:r>
      <w:r w:rsidR="008E5157">
        <w:rPr>
          <w:rFonts w:ascii="Arial" w:hAnsi="Arial" w:cs="Arial"/>
          <w:sz w:val="24"/>
          <w:szCs w:val="24"/>
          <w:lang w:val="en-GB" w:eastAsia="en-GB"/>
        </w:rPr>
        <w:t xml:space="preserve">  </w:t>
      </w:r>
    </w:p>
    <w:p w14:paraId="69ED92C4" w14:textId="2B6C4519" w:rsidR="000F6C65" w:rsidRDefault="00E20580" w:rsidP="008C66F4">
      <w:pPr>
        <w:pStyle w:val="Heading1"/>
        <w:spacing w:line="360" w:lineRule="auto"/>
        <w:jc w:val="both"/>
      </w:pPr>
      <w:bookmarkStart w:id="10" w:name="BRANCH_2"/>
      <w:bookmarkStart w:id="11" w:name="_Toc4400026"/>
      <w:bookmarkStart w:id="12" w:name="_MV3BS_2"/>
      <w:bookmarkEnd w:id="8"/>
      <w:r>
        <w:t xml:space="preserve">Literature review </w:t>
      </w:r>
      <w:bookmarkEnd w:id="10"/>
      <w:bookmarkEnd w:id="11"/>
    </w:p>
    <w:p w14:paraId="5A245E8A" w14:textId="2035222E"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bookmarkStart w:id="13" w:name="_MV3TD_PT8H00M00S_11"/>
      <w:bookmarkEnd w:id="13"/>
      <w:r>
        <w:rPr>
          <w:rFonts w:ascii="Arial" w:hAnsi="Arial" w:cs="Arial"/>
          <w:sz w:val="24"/>
          <w:szCs w:val="24"/>
          <w:lang w:val="en-GB" w:eastAsia="en-GB"/>
        </w:rPr>
        <w:t xml:space="preserve">"Assessment for learning (AfL) is an approach, integrated into teaching and learning, which creates feedback for students and teachers in order to improve learning and guide their next steps." (Cambridge Assessment International Education, 2019, p. 1).  On the other hand, Chris Kyriacou (2009, p.98) agrees with the views of Black (2003, cited in Kyriacou, 2009, p. 98) that the methods used by pupils and teachers, such as assessment activities, enable them to gain a coherent awareness </w:t>
      </w:r>
      <w:r w:rsidR="008E5157">
        <w:rPr>
          <w:rFonts w:ascii="Arial" w:hAnsi="Arial" w:cs="Arial"/>
          <w:sz w:val="24"/>
          <w:szCs w:val="24"/>
          <w:lang w:val="en-GB" w:eastAsia="en-GB"/>
        </w:rPr>
        <w:t>with reference to</w:t>
      </w:r>
      <w:r>
        <w:rPr>
          <w:rFonts w:ascii="Arial" w:hAnsi="Arial" w:cs="Arial"/>
          <w:sz w:val="24"/>
          <w:szCs w:val="24"/>
          <w:lang w:val="en-GB" w:eastAsia="en-GB"/>
        </w:rPr>
        <w:t xml:space="preserve"> the learning that has taken place and from what source can their future learning successfully advance.  There are many different Assessment for Learning Strategies that </w:t>
      </w:r>
      <w:r w:rsidR="008E5157">
        <w:rPr>
          <w:rFonts w:ascii="Arial" w:hAnsi="Arial" w:cs="Arial"/>
          <w:sz w:val="24"/>
          <w:szCs w:val="24"/>
          <w:lang w:val="en-GB" w:eastAsia="en-GB"/>
        </w:rPr>
        <w:t>has the ability to</w:t>
      </w:r>
      <w:r>
        <w:rPr>
          <w:rFonts w:ascii="Arial" w:hAnsi="Arial" w:cs="Arial"/>
          <w:sz w:val="24"/>
          <w:szCs w:val="24"/>
          <w:lang w:val="en-GB" w:eastAsia="en-GB"/>
        </w:rPr>
        <w:t xml:space="preserve"> be implemented within a lesson to monitor a pupil's progression within specific subjects.  Within this section only a select few of those AfL strategies will be discussed in detail as they are the most influential throughout all the lesson plans.  "Basketball not ping-pong" (Welsh Assembly Government, 2010, p. 42) is one of many AfL strategies used to monitor pupil's progression.  According to Dylan William, this AFL strategy involves the teacher moving away from the standard way of questioning; question, answer and evaluation, instead implementing basketball questioning which suggests posing a question to the pupils, pausing to allow thinking time, pounce on one pupil for an answer and the bounce that answer on to another pupils to evaluate the answer given.  (Solution Tree, 2019).  </w:t>
      </w:r>
    </w:p>
    <w:p w14:paraId="404BBF35"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4F31D63" w14:textId="7875409C"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Furthermore, another AfL Strategy included within the lessons will be "KWL/KWLH grids" (Welsh Assembly Government, 2010, p. 57).  According to Al-Shaye (2002, cited in Alshatti, Watters, and Kidman, 2012) K-W-L was specifically designed to enable students to identify and activate their own prior knowledge, set their own learning goals, and </w:t>
      </w:r>
      <w:r w:rsidR="00CE797F">
        <w:rPr>
          <w:rFonts w:ascii="Arial" w:hAnsi="Arial" w:cs="Arial"/>
          <w:sz w:val="24"/>
          <w:szCs w:val="24"/>
          <w:lang w:val="en-GB" w:eastAsia="en-GB"/>
        </w:rPr>
        <w:t xml:space="preserve">have the ability </w:t>
      </w:r>
      <w:r>
        <w:rPr>
          <w:rFonts w:ascii="Arial" w:hAnsi="Arial" w:cs="Arial"/>
          <w:sz w:val="24"/>
          <w:szCs w:val="24"/>
          <w:lang w:val="en-GB" w:eastAsia="en-GB"/>
        </w:rPr>
        <w:t xml:space="preserve">to identify the new knowledge learned.  According to Gardner (2012) prior knowledge is considered to be an influential factor when considering a pupil's capability to acquire new knowledge. Knowledge construction </w:t>
      </w:r>
      <w:r>
        <w:rPr>
          <w:rFonts w:ascii="Arial" w:hAnsi="Arial" w:cs="Arial"/>
          <w:sz w:val="24"/>
          <w:szCs w:val="24"/>
          <w:lang w:val="en-GB" w:eastAsia="en-GB"/>
        </w:rPr>
        <w:lastRenderedPageBreak/>
        <w:t>puts emphasis on the process of understanding, eradicating their misunderstanding and putting priority on their problem solving skills.  By allowing pupils to create their own learning goals for the task gives them the opportunity to have an independent outlook on the way that they learn, when pupils are given the opportunity to evaluate their own learning methods and monitor their own progression it enables them to work towards achieving their learning goals. (Victoria State Government, 2018).  A way in which a pupils can identify new knowledge they have learned is to apply that knowledge in an authentic context which can show what they have learned using a method given by the teacher, whether that be through a diagram, an essay, a reading, a news article or a collection. (Barnes, 2015, p. 253).</w:t>
      </w:r>
    </w:p>
    <w:p w14:paraId="6DBB1D3A"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E5D381A" w14:textId="6EBD65D2"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In addition to this Peer and Self Assessment is an effective AfL strategy which is used world wide throughout education.  "Peer and self-assessment, where students assess each other and themselves, can encourage students to take greater responsibility for</w:t>
      </w:r>
      <w:r w:rsidR="008E5157">
        <w:rPr>
          <w:rFonts w:ascii="Arial" w:hAnsi="Arial" w:cs="Arial"/>
          <w:sz w:val="24"/>
          <w:szCs w:val="24"/>
          <w:lang w:val="en-GB" w:eastAsia="en-GB"/>
        </w:rPr>
        <w:t xml:space="preserve"> the purpose of</w:t>
      </w:r>
      <w:r>
        <w:rPr>
          <w:rFonts w:ascii="Arial" w:hAnsi="Arial" w:cs="Arial"/>
          <w:sz w:val="24"/>
          <w:szCs w:val="24"/>
          <w:lang w:val="en-GB" w:eastAsia="en-GB"/>
        </w:rPr>
        <w:t xml:space="preserve"> their learning, for example, by encouraging engagement with assessment criteria and reflection of their own performance and that of their peers." (University of Reading, 2019).  Peer and Self Assessment </w:t>
      </w:r>
      <w:r w:rsidR="00CE797F">
        <w:rPr>
          <w:rFonts w:ascii="Arial" w:hAnsi="Arial" w:cs="Arial"/>
          <w:sz w:val="24"/>
          <w:szCs w:val="24"/>
          <w:lang w:val="en-GB" w:eastAsia="en-GB"/>
        </w:rPr>
        <w:t>has the ability to</w:t>
      </w:r>
      <w:r>
        <w:rPr>
          <w:rFonts w:ascii="Arial" w:hAnsi="Arial" w:cs="Arial"/>
          <w:sz w:val="24"/>
          <w:szCs w:val="24"/>
          <w:lang w:val="en-GB" w:eastAsia="en-GB"/>
        </w:rPr>
        <w:t xml:space="preserve"> be used in a variety of ways, with each each aspect of peer and self assessment giving educational benefits to the pupils.  Self assessment allows pupils to look at their own work and evaluate what they have achieved, what they have learned and what they think they could improve upon.  Once the pupils have self assessed their own work they must then give it to another pupil for them to peer assess the work.  The peer assessor must indicate what they like about the pupils work and what could be improved about the work.  By getting peers to assess others work it gives pupils the encouragement to do their best. </w:t>
      </w:r>
    </w:p>
    <w:p w14:paraId="193E0501"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7B52BCBE"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Following on from this the AfL strategy "No hands up" is a strategy I believe is very beneficial within a classroom.  </w:t>
      </w:r>
    </w:p>
    <w:p w14:paraId="301FCCDF"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4F0346A0"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"Research has found only 30% of the class will actually put their hands ups consistently (these tend to be the more confident, extravert personality, students who know the answer). When you introduce “no hands up” every pupil in a class knows that they may have to provide a comment or answer and not just the eager beavers who are always first up with the hands." </w:t>
      </w:r>
    </w:p>
    <w:p w14:paraId="4BB94A21"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1E5DC44F" w14:textId="77777777"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(Reducing Anxiety and Increasing Participation with a NO HANDS UP Rule, 2019).</w:t>
      </w:r>
    </w:p>
    <w:p w14:paraId="0E40C8E5"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6667A386" w14:textId="0705AFAE"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Using no hands up </w:t>
      </w:r>
      <w:r w:rsidR="00CE797F">
        <w:rPr>
          <w:rFonts w:ascii="Arial" w:hAnsi="Arial" w:cs="Arial"/>
          <w:sz w:val="24"/>
          <w:szCs w:val="24"/>
          <w:lang w:val="en-GB" w:eastAsia="en-GB"/>
        </w:rPr>
        <w:t>has the ability</w:t>
      </w:r>
      <w:r>
        <w:rPr>
          <w:rFonts w:ascii="Arial" w:hAnsi="Arial" w:cs="Arial"/>
          <w:sz w:val="24"/>
          <w:szCs w:val="24"/>
          <w:lang w:val="en-GB" w:eastAsia="en-GB"/>
        </w:rPr>
        <w:t xml:space="preserve"> encourage pupils to talk and according to Vygotsky (1989) and Bartlett (2001) cited in Aubrey and Riley (2019, p. 59), the no hands up method means that all the pupils must provide an answer and giving them the opportunity to all speak, allows them to express their interpretation and understanding.  It also gives the pupils the opportunity to inform the teacher that they don't fully understand the topic or question being asked. </w:t>
      </w:r>
    </w:p>
    <w:p w14:paraId="30F93D92"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64BBE779" w14:textId="10CCF0FE"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Exemplars will be a strong aspect of AfL used throughout all the lesson plans.  Using exemplars allows for pupils to see how they should be setting out their work, it also gives them a chance to see what a good example of work looks like.  Exemplar work can be linked to Skinner's behavioural theory, specifically the positive reinforcement aspect of the theory.  "Positive reinforcement strengthens a behavior by providing a consequence an </w:t>
      </w:r>
      <w:r w:rsidR="00EF65B7">
        <w:rPr>
          <w:rFonts w:ascii="Arial" w:hAnsi="Arial" w:cs="Arial"/>
          <w:sz w:val="24"/>
          <w:szCs w:val="24"/>
          <w:lang w:val="en-GB" w:eastAsia="en-GB"/>
        </w:rPr>
        <w:t>individual finds</w:t>
      </w:r>
      <w:r>
        <w:rPr>
          <w:rFonts w:ascii="Arial" w:hAnsi="Arial" w:cs="Arial"/>
          <w:sz w:val="24"/>
          <w:szCs w:val="24"/>
          <w:lang w:val="en-GB" w:eastAsia="en-GB"/>
        </w:rPr>
        <w:t xml:space="preserve"> rewarding." (McLeod, 2018).  Exemplar work can be seen as a positive reinforcement as it gives pupils support when completing their work during class.  Skinner used rats to study postitivee reinforcement by placing a rat in his Skinner Box, which contained a lever. As the rat moved in the box, it would knock the lever by accident when this was done a small pellet of food would be dropped into the box. After a while the rat had learned to go straight to the lever in order to get food. (McLeod, 2018). This is how Skinner developed his theory on positive reinforcement. </w:t>
      </w:r>
    </w:p>
    <w:p w14:paraId="17ABFA35"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2FACED39" w14:textId="33AD252F" w:rsidR="005848E1"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De Bono's Six Thinking Hats will also be a valuable AfL strategy within the lesson plans.  the Six Hats are all different </w:t>
      </w:r>
      <w:r w:rsidR="00EF65B7">
        <w:rPr>
          <w:rFonts w:ascii="Arial" w:hAnsi="Arial" w:cs="Arial"/>
          <w:sz w:val="24"/>
          <w:szCs w:val="24"/>
          <w:lang w:val="en-GB" w:eastAsia="en-GB"/>
        </w:rPr>
        <w:t>colours,</w:t>
      </w:r>
      <w:r>
        <w:rPr>
          <w:rFonts w:ascii="Arial" w:hAnsi="Arial" w:cs="Arial"/>
          <w:sz w:val="24"/>
          <w:szCs w:val="24"/>
          <w:lang w:val="en-GB" w:eastAsia="en-GB"/>
        </w:rPr>
        <w:t xml:space="preserve"> and all represent something different.  The hats "represent artificial distinctions in common patterns of thought, helping you and others involved in the process to adopt different ways of thinking." (De Bono, 2009, p. 2).  The colours of the hats and what they represent are as follows: White - Information/Data needed, Black - Negatives/Risks, Red - Emotions, Blue - Managing the thinking Process, Green - Ideas and Yellow - Positives/Benefits.  Using the hats within lessons can guide pupils throughout the tasks given and keep them on track and ensure they don't go off track and keep the same level of thinking throughout.</w:t>
      </w:r>
    </w:p>
    <w:p w14:paraId="275D0BE3" w14:textId="06A229DA" w:rsidR="005848E1" w:rsidRDefault="005848E1" w:rsidP="008C66F4">
      <w:pPr>
        <w:widowControl w:val="0"/>
        <w:autoSpaceDE w:val="0"/>
        <w:autoSpaceDN w:val="0"/>
        <w:adjustRightInd w:val="0"/>
        <w:spacing w:after="0" w:line="360" w:lineRule="auto"/>
        <w:jc w:val="both"/>
        <w:rPr>
          <w:rFonts w:ascii="Arial" w:hAnsi="Arial" w:cs="Arial"/>
          <w:sz w:val="24"/>
          <w:szCs w:val="24"/>
          <w:lang w:val="en-GB" w:eastAsia="en-GB"/>
        </w:rPr>
      </w:pPr>
    </w:p>
    <w:p w14:paraId="1DAEFA65" w14:textId="60B77502" w:rsidR="003D3055" w:rsidRDefault="005848E1"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All AfL strategies can be implemented through formative assessment and summative </w:t>
      </w:r>
      <w:r>
        <w:rPr>
          <w:rFonts w:ascii="Arial" w:hAnsi="Arial" w:cs="Arial"/>
          <w:sz w:val="24"/>
          <w:szCs w:val="24"/>
          <w:lang w:val="en-GB" w:eastAsia="en-GB"/>
        </w:rPr>
        <w:lastRenderedPageBreak/>
        <w:t xml:space="preserve">assessment.  </w:t>
      </w:r>
      <w:r w:rsidR="003D3055">
        <w:rPr>
          <w:rFonts w:ascii="Arial" w:hAnsi="Arial" w:cs="Arial"/>
          <w:sz w:val="24"/>
          <w:szCs w:val="24"/>
          <w:lang w:val="en-GB" w:eastAsia="en-GB"/>
        </w:rPr>
        <w:t xml:space="preserve">According to </w:t>
      </w:r>
      <w:r w:rsidR="005A10EF">
        <w:rPr>
          <w:rFonts w:ascii="Arial" w:hAnsi="Arial" w:cs="Arial"/>
          <w:sz w:val="24"/>
          <w:szCs w:val="24"/>
          <w:lang w:val="en-GB" w:eastAsia="en-GB"/>
        </w:rPr>
        <w:t>The Glossary of Education Reform (2014</w:t>
      </w:r>
      <w:r w:rsidR="006A5BA0">
        <w:rPr>
          <w:rFonts w:ascii="Arial" w:hAnsi="Arial" w:cs="Arial"/>
          <w:sz w:val="24"/>
          <w:szCs w:val="24"/>
          <w:lang w:val="en-GB" w:eastAsia="en-GB"/>
        </w:rPr>
        <w:t>a</w:t>
      </w:r>
      <w:r w:rsidR="005A10EF">
        <w:rPr>
          <w:rFonts w:ascii="Arial" w:hAnsi="Arial" w:cs="Arial"/>
          <w:sz w:val="24"/>
          <w:szCs w:val="24"/>
          <w:lang w:val="en-GB" w:eastAsia="en-GB"/>
        </w:rPr>
        <w:t xml:space="preserve">) </w:t>
      </w:r>
      <w:r w:rsidR="003D3055">
        <w:rPr>
          <w:rFonts w:ascii="Arial" w:hAnsi="Arial" w:cs="Arial"/>
          <w:sz w:val="24"/>
          <w:szCs w:val="24"/>
          <w:lang w:val="en-GB" w:eastAsia="en-GB"/>
        </w:rPr>
        <w:t>Formative assessment discusses</w:t>
      </w:r>
      <w:r w:rsidR="003D3055" w:rsidRPr="003D3055">
        <w:rPr>
          <w:rFonts w:ascii="Arial" w:hAnsi="Arial" w:cs="Arial"/>
          <w:sz w:val="24"/>
          <w:szCs w:val="24"/>
          <w:lang w:val="en-GB" w:eastAsia="en-GB"/>
        </w:rPr>
        <w:t xml:space="preserve"> a</w:t>
      </w:r>
      <w:r w:rsidR="003D3055">
        <w:rPr>
          <w:rFonts w:ascii="Arial" w:hAnsi="Arial" w:cs="Arial"/>
          <w:sz w:val="24"/>
          <w:szCs w:val="24"/>
          <w:lang w:val="en-GB" w:eastAsia="en-GB"/>
        </w:rPr>
        <w:t>n</w:t>
      </w:r>
      <w:r w:rsidR="003D3055" w:rsidRPr="003D3055">
        <w:rPr>
          <w:rFonts w:ascii="Arial" w:hAnsi="Arial" w:cs="Arial"/>
          <w:sz w:val="24"/>
          <w:szCs w:val="24"/>
          <w:lang w:val="en-GB" w:eastAsia="en-GB"/>
        </w:rPr>
        <w:t xml:space="preserve"> </w:t>
      </w:r>
      <w:r w:rsidR="003D3055">
        <w:rPr>
          <w:rFonts w:ascii="Arial" w:hAnsi="Arial" w:cs="Arial"/>
          <w:sz w:val="24"/>
          <w:szCs w:val="24"/>
          <w:lang w:val="en-GB" w:eastAsia="en-GB"/>
        </w:rPr>
        <w:t>extensive</w:t>
      </w:r>
      <w:r w:rsidR="003D3055" w:rsidRPr="003D3055">
        <w:rPr>
          <w:rFonts w:ascii="Arial" w:hAnsi="Arial" w:cs="Arial"/>
          <w:sz w:val="24"/>
          <w:szCs w:val="24"/>
          <w:lang w:val="en-GB" w:eastAsia="en-GB"/>
        </w:rPr>
        <w:t xml:space="preserve"> </w:t>
      </w:r>
      <w:r w:rsidR="003D3055">
        <w:rPr>
          <w:rFonts w:ascii="Arial" w:hAnsi="Arial" w:cs="Arial"/>
          <w:sz w:val="24"/>
          <w:szCs w:val="24"/>
          <w:lang w:val="en-GB" w:eastAsia="en-GB"/>
        </w:rPr>
        <w:t>variation</w:t>
      </w:r>
      <w:r w:rsidR="003D3055" w:rsidRPr="003D3055">
        <w:rPr>
          <w:rFonts w:ascii="Arial" w:hAnsi="Arial" w:cs="Arial"/>
          <w:sz w:val="24"/>
          <w:szCs w:val="24"/>
          <w:lang w:val="en-GB" w:eastAsia="en-GB"/>
        </w:rPr>
        <w:t xml:space="preserve"> </w:t>
      </w:r>
      <w:r w:rsidR="003D3055">
        <w:rPr>
          <w:rFonts w:ascii="Arial" w:hAnsi="Arial" w:cs="Arial"/>
          <w:sz w:val="24"/>
          <w:szCs w:val="24"/>
          <w:lang w:val="en-GB" w:eastAsia="en-GB"/>
        </w:rPr>
        <w:t xml:space="preserve">of techniques all teachers use to </w:t>
      </w:r>
      <w:r w:rsidR="00F87621">
        <w:rPr>
          <w:rFonts w:ascii="Arial" w:hAnsi="Arial" w:cs="Arial"/>
          <w:sz w:val="24"/>
          <w:szCs w:val="24"/>
          <w:lang w:val="en-GB" w:eastAsia="en-GB"/>
        </w:rPr>
        <w:t xml:space="preserve">direct in-process assessments of pupil’s knowledge, learning needs, and educational development throughout the duration of lessons, component, or course. Formative assessment assists teachers recognise concepts that pupils are finding difficult to come to terms with, skills they are having trouble  obtaining, or educational values </w:t>
      </w:r>
      <w:r w:rsidR="005A10EF">
        <w:rPr>
          <w:rFonts w:ascii="Arial" w:hAnsi="Arial" w:cs="Arial"/>
          <w:sz w:val="24"/>
          <w:szCs w:val="24"/>
          <w:lang w:val="en-GB" w:eastAsia="en-GB"/>
        </w:rPr>
        <w:t>they are yet to succeed in so alterations will be implemented within lessons, pedagogical methods, and educational provision. Formative Assessment links closely to educational theorists such as Bruner and Vygotsky</w:t>
      </w:r>
      <w:r w:rsidR="00645D03">
        <w:rPr>
          <w:rFonts w:ascii="Arial" w:hAnsi="Arial" w:cs="Arial"/>
          <w:sz w:val="24"/>
          <w:szCs w:val="24"/>
          <w:lang w:val="en-GB" w:eastAsia="en-GB"/>
        </w:rPr>
        <w:t>.  Vygotsky’s constructivist learning theory links to formative assessment “</w:t>
      </w:r>
      <w:r w:rsidR="00645D03" w:rsidRPr="00645D03">
        <w:rPr>
          <w:rFonts w:ascii="Arial" w:hAnsi="Arial" w:cs="Arial"/>
          <w:sz w:val="24"/>
          <w:szCs w:val="24"/>
          <w:lang w:val="en-GB" w:eastAsia="en-GB"/>
        </w:rPr>
        <w:t>Students are seen</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to develop knowledge and</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understanding in a domain over time,</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not only as individuals but in an</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interactive social</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context, guided</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by others with greater expertise</w:t>
      </w:r>
      <w:r w:rsidR="00645D03">
        <w:rPr>
          <w:rFonts w:ascii="Arial" w:hAnsi="Arial" w:cs="Arial"/>
          <w:sz w:val="24"/>
          <w:szCs w:val="24"/>
          <w:lang w:val="en-GB" w:eastAsia="en-GB"/>
        </w:rPr>
        <w:t>.” (</w:t>
      </w:r>
      <w:r w:rsidR="00645D03" w:rsidRPr="00645D03">
        <w:rPr>
          <w:rFonts w:ascii="Arial" w:hAnsi="Arial" w:cs="Arial"/>
          <w:sz w:val="24"/>
          <w:szCs w:val="24"/>
          <w:lang w:val="en-GB" w:eastAsia="en-GB"/>
        </w:rPr>
        <w:t>Tharp</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&amp; Gallimore, 1991; Vygotsky,</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1978;</w:t>
      </w:r>
      <w:r w:rsidR="00645D03">
        <w:rPr>
          <w:rFonts w:ascii="Arial" w:hAnsi="Arial" w:cs="Arial"/>
          <w:sz w:val="24"/>
          <w:szCs w:val="24"/>
          <w:lang w:val="en-GB" w:eastAsia="en-GB"/>
        </w:rPr>
        <w:t xml:space="preserve"> </w:t>
      </w:r>
      <w:r w:rsidR="00645D03" w:rsidRPr="00645D03">
        <w:rPr>
          <w:rFonts w:ascii="Arial" w:hAnsi="Arial" w:cs="Arial"/>
          <w:sz w:val="24"/>
          <w:szCs w:val="24"/>
          <w:lang w:val="en-GB" w:eastAsia="en-GB"/>
        </w:rPr>
        <w:t>Wenger, 1998</w:t>
      </w:r>
      <w:r w:rsidR="00645D03">
        <w:rPr>
          <w:rFonts w:ascii="Arial" w:hAnsi="Arial" w:cs="Arial"/>
          <w:sz w:val="24"/>
          <w:szCs w:val="24"/>
          <w:lang w:val="en-GB" w:eastAsia="en-GB"/>
        </w:rPr>
        <w:t xml:space="preserve"> cited in Trumbull and Lash, 2013).</w:t>
      </w:r>
    </w:p>
    <w:p w14:paraId="2782F3AC" w14:textId="65CAE79F" w:rsidR="005A10EF" w:rsidRDefault="005A10EF" w:rsidP="008C66F4">
      <w:pPr>
        <w:widowControl w:val="0"/>
        <w:autoSpaceDE w:val="0"/>
        <w:autoSpaceDN w:val="0"/>
        <w:adjustRightInd w:val="0"/>
        <w:spacing w:after="0" w:line="360" w:lineRule="auto"/>
        <w:jc w:val="both"/>
        <w:rPr>
          <w:rFonts w:ascii="Arial" w:hAnsi="Arial" w:cs="Arial"/>
          <w:sz w:val="24"/>
          <w:szCs w:val="24"/>
          <w:lang w:val="en-GB" w:eastAsia="en-GB"/>
        </w:rPr>
      </w:pPr>
    </w:p>
    <w:p w14:paraId="349FB545" w14:textId="77ACB749" w:rsidR="006B1FA2" w:rsidRDefault="00645D03"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w:t>
      </w:r>
      <w:r w:rsidRPr="00645D03">
        <w:rPr>
          <w:rFonts w:ascii="Arial" w:hAnsi="Arial" w:cs="Arial"/>
          <w:sz w:val="24"/>
          <w:szCs w:val="24"/>
          <w:lang w:val="en-GB" w:eastAsia="en-GB"/>
        </w:rPr>
        <w:t>Summative assessments are used to evaluate student learning, skill acquisition, and academic achievement at the conclusion of a defined instructional period—typically at the end of a project, unit, course, semester, program, or school year.</w:t>
      </w:r>
      <w:r w:rsidR="006A5BA0">
        <w:rPr>
          <w:rFonts w:ascii="Arial" w:hAnsi="Arial" w:cs="Arial"/>
          <w:sz w:val="24"/>
          <w:szCs w:val="24"/>
          <w:lang w:val="en-GB" w:eastAsia="en-GB"/>
        </w:rPr>
        <w:t>” (The Glossary of Education Reform, 2014b).  Summative assessment</w:t>
      </w:r>
      <w:r w:rsidR="006B1FA2">
        <w:rPr>
          <w:rFonts w:ascii="Arial" w:hAnsi="Arial" w:cs="Arial"/>
          <w:sz w:val="24"/>
          <w:szCs w:val="24"/>
          <w:lang w:val="en-GB" w:eastAsia="en-GB"/>
        </w:rPr>
        <w:t xml:space="preserve"> looks at standardised testing in schools and </w:t>
      </w:r>
      <w:r w:rsidR="00CE797F">
        <w:rPr>
          <w:rFonts w:ascii="Arial" w:hAnsi="Arial" w:cs="Arial"/>
          <w:sz w:val="24"/>
          <w:szCs w:val="24"/>
          <w:lang w:val="en-GB" w:eastAsia="en-GB"/>
        </w:rPr>
        <w:t>has the capability to</w:t>
      </w:r>
      <w:r w:rsidR="006B1FA2">
        <w:rPr>
          <w:rFonts w:ascii="Arial" w:hAnsi="Arial" w:cs="Arial"/>
          <w:sz w:val="24"/>
          <w:szCs w:val="24"/>
          <w:lang w:val="en-GB" w:eastAsia="en-GB"/>
        </w:rPr>
        <w:t xml:space="preserve"> “</w:t>
      </w:r>
      <w:r w:rsidR="006B1FA2" w:rsidRPr="006B1FA2">
        <w:rPr>
          <w:rFonts w:ascii="Arial" w:hAnsi="Arial" w:cs="Arial"/>
          <w:sz w:val="24"/>
          <w:szCs w:val="24"/>
          <w:lang w:val="en-GB" w:eastAsia="en-GB"/>
        </w:rPr>
        <w:t>inform us about what children have learnt, what they may be finding difficult and how we need to adjust our teaching to maximise their learning. Therefore, to be genuinely worthwhile, it is helpful to children if summative assessments are also interpreted formatively before moving on.</w:t>
      </w:r>
      <w:r w:rsidR="006B1FA2">
        <w:rPr>
          <w:rFonts w:ascii="Arial" w:hAnsi="Arial" w:cs="Arial"/>
          <w:sz w:val="24"/>
          <w:szCs w:val="24"/>
          <w:lang w:val="en-GB" w:eastAsia="en-GB"/>
        </w:rPr>
        <w:t>” (Dabell, 2018).</w:t>
      </w:r>
    </w:p>
    <w:p w14:paraId="162C3C7B" w14:textId="005845D1" w:rsidR="005848E1" w:rsidRPr="005848E1" w:rsidRDefault="005848E1" w:rsidP="008C66F4">
      <w:pPr>
        <w:widowControl w:val="0"/>
        <w:autoSpaceDE w:val="0"/>
        <w:autoSpaceDN w:val="0"/>
        <w:adjustRightInd w:val="0"/>
        <w:spacing w:after="0" w:line="360" w:lineRule="auto"/>
        <w:jc w:val="both"/>
        <w:rPr>
          <w:rFonts w:ascii="Arial" w:hAnsi="Arial" w:cs="Arial"/>
          <w:sz w:val="24"/>
          <w:szCs w:val="24"/>
          <w:lang w:val="en-GB" w:eastAsia="en-GB"/>
        </w:rPr>
      </w:pPr>
    </w:p>
    <w:p w14:paraId="3931421A" w14:textId="7FDEBC54" w:rsidR="000F6C65" w:rsidRDefault="00E20580" w:rsidP="008C66F4">
      <w:pPr>
        <w:pStyle w:val="Heading1"/>
        <w:spacing w:line="360" w:lineRule="auto"/>
        <w:jc w:val="both"/>
      </w:pPr>
      <w:bookmarkStart w:id="14" w:name="BRANCH_3"/>
      <w:bookmarkStart w:id="15" w:name="_Toc4400027"/>
      <w:bookmarkStart w:id="16" w:name="_MV3BS_3"/>
      <w:bookmarkEnd w:id="12"/>
      <w:r>
        <w:t>Discussion of lesson plan decisions</w:t>
      </w:r>
      <w:bookmarkEnd w:id="14"/>
      <w:bookmarkEnd w:id="15"/>
    </w:p>
    <w:p w14:paraId="31C1B3D1" w14:textId="19F2F01E"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bookmarkStart w:id="17" w:name="_MV3TD_PT8H00M00S_14"/>
      <w:bookmarkEnd w:id="17"/>
      <w:r>
        <w:rPr>
          <w:rFonts w:ascii="Arial" w:hAnsi="Arial" w:cs="Arial"/>
          <w:sz w:val="24"/>
          <w:szCs w:val="24"/>
          <w:lang w:val="en-GB" w:eastAsia="en-GB"/>
        </w:rPr>
        <w:t xml:space="preserve">In this section of the assignment I will be discussing my three lesson plans, which can be found in the appendix.  I chose a theme to base my lesson on which focuses on Ancient Greece.  earlier on in this assignment I mentioned that the three lesson plans will follow on from a Humanities - Religious Education lesson on the religious view and buildings of Ancient Greece, within this lesson the pupils will have been research the religious buildings and views around at that time and comparing them to the religious views and buildings of their community in this day and age.  This lesson has clear links to on of Donaldson's four purposes, "Ethical, informed citizens who are ready to be </w:t>
      </w:r>
      <w:r>
        <w:rPr>
          <w:rFonts w:ascii="Arial" w:hAnsi="Arial" w:cs="Arial"/>
          <w:sz w:val="24"/>
          <w:szCs w:val="24"/>
          <w:lang w:val="en-GB" w:eastAsia="en-GB"/>
        </w:rPr>
        <w:lastRenderedPageBreak/>
        <w:t>citizens of Wales and the world." (Donaldson, 2015). There will also be a list of risks in the lesson plans that can</w:t>
      </w:r>
      <w:r w:rsidR="00CE797F">
        <w:rPr>
          <w:rFonts w:ascii="Arial" w:hAnsi="Arial" w:cs="Arial"/>
          <w:sz w:val="24"/>
          <w:szCs w:val="24"/>
          <w:lang w:val="en-GB" w:eastAsia="en-GB"/>
        </w:rPr>
        <w:t xml:space="preserve"> possibly</w:t>
      </w:r>
      <w:r>
        <w:rPr>
          <w:rFonts w:ascii="Arial" w:hAnsi="Arial" w:cs="Arial"/>
          <w:sz w:val="24"/>
          <w:szCs w:val="24"/>
          <w:lang w:val="en-GB" w:eastAsia="en-GB"/>
        </w:rPr>
        <w:t xml:space="preserve"> occur during the lesson, with details how to avoid them, such as, ensure that all wires are safely out of the way, all chairs and table are far enough apart to ensure no pupil trips etc.</w:t>
      </w:r>
    </w:p>
    <w:p w14:paraId="6F1C20A1"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251CBA2C" w14:textId="7A0019DC" w:rsidR="00A14D9C" w:rsidRDefault="00E20580" w:rsidP="008C66F4">
      <w:pPr>
        <w:widowControl w:val="0"/>
        <w:tabs>
          <w:tab w:val="left" w:pos="6390"/>
        </w:tabs>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The AoLE I have chosen for the lesson that follows on from the Humanities - Religious Education is also Humanities, however it focus on the historical side of Humanities.  This AoLE was chosen to further the pupils understanding of Ancient Greece, within this lesson the pupils will be looking at the different Gods, Goddesses, Myths and Legends of Ancient Greece which will be linked to one of Donaldson's four purposes which enable to make pupils "Ambitious, capable learners who are ready to learn throughout their lives." (Donaldson, 2015).  The Learning Objective for this lesson is to successfully create a fact file for their chosen topic which they must research for independently.  The aspect of Humanities I will be implementing into this lesson is "Developing an enquiring mind enables learners to explore and investigate the world, past, present and future, for themselves." (Welsh Assembly Government, 2019b).  Within this I expect the pupils to improve their Literacy and Numeracy Framework skill of improving their scanning for information skills and understanding while developing their Digital Competency Framework skills through research whilst using digital technology.  The Learning objective I supplied for this lesson is for the pupils to have successfully created a Fact File and researched independently, by the end of this lesson I believe the pupils would have better understanding of fact files and improved their independent researching skills. For this lesson I decided that the pupils would best be suited to work independently for this lesson as the decision to choose either a God, Goddess, Myth or Legend in a group may have cause arguments, by allowing them to work independently and choose the one they want enables for an argument free lesson.  The lesson allows for the use of technology which will include iPad, laptops, computers and a non-technology resource - books, these resources were chosen as they will enable the pupils to research the topic in more depth.  The pupils will have access to teacher-support throughout the entire lesson </w:t>
      </w:r>
      <w:r w:rsidR="00CE797F">
        <w:rPr>
          <w:rFonts w:ascii="Arial" w:hAnsi="Arial" w:cs="Arial"/>
          <w:sz w:val="24"/>
          <w:szCs w:val="24"/>
          <w:lang w:val="en-GB" w:eastAsia="en-GB"/>
        </w:rPr>
        <w:t>in the event that</w:t>
      </w:r>
      <w:r>
        <w:rPr>
          <w:rFonts w:ascii="Arial" w:hAnsi="Arial" w:cs="Arial"/>
          <w:sz w:val="24"/>
          <w:szCs w:val="24"/>
          <w:lang w:val="en-GB" w:eastAsia="en-GB"/>
        </w:rPr>
        <w:t xml:space="preserve"> they need </w:t>
      </w:r>
      <w:r w:rsidR="00CE797F">
        <w:rPr>
          <w:rFonts w:ascii="Arial" w:hAnsi="Arial" w:cs="Arial"/>
          <w:sz w:val="24"/>
          <w:szCs w:val="24"/>
          <w:lang w:val="en-GB" w:eastAsia="en-GB"/>
        </w:rPr>
        <w:t>sufficient help from the class teacher</w:t>
      </w:r>
      <w:r>
        <w:rPr>
          <w:rFonts w:ascii="Arial" w:hAnsi="Arial" w:cs="Arial"/>
          <w:sz w:val="24"/>
          <w:szCs w:val="24"/>
          <w:lang w:val="en-GB" w:eastAsia="en-GB"/>
        </w:rPr>
        <w:t xml:space="preserve">.  </w:t>
      </w:r>
      <w:r w:rsidR="00CE797F">
        <w:rPr>
          <w:rFonts w:ascii="Arial" w:hAnsi="Arial" w:cs="Arial"/>
          <w:sz w:val="24"/>
          <w:szCs w:val="24"/>
          <w:lang w:val="en-GB" w:eastAsia="en-GB"/>
        </w:rPr>
        <w:t>In spite of the fact that</w:t>
      </w:r>
      <w:r>
        <w:rPr>
          <w:rFonts w:ascii="Arial" w:hAnsi="Arial" w:cs="Arial"/>
          <w:sz w:val="24"/>
          <w:szCs w:val="24"/>
          <w:lang w:val="en-GB" w:eastAsia="en-GB"/>
        </w:rPr>
        <w:t xml:space="preserve"> there are pupils with learning differences within the class there will be no differentiation for the task.</w:t>
      </w:r>
      <w:r w:rsidR="00F65633">
        <w:rPr>
          <w:rFonts w:ascii="Arial" w:hAnsi="Arial" w:cs="Arial"/>
          <w:sz w:val="24"/>
          <w:szCs w:val="24"/>
          <w:lang w:val="en-GB" w:eastAsia="en-GB"/>
        </w:rPr>
        <w:t xml:space="preserve">  This lesson shall link closely to the following lesson on Language, Literacy and Communications. </w:t>
      </w:r>
    </w:p>
    <w:p w14:paraId="5A1F0339"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053B056C" w14:textId="17B05544"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The second learning episode will follow on from this and will be focusing on the AoLE Language, Literacy and Communication.  I chose this AoLE as I wanted to help develop the pupils creativity and imagination through their story writing of their own Greek Myth or Legend. This lesson will be linked to "Enterprising, creative contributors who are ready to play a full part in life and work." (Donaldson, 2015).  This purpose connects greatly to the creative aspect I have planned for the lesson. The Learning Objective for this lesson was for the pupils to use their prior knowledge of </w:t>
      </w:r>
      <w:r w:rsidR="00F65633">
        <w:rPr>
          <w:rFonts w:ascii="Arial" w:hAnsi="Arial" w:cs="Arial"/>
          <w:sz w:val="24"/>
          <w:szCs w:val="24"/>
          <w:lang w:val="en-GB" w:eastAsia="en-GB"/>
        </w:rPr>
        <w:t xml:space="preserve">Ancient </w:t>
      </w:r>
      <w:r>
        <w:rPr>
          <w:rFonts w:ascii="Arial" w:hAnsi="Arial" w:cs="Arial"/>
          <w:sz w:val="24"/>
          <w:szCs w:val="24"/>
          <w:lang w:val="en-GB" w:eastAsia="en-GB"/>
        </w:rPr>
        <w:t>Greece</w:t>
      </w:r>
      <w:r w:rsidR="00F65633">
        <w:rPr>
          <w:rFonts w:ascii="Arial" w:hAnsi="Arial" w:cs="Arial"/>
          <w:sz w:val="24"/>
          <w:szCs w:val="24"/>
          <w:lang w:val="en-GB" w:eastAsia="en-GB"/>
        </w:rPr>
        <w:t>, which they learned about in Humanities</w:t>
      </w:r>
      <w:r>
        <w:rPr>
          <w:rFonts w:ascii="Arial" w:hAnsi="Arial" w:cs="Arial"/>
          <w:sz w:val="24"/>
          <w:szCs w:val="24"/>
          <w:lang w:val="en-GB" w:eastAsia="en-GB"/>
        </w:rPr>
        <w:t xml:space="preserve"> and their creativity skills in order to create their own Myth or Legends.  The aspect of Language, Literacy and Communication I shall implement throughout this lesson is "Literature fires imagination and inspires creativity." (Welsh Assembly Government, 2019c).  By implementing this aspect I expect the pupils to significantly improve their literacy skills by imitating literature they have read or been shown, in their own work.  </w:t>
      </w:r>
      <w:r w:rsidR="00063F3F">
        <w:rPr>
          <w:rFonts w:ascii="Arial" w:hAnsi="Arial" w:cs="Arial"/>
          <w:sz w:val="24"/>
          <w:szCs w:val="24"/>
          <w:lang w:val="en-GB" w:eastAsia="en-GB"/>
        </w:rPr>
        <w:t xml:space="preserve">LNF shall be implemented throughout this lesson, specifically the literacy </w:t>
      </w:r>
      <w:r w:rsidR="00A96D91">
        <w:rPr>
          <w:rFonts w:ascii="Arial" w:hAnsi="Arial" w:cs="Arial"/>
          <w:sz w:val="24"/>
          <w:szCs w:val="24"/>
          <w:lang w:val="en-GB" w:eastAsia="en-GB"/>
        </w:rPr>
        <w:t>side of the framework.  “</w:t>
      </w:r>
      <w:r w:rsidR="00A96D91" w:rsidRPr="00A96D91">
        <w:rPr>
          <w:rFonts w:ascii="Arial" w:hAnsi="Arial" w:cs="Arial"/>
          <w:sz w:val="24"/>
          <w:szCs w:val="24"/>
          <w:lang w:val="en-GB" w:eastAsia="en-GB"/>
        </w:rPr>
        <w:t>Use varied sentence structures for emphasis and effect.</w:t>
      </w:r>
      <w:r w:rsidR="00A96D91">
        <w:rPr>
          <w:rFonts w:ascii="Arial" w:hAnsi="Arial" w:cs="Arial"/>
          <w:sz w:val="24"/>
          <w:szCs w:val="24"/>
          <w:lang w:val="en-GB" w:eastAsia="en-GB"/>
        </w:rPr>
        <w:t>” (</w:t>
      </w:r>
      <w:r w:rsidR="00D05861">
        <w:rPr>
          <w:rFonts w:ascii="Arial" w:hAnsi="Arial" w:cs="Arial"/>
          <w:sz w:val="24"/>
          <w:szCs w:val="24"/>
          <w:lang w:val="en-GB" w:eastAsia="en-GB"/>
        </w:rPr>
        <w:t>Welsh Assembly Government, 2019e</w:t>
      </w:r>
      <w:r w:rsidR="00A96D91">
        <w:rPr>
          <w:rFonts w:ascii="Arial" w:hAnsi="Arial" w:cs="Arial"/>
          <w:sz w:val="24"/>
          <w:szCs w:val="24"/>
          <w:lang w:val="en-GB" w:eastAsia="en-GB"/>
        </w:rPr>
        <w:t>) and “</w:t>
      </w:r>
      <w:r w:rsidR="00A96D91" w:rsidRPr="00A96D91">
        <w:rPr>
          <w:rFonts w:ascii="Arial" w:hAnsi="Arial" w:cs="Arial"/>
          <w:sz w:val="24"/>
          <w:szCs w:val="24"/>
          <w:lang w:val="en-GB" w:eastAsia="en-GB"/>
        </w:rPr>
        <w:t>Use the full range of punctuation accurately to clarify meaning.</w:t>
      </w:r>
      <w:r w:rsidR="00A96D91">
        <w:rPr>
          <w:rFonts w:ascii="Arial" w:hAnsi="Arial" w:cs="Arial"/>
          <w:sz w:val="24"/>
          <w:szCs w:val="24"/>
          <w:lang w:val="en-GB" w:eastAsia="en-GB"/>
        </w:rPr>
        <w:t xml:space="preserve">  (</w:t>
      </w:r>
      <w:r w:rsidR="00D05861">
        <w:rPr>
          <w:rFonts w:ascii="Arial" w:hAnsi="Arial" w:cs="Arial"/>
          <w:sz w:val="24"/>
          <w:szCs w:val="24"/>
          <w:lang w:val="en-GB" w:eastAsia="en-GB"/>
        </w:rPr>
        <w:t>Welsh Assembly Government, 2019e</w:t>
      </w:r>
      <w:r w:rsidR="00A96D91">
        <w:rPr>
          <w:rFonts w:ascii="Arial" w:hAnsi="Arial" w:cs="Arial"/>
          <w:sz w:val="24"/>
          <w:szCs w:val="24"/>
          <w:lang w:val="en-GB" w:eastAsia="en-GB"/>
        </w:rPr>
        <w:t xml:space="preserve">).  </w:t>
      </w:r>
      <w:r>
        <w:rPr>
          <w:rFonts w:ascii="Arial" w:hAnsi="Arial" w:cs="Arial"/>
          <w:sz w:val="24"/>
          <w:szCs w:val="24"/>
          <w:lang w:val="en-GB" w:eastAsia="en-GB"/>
        </w:rPr>
        <w:t>The Learning Objective I supplied for this lesson was for the pupils to write their own Greek Myth or Legend by using their prior knowledge of Ancient Greece</w:t>
      </w:r>
      <w:r w:rsidR="00F65633">
        <w:rPr>
          <w:rFonts w:ascii="Arial" w:hAnsi="Arial" w:cs="Arial"/>
          <w:sz w:val="24"/>
          <w:szCs w:val="24"/>
          <w:lang w:val="en-GB" w:eastAsia="en-GB"/>
        </w:rPr>
        <w:t xml:space="preserve"> in Humanities</w:t>
      </w:r>
      <w:r>
        <w:rPr>
          <w:rFonts w:ascii="Arial" w:hAnsi="Arial" w:cs="Arial"/>
          <w:sz w:val="24"/>
          <w:szCs w:val="24"/>
          <w:lang w:val="en-GB" w:eastAsia="en-GB"/>
        </w:rPr>
        <w:t>, by the end of this lesson I expect the pupils to have created their own Greek Myth of Legend and I hope they would have greatly improved on their creative writing during this lesson.  For this lesson the pupils were made to work independently to encourage them all to engage in the creative writing, as getting them to work in pairs or groups can mean that some pupils take charge and do not listen to the ideas of the others in their pair or group. B</w:t>
      </w:r>
      <w:r w:rsidR="003E6FBD">
        <w:rPr>
          <w:rFonts w:ascii="Arial" w:hAnsi="Arial" w:cs="Arial"/>
          <w:sz w:val="24"/>
          <w:szCs w:val="24"/>
          <w:lang w:val="en-GB" w:eastAsia="en-GB"/>
        </w:rPr>
        <w:t>y</w:t>
      </w:r>
      <w:r>
        <w:rPr>
          <w:rFonts w:ascii="Arial" w:hAnsi="Arial" w:cs="Arial"/>
          <w:sz w:val="24"/>
          <w:szCs w:val="24"/>
          <w:lang w:val="en-GB" w:eastAsia="en-GB"/>
        </w:rPr>
        <w:t xml:space="preserve"> working independently gives all pupils a chance to think and write creatively.</w:t>
      </w:r>
      <w:r w:rsidR="003E6FBD">
        <w:rPr>
          <w:rFonts w:ascii="Arial" w:hAnsi="Arial" w:cs="Arial"/>
          <w:sz w:val="24"/>
          <w:szCs w:val="24"/>
          <w:lang w:val="en-GB" w:eastAsia="en-GB"/>
        </w:rPr>
        <w:t xml:space="preserve">  During this lesson the pupils can look back at previous learning in order to help them write their Myth or Legend.  </w:t>
      </w:r>
      <w:r>
        <w:rPr>
          <w:rFonts w:ascii="Arial" w:hAnsi="Arial" w:cs="Arial"/>
          <w:sz w:val="24"/>
          <w:szCs w:val="24"/>
          <w:lang w:val="en-GB" w:eastAsia="en-GB"/>
        </w:rPr>
        <w:t>Although there will be pupils with learning differences again there will be no differentiation for this lesson.</w:t>
      </w:r>
      <w:r w:rsidR="00F65633">
        <w:rPr>
          <w:rFonts w:ascii="Arial" w:hAnsi="Arial" w:cs="Arial"/>
          <w:sz w:val="24"/>
          <w:szCs w:val="24"/>
          <w:lang w:val="en-GB" w:eastAsia="en-GB"/>
        </w:rPr>
        <w:t xml:space="preserve">  This lesson will also link closely to the following lesson on Expressive Arts.</w:t>
      </w:r>
    </w:p>
    <w:p w14:paraId="444BA52D"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250C77E1" w14:textId="0BCB925F"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The final Learning episode in this sequence of lessons is focusing on the AoLE Expressive Arts.  This AoLE was important continue developing the pupils understanding of Ancient Greece looking closely at the pottery </w:t>
      </w:r>
      <w:r w:rsidR="003E6FBD">
        <w:rPr>
          <w:rFonts w:ascii="Arial" w:hAnsi="Arial" w:cs="Arial"/>
          <w:sz w:val="24"/>
          <w:szCs w:val="24"/>
          <w:lang w:val="en-GB" w:eastAsia="en-GB"/>
        </w:rPr>
        <w:t>of th</w:t>
      </w:r>
      <w:r>
        <w:rPr>
          <w:rFonts w:ascii="Arial" w:hAnsi="Arial" w:cs="Arial"/>
          <w:sz w:val="24"/>
          <w:szCs w:val="24"/>
          <w:lang w:val="en-GB" w:eastAsia="en-GB"/>
        </w:rPr>
        <w:t>e</w:t>
      </w:r>
      <w:r w:rsidR="003E6FBD">
        <w:rPr>
          <w:rFonts w:ascii="Arial" w:hAnsi="Arial" w:cs="Arial"/>
          <w:sz w:val="24"/>
          <w:szCs w:val="24"/>
          <w:lang w:val="en-GB" w:eastAsia="en-GB"/>
        </w:rPr>
        <w:t xml:space="preserve"> era.  This lesson </w:t>
      </w:r>
      <w:r w:rsidR="003E6FBD">
        <w:rPr>
          <w:rFonts w:ascii="Arial" w:hAnsi="Arial" w:cs="Arial"/>
          <w:sz w:val="24"/>
          <w:szCs w:val="24"/>
          <w:lang w:val="en-GB" w:eastAsia="en-GB"/>
        </w:rPr>
        <w:lastRenderedPageBreak/>
        <w:t>links closely to “Enterprising, creative contributors who are ready to play a full part in life and work.”</w:t>
      </w:r>
      <w:r w:rsidR="00F65633">
        <w:rPr>
          <w:rFonts w:ascii="Arial" w:hAnsi="Arial" w:cs="Arial"/>
          <w:sz w:val="24"/>
          <w:szCs w:val="24"/>
          <w:lang w:val="en-GB" w:eastAsia="en-GB"/>
        </w:rPr>
        <w:t xml:space="preserve"> (Donaldson, 2015) This purpose is same used for Language literacy and communication above, as this Expressive Arts lesson is also to do with the pupils being creative through their work.  The </w:t>
      </w:r>
      <w:r w:rsidR="00D05861">
        <w:rPr>
          <w:rFonts w:ascii="Arial" w:hAnsi="Arial" w:cs="Arial"/>
          <w:sz w:val="24"/>
          <w:szCs w:val="24"/>
          <w:lang w:val="en-GB" w:eastAsia="en-GB"/>
        </w:rPr>
        <w:t>L</w:t>
      </w:r>
      <w:r w:rsidR="00F65633">
        <w:rPr>
          <w:rFonts w:ascii="Arial" w:hAnsi="Arial" w:cs="Arial"/>
          <w:sz w:val="24"/>
          <w:szCs w:val="24"/>
          <w:lang w:val="en-GB" w:eastAsia="en-GB"/>
        </w:rPr>
        <w:t xml:space="preserve">earning </w:t>
      </w:r>
      <w:r w:rsidR="00D05861">
        <w:rPr>
          <w:rFonts w:ascii="Arial" w:hAnsi="Arial" w:cs="Arial"/>
          <w:sz w:val="24"/>
          <w:szCs w:val="24"/>
          <w:lang w:val="en-GB" w:eastAsia="en-GB"/>
        </w:rPr>
        <w:t>O</w:t>
      </w:r>
      <w:r w:rsidR="00F65633">
        <w:rPr>
          <w:rFonts w:ascii="Arial" w:hAnsi="Arial" w:cs="Arial"/>
          <w:sz w:val="24"/>
          <w:szCs w:val="24"/>
          <w:lang w:val="en-GB" w:eastAsia="en-GB"/>
        </w:rPr>
        <w:t>bjective for this lesson is for the pupils to be able to produce a design for an Ancient Greek pot (the design must be linked to their creative stories that they wrote in Language, Literacy and Communications.</w:t>
      </w:r>
      <w:r w:rsidR="00063F3F">
        <w:rPr>
          <w:rFonts w:ascii="Arial" w:hAnsi="Arial" w:cs="Arial"/>
          <w:sz w:val="24"/>
          <w:szCs w:val="24"/>
          <w:lang w:val="en-GB" w:eastAsia="en-GB"/>
        </w:rPr>
        <w:t xml:space="preserve">  This Expressive Arts lesson will link to “</w:t>
      </w:r>
      <w:r w:rsidR="00063F3F" w:rsidRPr="00063F3F">
        <w:rPr>
          <w:rFonts w:ascii="Arial" w:hAnsi="Arial" w:cs="Arial"/>
          <w:sz w:val="24"/>
          <w:szCs w:val="24"/>
          <w:lang w:val="en-GB" w:eastAsia="en-GB"/>
        </w:rPr>
        <w:t>Creative work combines knowledge and skills using the senses,</w:t>
      </w:r>
      <w:r w:rsidR="00063F3F">
        <w:rPr>
          <w:rFonts w:ascii="Arial" w:hAnsi="Arial" w:cs="Arial"/>
          <w:sz w:val="24"/>
          <w:szCs w:val="24"/>
          <w:lang w:val="en-GB" w:eastAsia="en-GB"/>
        </w:rPr>
        <w:t xml:space="preserve"> </w:t>
      </w:r>
      <w:r w:rsidR="00063F3F" w:rsidRPr="00063F3F">
        <w:rPr>
          <w:rFonts w:ascii="Arial" w:hAnsi="Arial" w:cs="Arial"/>
          <w:sz w:val="24"/>
          <w:szCs w:val="24"/>
          <w:lang w:val="en-GB" w:eastAsia="en-GB"/>
        </w:rPr>
        <w:t>inspiration and imagination.</w:t>
      </w:r>
      <w:r w:rsidR="00063F3F">
        <w:rPr>
          <w:rFonts w:ascii="Arial" w:hAnsi="Arial" w:cs="Arial"/>
          <w:sz w:val="24"/>
          <w:szCs w:val="24"/>
          <w:lang w:val="en-GB" w:eastAsia="en-GB"/>
        </w:rPr>
        <w:t>” (Welsh Assembly Government, 2019a) this is one of the aspects taken from the Expressive Arts draft curriculum. However, it also links to this aspect from the draft curriculum.  “</w:t>
      </w:r>
      <w:r w:rsidR="00063F3F" w:rsidRPr="00063F3F">
        <w:rPr>
          <w:rFonts w:ascii="Arial" w:hAnsi="Arial" w:cs="Arial"/>
          <w:sz w:val="24"/>
          <w:szCs w:val="24"/>
          <w:lang w:val="en-GB" w:eastAsia="en-GB"/>
        </w:rPr>
        <w:t>Exploration through and of the Expressive Arts deepens</w:t>
      </w:r>
      <w:r w:rsidR="00063F3F">
        <w:rPr>
          <w:rFonts w:ascii="Arial" w:hAnsi="Arial" w:cs="Arial"/>
          <w:sz w:val="24"/>
          <w:szCs w:val="24"/>
          <w:lang w:val="en-GB" w:eastAsia="en-GB"/>
        </w:rPr>
        <w:t xml:space="preserve"> </w:t>
      </w:r>
      <w:r w:rsidR="00063F3F" w:rsidRPr="00063F3F">
        <w:rPr>
          <w:rFonts w:ascii="Arial" w:hAnsi="Arial" w:cs="Arial"/>
          <w:sz w:val="24"/>
          <w:szCs w:val="24"/>
          <w:lang w:val="en-GB" w:eastAsia="en-GB"/>
        </w:rPr>
        <w:t>our artistic knowledge and contributes to our understanding</w:t>
      </w:r>
      <w:r w:rsidR="00063F3F">
        <w:rPr>
          <w:rFonts w:ascii="Arial" w:hAnsi="Arial" w:cs="Arial"/>
          <w:sz w:val="24"/>
          <w:szCs w:val="24"/>
          <w:lang w:val="en-GB" w:eastAsia="en-GB"/>
        </w:rPr>
        <w:t xml:space="preserve"> </w:t>
      </w:r>
      <w:r w:rsidR="00063F3F" w:rsidRPr="00063F3F">
        <w:rPr>
          <w:rFonts w:ascii="Arial" w:hAnsi="Arial" w:cs="Arial"/>
          <w:sz w:val="24"/>
          <w:szCs w:val="24"/>
          <w:lang w:val="en-GB" w:eastAsia="en-GB"/>
        </w:rPr>
        <w:t>of identities, cultures and societies.</w:t>
      </w:r>
      <w:r w:rsidR="00063F3F">
        <w:rPr>
          <w:rFonts w:ascii="Arial" w:hAnsi="Arial" w:cs="Arial"/>
          <w:sz w:val="24"/>
          <w:szCs w:val="24"/>
          <w:lang w:val="en-GB" w:eastAsia="en-GB"/>
        </w:rPr>
        <w:t xml:space="preserve">”  (Welsh Assembly Government, 2019a).  Within these I expect the pupils to be able to work creatively, but also focus on the importance of learning about different cultures.  </w:t>
      </w:r>
      <w:r w:rsidR="00D05861">
        <w:rPr>
          <w:rFonts w:ascii="Arial" w:hAnsi="Arial" w:cs="Arial"/>
          <w:sz w:val="24"/>
          <w:szCs w:val="24"/>
          <w:lang w:val="en-GB" w:eastAsia="en-GB"/>
        </w:rPr>
        <w:t>There will be no DCF included within this lesson.  There may be elements of LNF, specifically the oracy section of the literacy side of the framework. “S</w:t>
      </w:r>
      <w:r w:rsidR="00D05861" w:rsidRPr="00D05861">
        <w:rPr>
          <w:rFonts w:ascii="Arial" w:hAnsi="Arial" w:cs="Arial"/>
          <w:sz w:val="24"/>
          <w:szCs w:val="24"/>
          <w:lang w:val="en-GB" w:eastAsia="en-GB"/>
        </w:rPr>
        <w:t>peak clearly, using formal language, varying expression, tone and volume, to keep listeners interested</w:t>
      </w:r>
      <w:r w:rsidR="00D05861">
        <w:rPr>
          <w:rFonts w:ascii="Arial" w:hAnsi="Arial" w:cs="Arial"/>
          <w:sz w:val="24"/>
          <w:szCs w:val="24"/>
          <w:lang w:val="en-GB" w:eastAsia="en-GB"/>
        </w:rPr>
        <w:t xml:space="preserve">.” (Welsh Assembly Government, 2019e).  This target from the LNF framework links to the plenary section of this lesson where the pupils will be discussing their designs with each other.  For this lesson I chose to have the pupils work in pairs, so they can then get experience working creatively with a partner and learn to share the work </w:t>
      </w:r>
      <w:r w:rsidR="005A7E4C">
        <w:rPr>
          <w:rFonts w:ascii="Arial" w:hAnsi="Arial" w:cs="Arial"/>
          <w:sz w:val="24"/>
          <w:szCs w:val="24"/>
          <w:lang w:val="en-GB" w:eastAsia="en-GB"/>
        </w:rPr>
        <w:t>evenly. Looking back on previous work is essential for this lesson as the pupils will be drawing pictures based on their Ancient Greek Myth or Legend from the previous lesson on their design for their pot.</w:t>
      </w:r>
      <w:r w:rsidR="000134EC">
        <w:rPr>
          <w:rFonts w:ascii="Arial" w:hAnsi="Arial" w:cs="Arial"/>
          <w:sz w:val="24"/>
          <w:szCs w:val="24"/>
          <w:lang w:val="en-GB" w:eastAsia="en-GB"/>
        </w:rPr>
        <w:t xml:space="preserve">  Looking back on previous learning will be vital for this lesson</w:t>
      </w:r>
      <w:r w:rsidR="006B1FA2">
        <w:rPr>
          <w:rFonts w:ascii="Arial" w:hAnsi="Arial" w:cs="Arial"/>
          <w:sz w:val="24"/>
          <w:szCs w:val="24"/>
          <w:lang w:val="en-GB" w:eastAsia="en-GB"/>
        </w:rPr>
        <w:t>.</w:t>
      </w:r>
      <w:r w:rsidR="000134EC">
        <w:rPr>
          <w:rFonts w:ascii="Arial" w:hAnsi="Arial" w:cs="Arial"/>
          <w:sz w:val="24"/>
          <w:szCs w:val="24"/>
          <w:lang w:val="en-GB" w:eastAsia="en-GB"/>
        </w:rPr>
        <w:t xml:space="preserve"> </w:t>
      </w:r>
    </w:p>
    <w:p w14:paraId="6A5FC5FB" w14:textId="77777777" w:rsidR="00A14D9C" w:rsidRDefault="00A14D9C" w:rsidP="008C66F4">
      <w:pPr>
        <w:spacing w:line="360" w:lineRule="auto"/>
        <w:jc w:val="both"/>
      </w:pPr>
    </w:p>
    <w:p w14:paraId="773B26D1" w14:textId="77777777" w:rsidR="000F6C65" w:rsidRDefault="00E20580" w:rsidP="008C66F4">
      <w:pPr>
        <w:pStyle w:val="Heading1"/>
        <w:spacing w:line="360" w:lineRule="auto"/>
        <w:jc w:val="both"/>
      </w:pPr>
      <w:bookmarkStart w:id="18" w:name="BRANCH_4"/>
      <w:bookmarkStart w:id="19" w:name="_Toc4400028"/>
      <w:bookmarkStart w:id="20" w:name="_MV3BS_4"/>
      <w:bookmarkEnd w:id="16"/>
      <w:r>
        <w:t xml:space="preserve">Conclusion (400 words) </w:t>
      </w:r>
      <w:bookmarkEnd w:id="18"/>
      <w:bookmarkEnd w:id="19"/>
    </w:p>
    <w:p w14:paraId="334D0AB3" w14:textId="0A3E5379" w:rsidR="00A14D9C" w:rsidRPr="004D7314" w:rsidRDefault="003E6FBD" w:rsidP="008C66F4">
      <w:pPr>
        <w:spacing w:line="360" w:lineRule="auto"/>
        <w:jc w:val="both"/>
        <w:rPr>
          <w:rFonts w:ascii="Arial" w:hAnsi="Arial" w:cs="Arial"/>
          <w:sz w:val="24"/>
          <w:szCs w:val="24"/>
          <w:lang w:val="en-GB" w:eastAsia="en-GB"/>
        </w:rPr>
      </w:pPr>
      <w:bookmarkStart w:id="21" w:name="_MV3TD_PT8H00M00S_17"/>
      <w:bookmarkEnd w:id="21"/>
      <w:r>
        <w:rPr>
          <w:rFonts w:ascii="Arial" w:hAnsi="Arial" w:cs="Arial"/>
          <w:sz w:val="24"/>
          <w:szCs w:val="24"/>
          <w:lang w:val="en-GB" w:eastAsia="en-GB"/>
        </w:rPr>
        <w:t>In conclusion, this assignment focuses on the importance of A</w:t>
      </w:r>
      <w:r w:rsidR="005848E1">
        <w:rPr>
          <w:rFonts w:ascii="Arial" w:hAnsi="Arial" w:cs="Arial"/>
          <w:sz w:val="24"/>
          <w:szCs w:val="24"/>
          <w:lang w:val="en-GB" w:eastAsia="en-GB"/>
        </w:rPr>
        <w:t xml:space="preserve">ssessment for Learning </w:t>
      </w:r>
      <w:r>
        <w:rPr>
          <w:rFonts w:ascii="Arial" w:hAnsi="Arial" w:cs="Arial"/>
          <w:sz w:val="24"/>
          <w:szCs w:val="24"/>
          <w:lang w:val="en-GB" w:eastAsia="en-GB"/>
        </w:rPr>
        <w:t xml:space="preserve"> strategies by looking at </w:t>
      </w:r>
      <w:r w:rsidR="005848E1">
        <w:rPr>
          <w:rFonts w:ascii="Arial" w:hAnsi="Arial" w:cs="Arial"/>
          <w:sz w:val="24"/>
          <w:szCs w:val="24"/>
          <w:lang w:val="en-GB" w:eastAsia="en-GB"/>
        </w:rPr>
        <w:t xml:space="preserve">literature linking to the AfL strategies mentioned in this assignment.  </w:t>
      </w:r>
      <w:r w:rsidR="006B1FA2">
        <w:rPr>
          <w:rFonts w:ascii="Arial" w:hAnsi="Arial" w:cs="Arial"/>
          <w:sz w:val="24"/>
          <w:szCs w:val="24"/>
          <w:lang w:val="en-GB" w:eastAsia="en-GB"/>
        </w:rPr>
        <w:t xml:space="preserve">The introduction looks at explaining the outline of this assignment and what it will entail. A literature review was required as part of the assignment which </w:t>
      </w:r>
      <w:r w:rsidR="004D7314">
        <w:rPr>
          <w:rFonts w:ascii="Arial" w:hAnsi="Arial" w:cs="Arial"/>
          <w:sz w:val="24"/>
          <w:szCs w:val="24"/>
          <w:lang w:val="en-GB" w:eastAsia="en-GB"/>
        </w:rPr>
        <w:t>investigates</w:t>
      </w:r>
      <w:r w:rsidR="006B1FA2">
        <w:rPr>
          <w:rFonts w:ascii="Arial" w:hAnsi="Arial" w:cs="Arial"/>
          <w:sz w:val="24"/>
          <w:szCs w:val="24"/>
          <w:lang w:val="en-GB" w:eastAsia="en-GB"/>
        </w:rPr>
        <w:t xml:space="preserve"> </w:t>
      </w:r>
      <w:r w:rsidR="004D7314">
        <w:rPr>
          <w:rFonts w:ascii="Arial" w:hAnsi="Arial" w:cs="Arial"/>
          <w:sz w:val="24"/>
          <w:szCs w:val="24"/>
          <w:lang w:val="en-GB" w:eastAsia="en-GB"/>
        </w:rPr>
        <w:t>in depth</w:t>
      </w:r>
      <w:r w:rsidR="006B1FA2">
        <w:rPr>
          <w:rFonts w:ascii="Arial" w:hAnsi="Arial" w:cs="Arial"/>
          <w:sz w:val="24"/>
          <w:szCs w:val="24"/>
          <w:lang w:val="en-GB" w:eastAsia="en-GB"/>
        </w:rPr>
        <w:t xml:space="preserve"> some of the Assessment for Learning Strategies including Formative and Summative Assessment.  During this section the work of </w:t>
      </w:r>
      <w:r w:rsidR="004D7314">
        <w:rPr>
          <w:rFonts w:ascii="Arial" w:hAnsi="Arial" w:cs="Arial"/>
          <w:sz w:val="24"/>
          <w:szCs w:val="24"/>
          <w:lang w:val="en-GB" w:eastAsia="en-GB"/>
        </w:rPr>
        <w:t xml:space="preserve">Dylan William, </w:t>
      </w:r>
      <w:r w:rsidR="004D7314">
        <w:rPr>
          <w:rFonts w:ascii="Arial" w:hAnsi="Arial" w:cs="Arial"/>
          <w:sz w:val="24"/>
          <w:szCs w:val="24"/>
          <w:lang w:val="en-GB" w:eastAsia="en-GB"/>
        </w:rPr>
        <w:lastRenderedPageBreak/>
        <w:t xml:space="preserve">Welsh Assembly Government, Educational theorist – Vygotsky, etc.  The assignment then gives details on the lesson plans which </w:t>
      </w:r>
      <w:r w:rsidR="00660711">
        <w:rPr>
          <w:rFonts w:ascii="Arial" w:hAnsi="Arial" w:cs="Arial"/>
          <w:sz w:val="24"/>
          <w:szCs w:val="24"/>
          <w:lang w:val="en-GB" w:eastAsia="en-GB"/>
        </w:rPr>
        <w:t xml:space="preserve">are found in the appendix, this section includes how the Areas of Learning &amp; Experience, Literacy &amp; Numeracy Framework, Digital Competency Framework, the four purposes and the draft curriculum were integrated into the lesson plans.  In Conclusion, I believe this assignment looks at Assessment Strategies in </w:t>
      </w:r>
      <w:r w:rsidR="008E5157">
        <w:rPr>
          <w:rFonts w:ascii="Arial" w:hAnsi="Arial" w:cs="Arial"/>
          <w:sz w:val="24"/>
          <w:szCs w:val="24"/>
          <w:lang w:val="en-GB" w:eastAsia="en-GB"/>
        </w:rPr>
        <w:t xml:space="preserve">enormous </w:t>
      </w:r>
      <w:r w:rsidR="00660711">
        <w:rPr>
          <w:rFonts w:ascii="Arial" w:hAnsi="Arial" w:cs="Arial"/>
          <w:sz w:val="24"/>
          <w:szCs w:val="24"/>
          <w:lang w:val="en-GB" w:eastAsia="en-GB"/>
        </w:rPr>
        <w:t xml:space="preserve">detail and </w:t>
      </w:r>
      <w:r w:rsidR="008E5157">
        <w:rPr>
          <w:rFonts w:ascii="Arial" w:hAnsi="Arial" w:cs="Arial"/>
          <w:sz w:val="24"/>
          <w:szCs w:val="24"/>
          <w:lang w:val="en-GB" w:eastAsia="en-GB"/>
        </w:rPr>
        <w:t xml:space="preserve">provides information </w:t>
      </w:r>
      <w:r w:rsidR="008C66F4">
        <w:rPr>
          <w:rFonts w:ascii="Arial" w:hAnsi="Arial" w:cs="Arial"/>
          <w:sz w:val="24"/>
          <w:szCs w:val="24"/>
          <w:lang w:val="en-GB" w:eastAsia="en-GB"/>
        </w:rPr>
        <w:t>in regard to</w:t>
      </w:r>
      <w:r w:rsidR="00CE797F">
        <w:rPr>
          <w:rFonts w:ascii="Arial" w:hAnsi="Arial" w:cs="Arial"/>
          <w:sz w:val="24"/>
          <w:szCs w:val="24"/>
          <w:lang w:val="en-GB" w:eastAsia="en-GB"/>
        </w:rPr>
        <w:t xml:space="preserve"> </w:t>
      </w:r>
      <w:r w:rsidR="008E5157">
        <w:rPr>
          <w:rFonts w:ascii="Arial" w:hAnsi="Arial" w:cs="Arial"/>
          <w:sz w:val="24"/>
          <w:szCs w:val="24"/>
          <w:lang w:val="en-GB" w:eastAsia="en-GB"/>
        </w:rPr>
        <w:t xml:space="preserve"> </w:t>
      </w:r>
      <w:r w:rsidR="00660711">
        <w:rPr>
          <w:rFonts w:ascii="Arial" w:hAnsi="Arial" w:cs="Arial"/>
          <w:sz w:val="24"/>
          <w:szCs w:val="24"/>
          <w:lang w:val="en-GB" w:eastAsia="en-GB"/>
        </w:rPr>
        <w:t>how to encourage pupil development through AfL and their progress</w:t>
      </w:r>
      <w:r w:rsidR="008E5157">
        <w:rPr>
          <w:rFonts w:ascii="Arial" w:hAnsi="Arial" w:cs="Arial"/>
          <w:sz w:val="24"/>
          <w:szCs w:val="24"/>
          <w:lang w:val="en-GB" w:eastAsia="en-GB"/>
        </w:rPr>
        <w:t>ion t</w:t>
      </w:r>
      <w:r w:rsidR="00660711">
        <w:rPr>
          <w:rFonts w:ascii="Arial" w:hAnsi="Arial" w:cs="Arial"/>
          <w:sz w:val="24"/>
          <w:szCs w:val="24"/>
          <w:lang w:val="en-GB" w:eastAsia="en-GB"/>
        </w:rPr>
        <w:t xml:space="preserve">hrough the AoLEs.  </w:t>
      </w:r>
    </w:p>
    <w:p w14:paraId="2DA048B9" w14:textId="498095C3" w:rsidR="000F6C65" w:rsidRDefault="003305F2" w:rsidP="008C66F4">
      <w:pPr>
        <w:pStyle w:val="Heading1"/>
        <w:spacing w:line="360" w:lineRule="auto"/>
        <w:jc w:val="both"/>
      </w:pPr>
      <w:bookmarkStart w:id="22" w:name="_MV3BS_5"/>
      <w:bookmarkEnd w:id="20"/>
      <w:r>
        <w:t>references</w:t>
      </w:r>
    </w:p>
    <w:p w14:paraId="7912B6EC" w14:textId="3567BD7F" w:rsidR="00A14D9C" w:rsidRDefault="00E20580" w:rsidP="008C66F4">
      <w:pPr>
        <w:autoSpaceDE w:val="0"/>
        <w:autoSpaceDN w:val="0"/>
        <w:adjustRightInd w:val="0"/>
        <w:spacing w:line="360" w:lineRule="auto"/>
        <w:jc w:val="both"/>
        <w:rPr>
          <w:rFonts w:ascii="Arial" w:hAnsi="Arial" w:cs="Arial"/>
          <w:sz w:val="24"/>
          <w:szCs w:val="24"/>
          <w:lang w:val="en-GB" w:eastAsia="en-GB"/>
        </w:rPr>
      </w:pPr>
      <w:bookmarkStart w:id="23" w:name="_MV3TD_PT8H00M00S_20"/>
      <w:bookmarkEnd w:id="23"/>
      <w:r>
        <w:rPr>
          <w:rFonts w:ascii="Arial" w:hAnsi="Arial" w:cs="Arial"/>
          <w:sz w:val="24"/>
          <w:szCs w:val="24"/>
          <w:lang w:val="en-GB" w:eastAsia="en-GB"/>
        </w:rPr>
        <w:t xml:space="preserve">Alshatti, S., Watters, J., and Kidman, G. (2012). 'Teaching and Learning Family and Consumer Sciences.'  </w:t>
      </w:r>
      <w:r>
        <w:rPr>
          <w:rFonts w:ascii="Arial" w:eastAsia="Times New Roman" w:hAnsi="Arial" w:cs="Arial"/>
          <w:i/>
          <w:iCs/>
          <w:sz w:val="24"/>
          <w:szCs w:val="24"/>
          <w:lang w:val="en-GB" w:eastAsia="en-GB"/>
        </w:rPr>
        <w:t>Journal of Family and Consumer Sciences Education,</w:t>
      </w:r>
      <w:r>
        <w:rPr>
          <w:rFonts w:ascii="Arial" w:hAnsi="Arial" w:cs="Arial"/>
          <w:sz w:val="24"/>
          <w:szCs w:val="24"/>
          <w:lang w:val="en-GB" w:eastAsia="en-GB"/>
        </w:rPr>
        <w:t xml:space="preserve"> 30(2), 1-21.  [Online] Available at: </w:t>
      </w:r>
      <w:hyperlink r:id="rId9" w:history="1">
        <w:r w:rsidR="003E6FBD" w:rsidRPr="00535438">
          <w:rPr>
            <w:rStyle w:val="Hyperlink"/>
            <w:rFonts w:ascii="Arial" w:hAnsi="Arial" w:cs="Arial"/>
            <w:sz w:val="24"/>
            <w:szCs w:val="24"/>
            <w:lang w:val="en-GB" w:eastAsia="en-GB"/>
          </w:rPr>
          <w:t>http://www.natefacs.org/Pages/v30no2/v30no2Alshatti.pdf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28th October 2019.</w:t>
      </w:r>
    </w:p>
    <w:p w14:paraId="5E007425" w14:textId="0D8BFDFF" w:rsidR="00A14D9C" w:rsidRDefault="00E20580" w:rsidP="008C66F4">
      <w:pPr>
        <w:autoSpaceDE w:val="0"/>
        <w:autoSpaceDN w:val="0"/>
        <w:adjustRightInd w:val="0"/>
        <w:spacing w:line="360" w:lineRule="auto"/>
        <w:jc w:val="both"/>
        <w:rPr>
          <w:rFonts w:ascii="Arial" w:eastAsia="Times New Roman" w:hAnsi="Arial" w:cs="Arial"/>
          <w:i/>
          <w:iCs/>
          <w:sz w:val="24"/>
          <w:szCs w:val="24"/>
          <w:lang w:val="en-GB" w:eastAsia="en-GB"/>
        </w:rPr>
      </w:pPr>
      <w:r>
        <w:rPr>
          <w:rFonts w:ascii="Arial" w:hAnsi="Arial" w:cs="Arial"/>
          <w:sz w:val="24"/>
          <w:szCs w:val="24"/>
          <w:lang w:val="en-GB" w:eastAsia="en-GB"/>
        </w:rPr>
        <w:t xml:space="preserve">AUTISM SPECTRUM DISORDERS: Strategies for home and school. (2019). </w:t>
      </w:r>
      <w:r>
        <w:rPr>
          <w:rFonts w:ascii="Arial" w:eastAsia="Times New Roman" w:hAnsi="Arial" w:cs="Arial"/>
          <w:i/>
          <w:iCs/>
          <w:sz w:val="24"/>
          <w:szCs w:val="24"/>
          <w:lang w:val="en-GB" w:eastAsia="en-GB"/>
        </w:rPr>
        <w:t xml:space="preserve">Reducing Anxiety and Increasing Participation with a NO HANDS UP Rule. </w:t>
      </w:r>
      <w:r>
        <w:rPr>
          <w:rFonts w:ascii="Arial" w:hAnsi="Arial" w:cs="Arial"/>
          <w:sz w:val="24"/>
          <w:szCs w:val="24"/>
          <w:lang w:val="en-GB" w:eastAsia="en-GB"/>
        </w:rPr>
        <w:t xml:space="preserve">[Online] Available at: </w:t>
      </w:r>
      <w:hyperlink r:id="rId10" w:history="1">
        <w:r w:rsidR="003E6FBD" w:rsidRPr="00535438">
          <w:rPr>
            <w:rStyle w:val="Hyperlink"/>
            <w:rFonts w:ascii="Arial" w:hAnsi="Arial" w:cs="Arial"/>
            <w:sz w:val="24"/>
            <w:szCs w:val="24"/>
            <w:lang w:val="en-GB" w:eastAsia="en-GB"/>
          </w:rPr>
          <w:t>https://suelarkey.com.au/wp-content/uploads/2015/03/reduceanxiety.pdf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30th October 2019.</w:t>
      </w:r>
    </w:p>
    <w:p w14:paraId="52748562" w14:textId="77777777"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Barnes, J. (2015). </w:t>
      </w:r>
      <w:r>
        <w:rPr>
          <w:rFonts w:ascii="Arial" w:eastAsia="Times New Roman" w:hAnsi="Arial" w:cs="Arial"/>
          <w:i/>
          <w:iCs/>
          <w:sz w:val="24"/>
          <w:szCs w:val="24"/>
          <w:lang w:val="en-GB" w:eastAsia="en-GB"/>
        </w:rPr>
        <w:t>Cross-Curricular Learning 3-14</w:t>
      </w:r>
      <w:r>
        <w:rPr>
          <w:rFonts w:ascii="Arial" w:hAnsi="Arial" w:cs="Arial"/>
          <w:sz w:val="24"/>
          <w:szCs w:val="24"/>
          <w:lang w:val="en-GB" w:eastAsia="en-GB"/>
        </w:rPr>
        <w:t>. London: Sage Publications Ltd.</w:t>
      </w:r>
    </w:p>
    <w:p w14:paraId="5B2DE78D" w14:textId="3E746636" w:rsidR="00A14D9C" w:rsidRDefault="00E20580" w:rsidP="008C66F4">
      <w:pPr>
        <w:autoSpaceDE w:val="0"/>
        <w:autoSpaceDN w:val="0"/>
        <w:adjustRightInd w:val="0"/>
        <w:spacing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Cambridge Assessment International Education. (2019) </w:t>
      </w:r>
      <w:r>
        <w:rPr>
          <w:rFonts w:ascii="Arial" w:eastAsia="Times New Roman" w:hAnsi="Arial" w:cs="Arial"/>
          <w:i/>
          <w:sz w:val="24"/>
          <w:szCs w:val="24"/>
          <w:lang w:val="en-GB" w:eastAsia="en-GB"/>
        </w:rPr>
        <w:t>Assessment for Learning</w:t>
      </w:r>
      <w:r>
        <w:rPr>
          <w:rFonts w:ascii="Arial" w:eastAsia="Times New Roman" w:hAnsi="Arial" w:cs="Arial"/>
          <w:sz w:val="24"/>
          <w:szCs w:val="24"/>
          <w:lang w:val="en-GB" w:eastAsia="en-GB"/>
        </w:rPr>
        <w:t xml:space="preserve">. [Online PDF] Available at: </w:t>
      </w:r>
      <w:hyperlink r:id="rId11" w:history="1">
        <w:r>
          <w:rPr>
            <w:rFonts w:ascii="Arial" w:eastAsia="Times New Roman" w:hAnsi="Arial" w:cs="Arial"/>
            <w:color w:val="0563C1"/>
            <w:sz w:val="24"/>
            <w:szCs w:val="24"/>
            <w:u w:val="single"/>
            <w:lang w:val="en-GB" w:eastAsia="en-GB"/>
          </w:rPr>
          <w:t>https://www.cambridgeinternational.org/Images/271179-assessment-for-learning.pdf</w:t>
        </w:r>
      </w:hyperlink>
      <w:r>
        <w:rPr>
          <w:rFonts w:ascii="Arial" w:eastAsia="Times New Roman" w:hAnsi="Arial" w:cs="Arial"/>
          <w:sz w:val="24"/>
          <w:szCs w:val="24"/>
          <w:lang w:val="en-GB" w:eastAsia="en-GB"/>
        </w:rPr>
        <w:t xml:space="preserve"> Accessed: October 21st 2019.</w:t>
      </w:r>
    </w:p>
    <w:p w14:paraId="1281FC16" w14:textId="3E476BBD" w:rsidR="006B1FA2" w:rsidRDefault="006B1FA2" w:rsidP="008C66F4">
      <w:pPr>
        <w:autoSpaceDE w:val="0"/>
        <w:autoSpaceDN w:val="0"/>
        <w:adjustRightInd w:val="0"/>
        <w:spacing w:line="360" w:lineRule="auto"/>
        <w:jc w:val="both"/>
        <w:rPr>
          <w:rFonts w:ascii="Arial" w:hAnsi="Arial" w:cs="Arial"/>
          <w:sz w:val="24"/>
          <w:szCs w:val="24"/>
          <w:lang w:val="en-GB" w:eastAsia="en-GB"/>
        </w:rPr>
      </w:pPr>
      <w:r>
        <w:rPr>
          <w:rFonts w:ascii="Arial" w:eastAsia="Times New Roman" w:hAnsi="Arial" w:cs="Arial"/>
          <w:sz w:val="24"/>
          <w:szCs w:val="24"/>
          <w:lang w:val="en-GB" w:eastAsia="en-GB"/>
        </w:rPr>
        <w:t xml:space="preserve">Dabell, J. (2018). </w:t>
      </w:r>
      <w:r w:rsidRPr="006B1FA2">
        <w:rPr>
          <w:rFonts w:ascii="Arial" w:eastAsia="Times New Roman" w:hAnsi="Arial" w:cs="Arial"/>
          <w:i/>
          <w:iCs/>
          <w:sz w:val="24"/>
          <w:szCs w:val="24"/>
          <w:lang w:val="en-GB" w:eastAsia="en-GB"/>
        </w:rPr>
        <w:t>Re-evaluating the place for summative assessment in the classroom</w:t>
      </w:r>
      <w:r>
        <w:rPr>
          <w:rFonts w:ascii="Arial" w:eastAsia="Times New Roman" w:hAnsi="Arial" w:cs="Arial"/>
          <w:sz w:val="24"/>
          <w:szCs w:val="24"/>
          <w:lang w:val="en-GB" w:eastAsia="en-GB"/>
        </w:rPr>
        <w:t xml:space="preserve">. [Online] Available at: </w:t>
      </w:r>
      <w:hyperlink r:id="rId12" w:history="1">
        <w:r w:rsidRPr="00190BD6">
          <w:rPr>
            <w:rStyle w:val="Hyperlink"/>
            <w:rFonts w:ascii="Arial" w:eastAsia="Times New Roman" w:hAnsi="Arial" w:cs="Arial"/>
            <w:sz w:val="24"/>
            <w:szCs w:val="24"/>
            <w:lang w:val="en-GB" w:eastAsia="en-GB"/>
          </w:rPr>
          <w:t>https://mathsnoproblem.com/summative-assessment-in-the-classroom/</w:t>
        </w:r>
      </w:hyperlink>
      <w:r>
        <w:rPr>
          <w:rFonts w:ascii="Arial" w:eastAsia="Times New Roman" w:hAnsi="Arial" w:cs="Arial"/>
          <w:sz w:val="24"/>
          <w:szCs w:val="24"/>
          <w:lang w:val="en-GB" w:eastAsia="en-GB"/>
        </w:rPr>
        <w:t xml:space="preserve"> Accessed: November 3rd 2019.</w:t>
      </w:r>
    </w:p>
    <w:p w14:paraId="0B18FC18" w14:textId="2468F550"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De Bono, E. (2009). </w:t>
      </w:r>
      <w:r>
        <w:rPr>
          <w:rFonts w:ascii="Arial" w:eastAsia="Times New Roman" w:hAnsi="Arial" w:cs="Arial"/>
          <w:i/>
          <w:sz w:val="24"/>
          <w:szCs w:val="24"/>
          <w:lang w:val="en-GB" w:eastAsia="en-GB"/>
        </w:rPr>
        <w:t>Six Thinking Hats</w:t>
      </w:r>
      <w:r>
        <w:rPr>
          <w:rFonts w:ascii="Arial" w:hAnsi="Arial" w:cs="Arial"/>
          <w:sz w:val="24"/>
          <w:szCs w:val="24"/>
          <w:lang w:val="en-GB" w:eastAsia="en-GB"/>
        </w:rPr>
        <w:t xml:space="preserve">. NHS Improvement. [Online] Available at: </w:t>
      </w:r>
      <w:hyperlink r:id="rId13" w:history="1">
        <w:r w:rsidR="003E6FBD" w:rsidRPr="00535438">
          <w:rPr>
            <w:rStyle w:val="Hyperlink"/>
            <w:rFonts w:ascii="Arial" w:hAnsi="Arial" w:cs="Arial"/>
            <w:sz w:val="24"/>
            <w:szCs w:val="24"/>
            <w:lang w:val="en-GB" w:eastAsia="en-GB"/>
          </w:rPr>
          <w:t>https://improvement.nhs.uk/documents/2167/six-thinking-hats.pdf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31st October 2019.</w:t>
      </w:r>
    </w:p>
    <w:p w14:paraId="588BDF76" w14:textId="77777777"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Donaldson, G. (2015). </w:t>
      </w:r>
      <w:r>
        <w:rPr>
          <w:rFonts w:ascii="Arial" w:eastAsia="Times New Roman" w:hAnsi="Arial" w:cs="Arial"/>
          <w:i/>
          <w:sz w:val="24"/>
          <w:szCs w:val="24"/>
          <w:lang w:val="en-GB" w:eastAsia="en-GB"/>
        </w:rPr>
        <w:t>Successful Futures:Independent Review of Curriculum and Assessment Arrangements in Wales.</w:t>
      </w:r>
      <w:r>
        <w:rPr>
          <w:rFonts w:ascii="Arial" w:hAnsi="Arial" w:cs="Arial"/>
          <w:sz w:val="24"/>
          <w:szCs w:val="24"/>
          <w:lang w:val="en-GB" w:eastAsia="en-GB"/>
        </w:rPr>
        <w:t xml:space="preserve"> Cardiff: Welsh Assembly Government. </w:t>
      </w:r>
    </w:p>
    <w:p w14:paraId="09089B4C" w14:textId="77777777"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Gardner,J. (2012). </w:t>
      </w:r>
      <w:r>
        <w:rPr>
          <w:rFonts w:ascii="Arial" w:eastAsia="Times New Roman" w:hAnsi="Arial" w:cs="Arial"/>
          <w:i/>
          <w:sz w:val="24"/>
          <w:szCs w:val="24"/>
          <w:lang w:val="en-GB" w:eastAsia="en-GB"/>
        </w:rPr>
        <w:t>Assessment and Learning</w:t>
      </w:r>
      <w:r>
        <w:rPr>
          <w:rFonts w:ascii="Arial" w:hAnsi="Arial" w:cs="Arial"/>
          <w:sz w:val="24"/>
          <w:szCs w:val="24"/>
          <w:lang w:val="en-GB" w:eastAsia="en-GB"/>
        </w:rPr>
        <w:t>. 2nd Edition. London: Sage Publications Ltd.</w:t>
      </w:r>
    </w:p>
    <w:p w14:paraId="2A3A5587" w14:textId="77777777"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eastAsia="Times New Roman" w:hAnsi="Arial" w:cs="Arial"/>
          <w:sz w:val="24"/>
          <w:szCs w:val="24"/>
          <w:lang w:val="en-GB" w:eastAsia="en-GB"/>
        </w:rPr>
        <w:lastRenderedPageBreak/>
        <w:t xml:space="preserve">Kyriacou, C. (2009). </w:t>
      </w:r>
      <w:r>
        <w:rPr>
          <w:rFonts w:ascii="Arial" w:eastAsia="Times New Roman" w:hAnsi="Arial" w:cs="Arial"/>
          <w:i/>
          <w:sz w:val="24"/>
          <w:szCs w:val="24"/>
          <w:lang w:val="en-GB" w:eastAsia="en-GB"/>
        </w:rPr>
        <w:t>Effective Teaching in Schools: Theory and Practice</w:t>
      </w:r>
      <w:r>
        <w:rPr>
          <w:rFonts w:ascii="Arial" w:eastAsia="Times New Roman" w:hAnsi="Arial" w:cs="Arial"/>
          <w:sz w:val="24"/>
          <w:szCs w:val="24"/>
          <w:lang w:val="en-GB" w:eastAsia="en-GB"/>
        </w:rPr>
        <w:t>. Third Edition. Cheltenham: Nelson Thornes Ltd.</w:t>
      </w:r>
    </w:p>
    <w:p w14:paraId="1AEFE83F" w14:textId="0B7DA16C"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McLeod, S. A. (2018). </w:t>
      </w:r>
      <w:r>
        <w:rPr>
          <w:rFonts w:ascii="Arial" w:eastAsia="Times New Roman" w:hAnsi="Arial" w:cs="Arial"/>
          <w:i/>
          <w:sz w:val="24"/>
          <w:szCs w:val="24"/>
          <w:lang w:val="en-GB" w:eastAsia="en-GB"/>
        </w:rPr>
        <w:t>Skinner - operant conditioning</w:t>
      </w:r>
      <w:r>
        <w:rPr>
          <w:rFonts w:ascii="Arial" w:hAnsi="Arial" w:cs="Arial"/>
          <w:sz w:val="24"/>
          <w:szCs w:val="24"/>
          <w:lang w:val="en-GB" w:eastAsia="en-GB"/>
        </w:rPr>
        <w:t xml:space="preserve">. Simply Psychology. [Online] Available at: </w:t>
      </w:r>
      <w:hyperlink r:id="rId14" w:history="1">
        <w:r w:rsidR="003E6FBD" w:rsidRPr="00535438">
          <w:rPr>
            <w:rStyle w:val="Hyperlink"/>
            <w:rFonts w:ascii="Arial" w:hAnsi="Arial" w:cs="Arial"/>
            <w:sz w:val="24"/>
            <w:szCs w:val="24"/>
            <w:lang w:val="en-GB" w:eastAsia="en-GB"/>
          </w:rPr>
          <w:t>https://www.simplypsychology.org/operant-conditioning.html</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31st October 2019.</w:t>
      </w:r>
    </w:p>
    <w:p w14:paraId="00AD8851" w14:textId="6FDF7926"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Solution Tree. (2009). </w:t>
      </w:r>
      <w:r>
        <w:rPr>
          <w:rFonts w:ascii="Arial" w:eastAsia="Times New Roman" w:hAnsi="Arial" w:cs="Arial"/>
          <w:i/>
          <w:sz w:val="24"/>
          <w:szCs w:val="24"/>
          <w:lang w:val="en-GB" w:eastAsia="en-GB"/>
        </w:rPr>
        <w:t>Solution Tree: Dylan Wiliam, Content Then Process</w:t>
      </w:r>
      <w:r>
        <w:rPr>
          <w:rFonts w:ascii="Arial" w:hAnsi="Arial" w:cs="Arial"/>
          <w:sz w:val="24"/>
          <w:szCs w:val="24"/>
          <w:lang w:val="en-GB" w:eastAsia="en-GB"/>
        </w:rPr>
        <w:t xml:space="preserve">. 9th October. Available at: </w:t>
      </w:r>
      <w:hyperlink r:id="rId15" w:history="1">
        <w:r w:rsidR="003E6FBD" w:rsidRPr="00535438">
          <w:rPr>
            <w:rStyle w:val="Hyperlink"/>
            <w:rFonts w:ascii="Arial" w:hAnsi="Arial" w:cs="Arial"/>
            <w:sz w:val="24"/>
            <w:szCs w:val="24"/>
            <w:lang w:val="en-GB" w:eastAsia="en-GB"/>
          </w:rPr>
          <w:t>https://www.youtube.com/watch?v=029fSeOaGio</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28th October 2019.</w:t>
      </w:r>
    </w:p>
    <w:p w14:paraId="6B37915A" w14:textId="11FE7490" w:rsidR="005A10EF" w:rsidRDefault="005A10EF"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The Glossary of Education Reform. (2014</w:t>
      </w:r>
      <w:r w:rsidR="006A5BA0">
        <w:rPr>
          <w:rFonts w:ascii="Arial" w:hAnsi="Arial" w:cs="Arial"/>
          <w:sz w:val="24"/>
          <w:szCs w:val="24"/>
          <w:lang w:val="en-GB" w:eastAsia="en-GB"/>
        </w:rPr>
        <w:t>a</w:t>
      </w:r>
      <w:r>
        <w:rPr>
          <w:rFonts w:ascii="Arial" w:hAnsi="Arial" w:cs="Arial"/>
          <w:sz w:val="24"/>
          <w:szCs w:val="24"/>
          <w:lang w:val="en-GB" w:eastAsia="en-GB"/>
        </w:rPr>
        <w:t xml:space="preserve">). </w:t>
      </w:r>
      <w:r w:rsidRPr="00645D03">
        <w:rPr>
          <w:rFonts w:ascii="Arial" w:hAnsi="Arial" w:cs="Arial"/>
          <w:i/>
          <w:iCs/>
          <w:sz w:val="24"/>
          <w:szCs w:val="24"/>
          <w:lang w:val="en-GB" w:eastAsia="en-GB"/>
        </w:rPr>
        <w:t>Formative Assessment</w:t>
      </w:r>
      <w:r>
        <w:rPr>
          <w:rFonts w:ascii="Arial" w:hAnsi="Arial" w:cs="Arial"/>
          <w:sz w:val="24"/>
          <w:szCs w:val="24"/>
          <w:lang w:val="en-GB" w:eastAsia="en-GB"/>
        </w:rPr>
        <w:t>. [Online] Available at:</w:t>
      </w:r>
      <w:r>
        <w:t xml:space="preserve"> </w:t>
      </w:r>
      <w:hyperlink r:id="rId16" w:history="1">
        <w:r w:rsidRPr="00190BD6">
          <w:rPr>
            <w:rStyle w:val="Hyperlink"/>
            <w:rFonts w:ascii="Arial" w:hAnsi="Arial" w:cs="Arial"/>
            <w:sz w:val="24"/>
            <w:szCs w:val="24"/>
            <w:lang w:val="en-GB" w:eastAsia="en-GB"/>
          </w:rPr>
          <w:t>https://www.edglossary.org/formative-assessment/</w:t>
        </w:r>
      </w:hyperlink>
      <w:r>
        <w:rPr>
          <w:rFonts w:ascii="Arial" w:hAnsi="Arial" w:cs="Arial"/>
          <w:sz w:val="24"/>
          <w:szCs w:val="24"/>
          <w:lang w:val="en-GB" w:eastAsia="en-GB"/>
        </w:rPr>
        <w:t xml:space="preserve"> Accessed: November 1st 2019.</w:t>
      </w:r>
    </w:p>
    <w:p w14:paraId="69CA6F62" w14:textId="457ADD71" w:rsidR="006A5BA0" w:rsidRDefault="006A5BA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The Glossary of Education Reform. (2014b). </w:t>
      </w:r>
      <w:r w:rsidRPr="006A5BA0">
        <w:rPr>
          <w:rFonts w:ascii="Arial" w:hAnsi="Arial" w:cs="Arial"/>
          <w:i/>
          <w:iCs/>
          <w:sz w:val="24"/>
          <w:szCs w:val="24"/>
          <w:lang w:val="en-GB" w:eastAsia="en-GB"/>
        </w:rPr>
        <w:t>Summative Assessment</w:t>
      </w:r>
      <w:r>
        <w:rPr>
          <w:rFonts w:ascii="Arial" w:hAnsi="Arial" w:cs="Arial"/>
          <w:sz w:val="24"/>
          <w:szCs w:val="24"/>
          <w:lang w:val="en-GB" w:eastAsia="en-GB"/>
        </w:rPr>
        <w:t xml:space="preserve">. [Online] Available at: </w:t>
      </w:r>
      <w:hyperlink r:id="rId17" w:history="1">
        <w:r w:rsidRPr="00190BD6">
          <w:rPr>
            <w:rStyle w:val="Hyperlink"/>
            <w:rFonts w:ascii="Arial" w:hAnsi="Arial" w:cs="Arial"/>
            <w:sz w:val="24"/>
            <w:szCs w:val="24"/>
            <w:lang w:val="en-GB" w:eastAsia="en-GB"/>
          </w:rPr>
          <w:t>https://www.edglossary.org/summative-assessment/</w:t>
        </w:r>
      </w:hyperlink>
      <w:r>
        <w:rPr>
          <w:rFonts w:ascii="Arial" w:hAnsi="Arial" w:cs="Arial"/>
          <w:sz w:val="24"/>
          <w:szCs w:val="24"/>
          <w:lang w:val="en-GB" w:eastAsia="en-GB"/>
        </w:rPr>
        <w:t xml:space="preserve"> Accessed: November 3rd 2019.</w:t>
      </w:r>
    </w:p>
    <w:p w14:paraId="77C622F1" w14:textId="6C48035A" w:rsidR="00645D03" w:rsidRPr="00645D03" w:rsidRDefault="00645D03"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Trumbull, and Lash, . (2013). </w:t>
      </w:r>
      <w:r w:rsidRPr="00645D03">
        <w:rPr>
          <w:rFonts w:ascii="Arial" w:hAnsi="Arial" w:cs="Arial"/>
          <w:i/>
          <w:iCs/>
          <w:sz w:val="24"/>
          <w:szCs w:val="24"/>
          <w:lang w:val="en-GB" w:eastAsia="en-GB"/>
        </w:rPr>
        <w:t>Understanding Formative Assessment: Insights from Learning Theory and Measurement Theory</w:t>
      </w:r>
      <w:r>
        <w:rPr>
          <w:rFonts w:ascii="Arial" w:hAnsi="Arial" w:cs="Arial"/>
          <w:sz w:val="24"/>
          <w:szCs w:val="24"/>
          <w:lang w:val="en-GB" w:eastAsia="en-GB"/>
        </w:rPr>
        <w:t xml:space="preserve">. [Online] Available at: </w:t>
      </w:r>
      <w:hyperlink r:id="rId18" w:history="1">
        <w:r w:rsidRPr="00190BD6">
          <w:rPr>
            <w:rStyle w:val="Hyperlink"/>
            <w:rFonts w:ascii="Arial" w:hAnsi="Arial" w:cs="Arial"/>
            <w:sz w:val="24"/>
            <w:szCs w:val="24"/>
            <w:lang w:val="en-GB" w:eastAsia="en-GB"/>
          </w:rPr>
          <w:t>https://www.wested.org/online_pubs/resource1307.pdf</w:t>
        </w:r>
      </w:hyperlink>
      <w:r>
        <w:rPr>
          <w:rFonts w:ascii="Arial" w:hAnsi="Arial" w:cs="Arial"/>
          <w:sz w:val="24"/>
          <w:szCs w:val="24"/>
          <w:lang w:val="en-GB" w:eastAsia="en-GB"/>
        </w:rPr>
        <w:t xml:space="preserve"> Accessed: November 2nd 2019.</w:t>
      </w:r>
    </w:p>
    <w:p w14:paraId="1C532D39" w14:textId="1DEACA85" w:rsidR="00A14D9C" w:rsidRDefault="00E20580" w:rsidP="008C66F4">
      <w:pPr>
        <w:autoSpaceDE w:val="0"/>
        <w:autoSpaceDN w:val="0"/>
        <w:adjustRightInd w:val="0"/>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University of Reading. (2019). </w:t>
      </w:r>
      <w:r w:rsidRPr="00645D03">
        <w:rPr>
          <w:rFonts w:ascii="Arial" w:hAnsi="Arial" w:cs="Arial"/>
          <w:i/>
          <w:iCs/>
          <w:sz w:val="24"/>
          <w:szCs w:val="24"/>
          <w:lang w:val="en-GB" w:eastAsia="en-GB"/>
        </w:rPr>
        <w:t>Peer and self-assessment. Engage in Assessment</w:t>
      </w:r>
      <w:r>
        <w:rPr>
          <w:rFonts w:ascii="Arial" w:hAnsi="Arial" w:cs="Arial"/>
          <w:sz w:val="24"/>
          <w:szCs w:val="24"/>
          <w:lang w:val="en-GB" w:eastAsia="en-GB"/>
        </w:rPr>
        <w:t xml:space="preserve">. [Online] Available at: </w:t>
      </w:r>
      <w:hyperlink r:id="rId19" w:history="1">
        <w:r w:rsidR="003E6FBD" w:rsidRPr="00535438">
          <w:rPr>
            <w:rStyle w:val="Hyperlink"/>
            <w:rFonts w:ascii="Arial" w:hAnsi="Arial" w:cs="Arial"/>
            <w:sz w:val="24"/>
            <w:szCs w:val="24"/>
            <w:lang w:val="en-GB" w:eastAsia="en-GB"/>
          </w:rPr>
          <w:t>https://www.reading.ac.uk/engageinassessment/peer-and-self-assessment/eia-peer-and-self-assessment-main.aspx</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29th October 2019.</w:t>
      </w:r>
    </w:p>
    <w:p w14:paraId="3DFA941D" w14:textId="25756F9E" w:rsidR="00A14D9C" w:rsidRDefault="00E20580" w:rsidP="008C66F4">
      <w:pPr>
        <w:autoSpaceDE w:val="0"/>
        <w:autoSpaceDN w:val="0"/>
        <w:adjustRightInd w:val="0"/>
        <w:spacing w:line="360" w:lineRule="auto"/>
        <w:jc w:val="both"/>
        <w:rPr>
          <w:rFonts w:ascii="Calibri" w:eastAsia="Times New Roman" w:hAnsi="Calibri" w:cs="Arial"/>
          <w:szCs w:val="24"/>
          <w:lang w:val="en-GB" w:eastAsia="en-GB"/>
        </w:rPr>
      </w:pPr>
      <w:r>
        <w:rPr>
          <w:rFonts w:ascii="Arial" w:hAnsi="Arial" w:cs="Arial"/>
          <w:sz w:val="24"/>
          <w:szCs w:val="24"/>
          <w:lang w:val="en-GB" w:eastAsia="en-GB"/>
        </w:rPr>
        <w:t xml:space="preserve">Victoria State Government. (2018). </w:t>
      </w:r>
      <w:r>
        <w:rPr>
          <w:rFonts w:ascii="Arial" w:eastAsia="Times New Roman" w:hAnsi="Arial" w:cs="Arial"/>
          <w:i/>
          <w:sz w:val="24"/>
          <w:szCs w:val="24"/>
          <w:lang w:val="en-GB" w:eastAsia="en-GB"/>
        </w:rPr>
        <w:t>Individual learning goals and targets.</w:t>
      </w:r>
      <w:r>
        <w:rPr>
          <w:rFonts w:ascii="Arial" w:hAnsi="Arial" w:cs="Arial"/>
          <w:sz w:val="24"/>
          <w:szCs w:val="24"/>
          <w:lang w:val="en-GB" w:eastAsia="en-GB"/>
        </w:rPr>
        <w:t xml:space="preserve"> Education and Training. [Online] Available at: </w:t>
      </w:r>
      <w:hyperlink r:id="rId20" w:history="1">
        <w:r w:rsidR="003E6FBD" w:rsidRPr="00535438">
          <w:rPr>
            <w:rStyle w:val="Hyperlink"/>
            <w:rFonts w:ascii="Arial" w:hAnsi="Arial" w:cs="Arial"/>
            <w:sz w:val="24"/>
            <w:szCs w:val="24"/>
            <w:lang w:val="en-GB" w:eastAsia="en-GB"/>
          </w:rPr>
          <w:t>https://www.education.vic.gov.au/school/teachers/teachingresources/practice/Pages/reportsgoals.aspx</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29th October 2019.</w:t>
      </w:r>
    </w:p>
    <w:p w14:paraId="5110E88D" w14:textId="495DE55B"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Welsh Assembly Government. (2010). </w:t>
      </w:r>
      <w:r>
        <w:rPr>
          <w:rFonts w:ascii="Arial" w:eastAsia="Times New Roman" w:hAnsi="Arial" w:cs="Arial"/>
          <w:i/>
          <w:sz w:val="24"/>
          <w:szCs w:val="24"/>
          <w:lang w:val="en-GB" w:eastAsia="en-GB"/>
        </w:rPr>
        <w:t>How to develop thinking and assessment for learning in the classroom</w:t>
      </w:r>
      <w:r>
        <w:rPr>
          <w:rFonts w:ascii="Arial" w:hAnsi="Arial" w:cs="Arial"/>
          <w:sz w:val="24"/>
          <w:szCs w:val="24"/>
          <w:lang w:val="en-GB" w:eastAsia="en-GB"/>
        </w:rPr>
        <w:t xml:space="preserve">. [Online PDF] Available at: </w:t>
      </w:r>
      <w:hyperlink r:id="rId21" w:history="1">
        <w:r w:rsidR="003E6FBD" w:rsidRPr="00535438">
          <w:rPr>
            <w:rStyle w:val="Hyperlink"/>
            <w:rFonts w:ascii="Arial" w:hAnsi="Arial" w:cs="Arial"/>
            <w:sz w:val="24"/>
            <w:szCs w:val="24"/>
            <w:lang w:val="en-GB" w:eastAsia="en-GB"/>
          </w:rPr>
          <w:t>https://www.gwegogledd.cymru/wp-content/uploads/2018/04/How_to_develop_thinking_and.pdf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October 21st 2019.</w:t>
      </w:r>
    </w:p>
    <w:p w14:paraId="10B63A73"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39ECFD5C" w14:textId="6E748A24"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Welsh Assembly Government. (2019a). </w:t>
      </w:r>
      <w:r>
        <w:rPr>
          <w:rFonts w:ascii="Arial" w:eastAsia="Times New Roman" w:hAnsi="Arial" w:cs="Arial"/>
          <w:i/>
          <w:sz w:val="24"/>
          <w:szCs w:val="24"/>
          <w:lang w:val="en-GB" w:eastAsia="en-GB"/>
        </w:rPr>
        <w:t>Draft Statutory Guidance Area of Learning and Experience: Expressive Arts</w:t>
      </w:r>
      <w:r>
        <w:rPr>
          <w:rFonts w:ascii="Arial" w:hAnsi="Arial" w:cs="Arial"/>
          <w:sz w:val="24"/>
          <w:szCs w:val="24"/>
          <w:lang w:val="en-GB" w:eastAsia="en-GB"/>
        </w:rPr>
        <w:t xml:space="preserve">. [Online] Available at: </w:t>
      </w:r>
      <w:hyperlink r:id="rId22" w:history="1">
        <w:r w:rsidR="003E6FBD" w:rsidRPr="00535438">
          <w:rPr>
            <w:rStyle w:val="Hyperlink"/>
            <w:rFonts w:ascii="Arial" w:hAnsi="Arial" w:cs="Arial"/>
            <w:sz w:val="24"/>
            <w:szCs w:val="24"/>
            <w:lang w:val="en-GB" w:eastAsia="en-GB"/>
          </w:rPr>
          <w:t>https://s3-eu-west-1.amazonaws.com/hwb-live-storage/a2/59/d2/72/a63544998390b2fb11b8828a/draft-statutory-guidance-expressive-arts.pdf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October 27th 2019.</w:t>
      </w:r>
    </w:p>
    <w:p w14:paraId="53C07302"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19090399" w14:textId="270F3242"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Welsh Assembly Government. (2019b). </w:t>
      </w:r>
      <w:r>
        <w:rPr>
          <w:rFonts w:ascii="Arial" w:eastAsia="Times New Roman" w:hAnsi="Arial" w:cs="Arial"/>
          <w:i/>
          <w:sz w:val="24"/>
          <w:szCs w:val="24"/>
          <w:lang w:val="en-GB" w:eastAsia="en-GB"/>
        </w:rPr>
        <w:t>Draft Statutory Guidance Area of Learning and Experience: Humanities</w:t>
      </w:r>
      <w:r>
        <w:rPr>
          <w:rFonts w:ascii="Arial" w:hAnsi="Arial" w:cs="Arial"/>
          <w:sz w:val="24"/>
          <w:szCs w:val="24"/>
          <w:lang w:val="en-GB" w:eastAsia="en-GB"/>
        </w:rPr>
        <w:t xml:space="preserve">. [Online] Available at: </w:t>
      </w:r>
      <w:hyperlink r:id="rId23" w:history="1">
        <w:r w:rsidR="003E6FBD" w:rsidRPr="00535438">
          <w:rPr>
            <w:rStyle w:val="Hyperlink"/>
            <w:rFonts w:ascii="Arial" w:hAnsi="Arial" w:cs="Arial"/>
            <w:sz w:val="24"/>
            <w:szCs w:val="24"/>
            <w:lang w:val="en-GB" w:eastAsia="en-GB"/>
          </w:rPr>
          <w:t>https://s3-eu-west-1.amazonaws.com/hwb-live-storage/91/a1/75/e1/860b4f95b637b7712c445879/draft-statutory-guidance-humanities.pdf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27th October 2019.</w:t>
      </w:r>
    </w:p>
    <w:p w14:paraId="09DBBF54"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4E47BC93" w14:textId="65557680"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Welsh Assembly Government. (2019c). </w:t>
      </w:r>
      <w:r>
        <w:rPr>
          <w:rFonts w:ascii="Arial" w:eastAsia="Times New Roman" w:hAnsi="Arial" w:cs="Arial"/>
          <w:i/>
          <w:sz w:val="24"/>
          <w:szCs w:val="24"/>
          <w:lang w:val="en-GB" w:eastAsia="en-GB"/>
        </w:rPr>
        <w:t>Draft Statutory Guidance Area of Learning and Experience: Language, Literacy and Communication</w:t>
      </w:r>
      <w:r>
        <w:rPr>
          <w:rFonts w:ascii="Arial" w:hAnsi="Arial" w:cs="Arial"/>
          <w:sz w:val="24"/>
          <w:szCs w:val="24"/>
          <w:lang w:val="en-GB" w:eastAsia="en-GB"/>
        </w:rPr>
        <w:t xml:space="preserve">. [Online] Available at: </w:t>
      </w:r>
      <w:hyperlink r:id="rId24" w:history="1">
        <w:r w:rsidR="003E6FBD" w:rsidRPr="00535438">
          <w:rPr>
            <w:rStyle w:val="Hyperlink"/>
            <w:rFonts w:ascii="Arial" w:hAnsi="Arial" w:cs="Arial"/>
            <w:sz w:val="24"/>
            <w:szCs w:val="24"/>
            <w:lang w:val="en-GB" w:eastAsia="en-GB"/>
          </w:rPr>
          <w:t>https://s3-eu-west-1.amazonaws.com/hwb-live-storage/50/a1/48/ee/e53b4bbbbf979cc3bba96558/draft-statutory-guidance-languages-literacy-and-communication.pdf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27th October 2019.</w:t>
      </w:r>
    </w:p>
    <w:p w14:paraId="311A430C" w14:textId="77777777" w:rsidR="00A14D9C" w:rsidRDefault="00A14D9C" w:rsidP="008C66F4">
      <w:pPr>
        <w:widowControl w:val="0"/>
        <w:autoSpaceDE w:val="0"/>
        <w:autoSpaceDN w:val="0"/>
        <w:adjustRightInd w:val="0"/>
        <w:spacing w:after="0" w:line="360" w:lineRule="auto"/>
        <w:jc w:val="both"/>
        <w:rPr>
          <w:rFonts w:ascii="Arial" w:hAnsi="Arial" w:cs="Arial"/>
          <w:sz w:val="24"/>
          <w:szCs w:val="24"/>
          <w:lang w:val="en-GB" w:eastAsia="en-GB"/>
        </w:rPr>
      </w:pPr>
    </w:p>
    <w:p w14:paraId="578AEF8F" w14:textId="5ECEBE5E" w:rsidR="00A14D9C" w:rsidRDefault="00E20580" w:rsidP="008C66F4">
      <w:pPr>
        <w:widowControl w:val="0"/>
        <w:autoSpaceDE w:val="0"/>
        <w:autoSpaceDN w:val="0"/>
        <w:adjustRightInd w:val="0"/>
        <w:spacing w:after="0" w:line="360" w:lineRule="auto"/>
        <w:jc w:val="both"/>
        <w:rPr>
          <w:rFonts w:ascii="Arial" w:hAnsi="Arial" w:cs="Arial"/>
          <w:sz w:val="24"/>
          <w:szCs w:val="24"/>
          <w:lang w:val="en-GB" w:eastAsia="en-GB"/>
        </w:rPr>
      </w:pPr>
      <w:r>
        <w:rPr>
          <w:rFonts w:ascii="Arial" w:hAnsi="Arial" w:cs="Arial"/>
          <w:sz w:val="24"/>
          <w:szCs w:val="24"/>
          <w:lang w:val="en-GB" w:eastAsia="en-GB"/>
        </w:rPr>
        <w:t xml:space="preserve">Welsh Assembly Government. (2019d). </w:t>
      </w:r>
      <w:r>
        <w:rPr>
          <w:rFonts w:ascii="Arial" w:eastAsia="Times New Roman" w:hAnsi="Arial" w:cs="Arial"/>
          <w:i/>
          <w:sz w:val="24"/>
          <w:szCs w:val="24"/>
          <w:lang w:val="en-GB" w:eastAsia="en-GB"/>
        </w:rPr>
        <w:t xml:space="preserve">A Guide to Curriculum for Wales 2022. </w:t>
      </w:r>
      <w:r>
        <w:rPr>
          <w:rFonts w:ascii="Arial" w:hAnsi="Arial" w:cs="Arial"/>
          <w:sz w:val="24"/>
          <w:szCs w:val="24"/>
          <w:lang w:val="en-GB" w:eastAsia="en-GB"/>
        </w:rPr>
        <w:t xml:space="preserve">[Online] Available at: </w:t>
      </w:r>
      <w:hyperlink r:id="rId25" w:history="1">
        <w:r w:rsidR="003E6FBD" w:rsidRPr="00535438">
          <w:rPr>
            <w:rStyle w:val="Hyperlink"/>
            <w:rFonts w:ascii="Arial" w:hAnsi="Arial" w:cs="Arial"/>
            <w:sz w:val="24"/>
            <w:szCs w:val="24"/>
            <w:lang w:val="en-GB" w:eastAsia="en-GB"/>
          </w:rPr>
          <w:t>https://s3-eu-west-1.amazonaws.com/hwb-live-storage/cd/b4/f8/7c/b7d34ffb968d9a09de4d460c/a-guide-to-curriculum-for-wales-2022.pdf</w:t>
        </w:r>
      </w:hyperlink>
      <w:r w:rsidR="003E6FBD">
        <w:rPr>
          <w:rFonts w:ascii="Arial" w:hAnsi="Arial" w:cs="Arial"/>
          <w:sz w:val="24"/>
          <w:szCs w:val="24"/>
          <w:lang w:val="en-GB" w:eastAsia="en-GB"/>
        </w:rPr>
        <w:t xml:space="preserve"> </w:t>
      </w:r>
      <w:r>
        <w:rPr>
          <w:rFonts w:ascii="Arial" w:hAnsi="Arial" w:cs="Arial"/>
          <w:sz w:val="24"/>
          <w:szCs w:val="24"/>
          <w:lang w:val="en-GB" w:eastAsia="en-GB"/>
        </w:rPr>
        <w:t>Accessed: October</w:t>
      </w:r>
      <w:r w:rsidR="00D05861">
        <w:rPr>
          <w:rFonts w:ascii="Arial" w:hAnsi="Arial" w:cs="Arial"/>
          <w:sz w:val="24"/>
          <w:szCs w:val="24"/>
          <w:lang w:val="en-GB" w:eastAsia="en-GB"/>
        </w:rPr>
        <w:t xml:space="preserve"> 25th 2019</w:t>
      </w:r>
    </w:p>
    <w:p w14:paraId="081536BD" w14:textId="5325969C" w:rsidR="00A14D9C" w:rsidRDefault="00A14D9C" w:rsidP="008C66F4">
      <w:pPr>
        <w:widowControl w:val="0"/>
        <w:autoSpaceDE w:val="0"/>
        <w:autoSpaceDN w:val="0"/>
        <w:adjustRightInd w:val="0"/>
        <w:spacing w:after="0" w:line="360" w:lineRule="auto"/>
        <w:rPr>
          <w:rFonts w:ascii="Arial" w:hAnsi="Arial" w:cs="Arial"/>
          <w:sz w:val="24"/>
          <w:szCs w:val="24"/>
          <w:lang w:val="en-GB" w:eastAsia="en-GB"/>
        </w:rPr>
      </w:pPr>
    </w:p>
    <w:p w14:paraId="640FB1FE" w14:textId="5657A173" w:rsidR="00D05861" w:rsidRDefault="00D05861" w:rsidP="008C66F4">
      <w:pPr>
        <w:widowControl w:val="0"/>
        <w:autoSpaceDE w:val="0"/>
        <w:autoSpaceDN w:val="0"/>
        <w:adjustRightInd w:val="0"/>
        <w:spacing w:after="0" w:line="360" w:lineRule="auto"/>
        <w:rPr>
          <w:rFonts w:ascii="Arial" w:hAnsi="Arial" w:cs="Arial"/>
          <w:sz w:val="24"/>
          <w:szCs w:val="24"/>
          <w:lang w:val="en-GB" w:eastAsia="en-GB"/>
        </w:rPr>
      </w:pPr>
      <w:r>
        <w:rPr>
          <w:rFonts w:ascii="Arial" w:hAnsi="Arial" w:cs="Arial"/>
          <w:sz w:val="24"/>
          <w:szCs w:val="24"/>
          <w:lang w:val="en-GB" w:eastAsia="en-GB"/>
        </w:rPr>
        <w:t xml:space="preserve">Welsh Assembly Government. (2019e). National Literacy and Numeracy Framework. [Online] Available at: </w:t>
      </w:r>
      <w:hyperlink r:id="rId26" w:anchor="eyJpIjpbeyJhIjoxfSx7ImEiOjB9XSwiYyI6W3siYSI6MH0seyJhIjowfSx7ImEiOjB9LHsiYSI6MH0seyJhIjowfSx7ImEiOjB9LHsiYSI6MH0seyJhIjowfSx7ImEiOjB9LHsiYSI6MH0seyJhIjowfSx7ImEiOjF9LHsiYSI6MH0seyJhIjowfSx7ImEiOjB9LHsiYSI6MH0seyJhIjowfSx7ImEiOjB9XX0=" w:history="1">
        <w:r w:rsidRPr="00190BD6">
          <w:rPr>
            <w:rStyle w:val="Hyperlink"/>
            <w:rFonts w:ascii="Arial" w:hAnsi="Arial" w:cs="Arial"/>
            <w:sz w:val="24"/>
            <w:szCs w:val="24"/>
            <w:lang w:val="en-GB" w:eastAsia="en-GB"/>
          </w:rPr>
          <w:t>https://hwb.gov.wales/curriculum-for-wales-2008/national-literacy-and-numeracy-framework-curriculum-for-wales-2008-version/framework/?lang=en#eyJpIjpbeyJhIjoxfSx7ImEiOjB9XSwiYyI6W3siYSI6MH0seyJhIjowfSx7ImEiOjB9LHsiYSI6MH0seyJhIjowfSx7ImEiOjB9LHsiYSI6MH0seyJhIjowfSx7ImEiOjB9LHsiYSI6MH0seyJhIjowfSx7ImEiOjF9LHsiYSI6MH0seyJhIjowfSx7ImEiOjB9LHsiYSI6MH0seyJhIjowfSx7ImEiOjB9XX0=</w:t>
        </w:r>
      </w:hyperlink>
      <w:r>
        <w:rPr>
          <w:rFonts w:ascii="Arial" w:hAnsi="Arial" w:cs="Arial"/>
          <w:sz w:val="24"/>
          <w:szCs w:val="24"/>
          <w:lang w:val="en-GB" w:eastAsia="en-GB"/>
        </w:rPr>
        <w:t xml:space="preserve"> Accessed: November 1st 2019.</w:t>
      </w:r>
    </w:p>
    <w:p w14:paraId="30E1B8D1" w14:textId="77777777" w:rsidR="00A14D9C" w:rsidRDefault="00A14D9C" w:rsidP="008C66F4">
      <w:pPr>
        <w:spacing w:line="360" w:lineRule="auto"/>
      </w:pPr>
    </w:p>
    <w:p w14:paraId="5E7C00B1" w14:textId="77777777" w:rsidR="000F6C65" w:rsidRDefault="00E20580" w:rsidP="008C66F4">
      <w:pPr>
        <w:pStyle w:val="Heading1"/>
        <w:spacing w:line="360" w:lineRule="auto"/>
      </w:pPr>
      <w:bookmarkStart w:id="24" w:name="BRANCH_6"/>
      <w:bookmarkStart w:id="25" w:name="_Toc4400030"/>
      <w:bookmarkStart w:id="26" w:name="_MV3BS_6"/>
      <w:bookmarkEnd w:id="22"/>
      <w:r>
        <w:t>Appendix</w:t>
      </w:r>
      <w:bookmarkStart w:id="27" w:name="_MV3TD_PT8H00M00S_23"/>
      <w:bookmarkEnd w:id="24"/>
      <w:bookmarkEnd w:id="25"/>
      <w:bookmarkEnd w:id="26"/>
      <w:bookmarkEnd w:id="27"/>
    </w:p>
    <w:sectPr w:rsidR="000F6C6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346A4" w14:textId="77777777" w:rsidR="00A91DA1" w:rsidRDefault="00A91DA1" w:rsidP="00C85CF0">
      <w:pPr>
        <w:spacing w:after="0" w:line="240" w:lineRule="auto"/>
      </w:pPr>
      <w:r>
        <w:separator/>
      </w:r>
    </w:p>
  </w:endnote>
  <w:endnote w:type="continuationSeparator" w:id="0">
    <w:p w14:paraId="5520CBE3" w14:textId="77777777"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3827639"/>
      <w:docPartObj>
        <w:docPartGallery w:val="Page Numbers (Bottom of Page)"/>
        <w:docPartUnique/>
      </w:docPartObj>
    </w:sdtPr>
    <w:sdtEndPr>
      <w:rPr>
        <w:color w:val="7F7F7F" w:themeColor="background1" w:themeShade="7F"/>
        <w:spacing w:val="60"/>
      </w:rPr>
    </w:sdtEndPr>
    <w:sdtContent>
      <w:p w14:paraId="665EF162" w14:textId="5772FF18" w:rsidR="003E6FBD" w:rsidRDefault="003E6FB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AC6093" w14:textId="77777777" w:rsidR="003E6FBD" w:rsidRDefault="003E6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DD961D" w14:textId="77777777" w:rsidR="00A91DA1" w:rsidRDefault="00A91DA1" w:rsidP="00C85CF0">
      <w:pPr>
        <w:spacing w:after="0" w:line="240" w:lineRule="auto"/>
      </w:pPr>
      <w:r>
        <w:separator/>
      </w:r>
    </w:p>
  </w:footnote>
  <w:footnote w:type="continuationSeparator" w:id="0">
    <w:p w14:paraId="23C6AA4C" w14:textId="77777777" w:rsidR="00A91DA1" w:rsidRDefault="00A91DA1"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34EC"/>
    <w:rsid w:val="000453E3"/>
    <w:rsid w:val="000531BB"/>
    <w:rsid w:val="000600E6"/>
    <w:rsid w:val="00063F3F"/>
    <w:rsid w:val="000F6C65"/>
    <w:rsid w:val="00110819"/>
    <w:rsid w:val="00186491"/>
    <w:rsid w:val="001B62C2"/>
    <w:rsid w:val="0022057B"/>
    <w:rsid w:val="0032178A"/>
    <w:rsid w:val="003305F2"/>
    <w:rsid w:val="003D3055"/>
    <w:rsid w:val="003E6FBD"/>
    <w:rsid w:val="004214E0"/>
    <w:rsid w:val="004D7314"/>
    <w:rsid w:val="0051774C"/>
    <w:rsid w:val="005848E1"/>
    <w:rsid w:val="00596FA9"/>
    <w:rsid w:val="005A10EF"/>
    <w:rsid w:val="005A7E4C"/>
    <w:rsid w:val="00611B0D"/>
    <w:rsid w:val="00645D03"/>
    <w:rsid w:val="00660711"/>
    <w:rsid w:val="00663387"/>
    <w:rsid w:val="006764D7"/>
    <w:rsid w:val="006A5BA0"/>
    <w:rsid w:val="006B1FA2"/>
    <w:rsid w:val="007657C6"/>
    <w:rsid w:val="007848D8"/>
    <w:rsid w:val="007A12A3"/>
    <w:rsid w:val="007A7ED2"/>
    <w:rsid w:val="008544B2"/>
    <w:rsid w:val="00856B74"/>
    <w:rsid w:val="00886596"/>
    <w:rsid w:val="008C66F4"/>
    <w:rsid w:val="008E5157"/>
    <w:rsid w:val="00A14D9C"/>
    <w:rsid w:val="00A70546"/>
    <w:rsid w:val="00A91DA1"/>
    <w:rsid w:val="00A96D91"/>
    <w:rsid w:val="00AB2AA1"/>
    <w:rsid w:val="00AB6B40"/>
    <w:rsid w:val="00AE5846"/>
    <w:rsid w:val="00B13B29"/>
    <w:rsid w:val="00B173D2"/>
    <w:rsid w:val="00BA69E4"/>
    <w:rsid w:val="00BB1C66"/>
    <w:rsid w:val="00BE1118"/>
    <w:rsid w:val="00C53DDD"/>
    <w:rsid w:val="00C85CF0"/>
    <w:rsid w:val="00CE797F"/>
    <w:rsid w:val="00CF7939"/>
    <w:rsid w:val="00D05861"/>
    <w:rsid w:val="00D20AF9"/>
    <w:rsid w:val="00D25274"/>
    <w:rsid w:val="00D35A83"/>
    <w:rsid w:val="00DB36E4"/>
    <w:rsid w:val="00E20580"/>
    <w:rsid w:val="00E64889"/>
    <w:rsid w:val="00EF65B7"/>
    <w:rsid w:val="00F65633"/>
    <w:rsid w:val="00F706E8"/>
    <w:rsid w:val="00F823B2"/>
    <w:rsid w:val="00F87621"/>
    <w:rsid w:val="00F940C3"/>
    <w:rsid w:val="00FA5441"/>
    <w:rsid w:val="00FE2C6D"/>
    <w:rsid w:val="00FF2C87"/>
    <w:rsid w:val="00FF61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11C9836"/>
  <w15:chartTrackingRefBased/>
  <w15:docId w15:val="{0691EAF1-42CA-49DD-908D-53F735A5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3E6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mprovement.nhs.uk/documents/2167/six-thinking-hats.pdf" TargetMode="External"/><Relationship Id="rId18" Type="http://schemas.openxmlformats.org/officeDocument/2006/relationships/hyperlink" Target="https://www.wested.org/online_pubs/resource1307.pdf" TargetMode="External"/><Relationship Id="rId26" Type="http://schemas.openxmlformats.org/officeDocument/2006/relationships/hyperlink" Target="https://hwb.gov.wales/curriculum-for-wales-2008/national-literacy-and-numeracy-framework-curriculum-for-wales-2008-version/framework/?lang=en" TargetMode="External"/><Relationship Id="rId3" Type="http://schemas.openxmlformats.org/officeDocument/2006/relationships/styles" Target="styles.xml"/><Relationship Id="rId21" Type="http://schemas.openxmlformats.org/officeDocument/2006/relationships/hyperlink" Target="https://www.gwegogledd.cymru/wp-content/uploads/2018/04/How_to_develop_thinking_and.pdf" TargetMode="External"/><Relationship Id="rId7" Type="http://schemas.openxmlformats.org/officeDocument/2006/relationships/endnotes" Target="endnotes.xml"/><Relationship Id="rId12" Type="http://schemas.openxmlformats.org/officeDocument/2006/relationships/hyperlink" Target="https://mathsnoproblem.com/summative-assessment-in-the-classroom/" TargetMode="External"/><Relationship Id="rId17" Type="http://schemas.openxmlformats.org/officeDocument/2006/relationships/hyperlink" Target="https://www.edglossary.org/summative-assessment/" TargetMode="External"/><Relationship Id="rId25" Type="http://schemas.openxmlformats.org/officeDocument/2006/relationships/hyperlink" Target="https://s3-eu-west-1.amazonaws.com/hwb-live-storage/cd/b4/f8/7c/b7d34ffb968d9a09de4d460c/a-guide-to-curriculum-for-wales-2022.pdf" TargetMode="External"/><Relationship Id="rId2" Type="http://schemas.openxmlformats.org/officeDocument/2006/relationships/numbering" Target="numbering.xml"/><Relationship Id="rId16" Type="http://schemas.openxmlformats.org/officeDocument/2006/relationships/hyperlink" Target="https://www.edglossary.org/formative-assessment/" TargetMode="External"/><Relationship Id="rId20" Type="http://schemas.openxmlformats.org/officeDocument/2006/relationships/hyperlink" Target="https://www.education.vic.gov.au/school/teachers/teachingresources/practice/Pages/reportsgoals.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international.org/Images/271179-assessment-for-learning.pdf" TargetMode="External"/><Relationship Id="rId24" Type="http://schemas.openxmlformats.org/officeDocument/2006/relationships/hyperlink" Target="https://s3-eu-west-1.amazonaws.com/hwb-live-storage/50/a1/48/ee/e53b4bbbbf979cc3bba96558/draft-statutory-guidance-languages-literacy-and-communication.pdf" TargetMode="External"/><Relationship Id="rId5" Type="http://schemas.openxmlformats.org/officeDocument/2006/relationships/webSettings" Target="webSettings.xml"/><Relationship Id="rId15" Type="http://schemas.openxmlformats.org/officeDocument/2006/relationships/hyperlink" Target="https://www.youtube.com/watch?v=029fSeOaGio" TargetMode="External"/><Relationship Id="rId23" Type="http://schemas.openxmlformats.org/officeDocument/2006/relationships/hyperlink" Target="https://s3-eu-west-1.amazonaws.com/hwb-live-storage/91/a1/75/e1/860b4f95b637b7712c445879/draft-statutory-guidance-humanities.pdf" TargetMode="External"/><Relationship Id="rId28" Type="http://schemas.openxmlformats.org/officeDocument/2006/relationships/fontTable" Target="fontTable.xml"/><Relationship Id="rId10" Type="http://schemas.openxmlformats.org/officeDocument/2006/relationships/hyperlink" Target="https://suelarkey.com.au/wp-content/uploads/2015/03/reduceanxiety.pdf" TargetMode="External"/><Relationship Id="rId19" Type="http://schemas.openxmlformats.org/officeDocument/2006/relationships/hyperlink" Target="https://www.reading.ac.uk/engageinassessment/peer-and-self-assessment/eia-peer-and-self-assessment-main.aspx" TargetMode="External"/><Relationship Id="rId4" Type="http://schemas.openxmlformats.org/officeDocument/2006/relationships/settings" Target="settings.xml"/><Relationship Id="rId9" Type="http://schemas.openxmlformats.org/officeDocument/2006/relationships/hyperlink" Target="http://www.natefacs.org/Pages/v30no2/v30no2Alshatti.pdf" TargetMode="External"/><Relationship Id="rId14" Type="http://schemas.openxmlformats.org/officeDocument/2006/relationships/hyperlink" Target="https://www.simplypsychology.org/operant-conditioning.html" TargetMode="External"/><Relationship Id="rId22" Type="http://schemas.openxmlformats.org/officeDocument/2006/relationships/hyperlink" Target="https://s3-eu-west-1.amazonaws.com/hwb-live-storage/a2/59/d2/72/a63544998390b2fb11b8828a/draft-statutory-guidance-expressive-arts.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E8044-38A4-4647-9207-5E5ABA034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13</Pages>
  <Words>4539</Words>
  <Characters>25876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 Written Assignment showing how a series of learning opportunities can be inter-linked to demonstrate progression in an area of learning and experience </vt:lpstr>
    </vt:vector>
  </TitlesOfParts>
  <Manager/>
  <Company>HP</Company>
  <LinksUpToDate>false</LinksUpToDate>
  <CharactersWithSpaces>30355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Written Assignment showing how a series of learning opportunities can be inter-linked to demonstrate progression in an area of learning and experience </dc:title>
  <dc:subject/>
  <dc:creator>Becka Newton</dc:creator>
  <cp:keywords/>
  <dc:description/>
  <cp:lastModifiedBy>Rebecca Newton (1806945)</cp:lastModifiedBy>
  <cp:revision>5</cp:revision>
  <dcterms:created xsi:type="dcterms:W3CDTF">2019-11-05T18:04:00Z</dcterms:created>
  <dcterms:modified xsi:type="dcterms:W3CDTF">2019-11-06T12:33:00Z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