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81391" w14:textId="77777777" w:rsidR="009D28BB" w:rsidRDefault="0091752F" w:rsidP="009D28BB">
      <w:pPr>
        <w:pStyle w:val="Titolo1"/>
        <w:spacing w:line="240" w:lineRule="auto"/>
        <w:rPr>
          <w:highlight w:val="white"/>
        </w:rPr>
      </w:pPr>
      <w:bookmarkStart w:id="0" w:name="__RefHeading___Toc487_2645521080"/>
      <w:bookmarkEnd w:id="0"/>
      <w:r>
        <w:rPr>
          <w:highlight w:val="white"/>
        </w:rPr>
        <w:t xml:space="preserve">FEDERICA GIOCOLI </w:t>
      </w:r>
      <w:r w:rsidR="00864AE4">
        <w:rPr>
          <w:highlight w:val="white"/>
        </w:rPr>
        <w:tab/>
      </w:r>
      <w:r w:rsidR="004F615E">
        <w:rPr>
          <w:highlight w:val="white"/>
        </w:rPr>
        <w:t xml:space="preserve"> </w:t>
      </w:r>
    </w:p>
    <w:p w14:paraId="44950512" w14:textId="020C8507" w:rsidR="004F615E" w:rsidRPr="004F615E" w:rsidRDefault="004F615E" w:rsidP="009D28BB">
      <w:pPr>
        <w:pStyle w:val="Titolo1"/>
        <w:spacing w:line="240" w:lineRule="auto"/>
        <w:rPr>
          <w:highlight w:val="white"/>
        </w:rPr>
      </w:pPr>
      <w:r>
        <w:rPr>
          <w:highlight w:val="white"/>
        </w:rPr>
        <w:t>2121746</w:t>
      </w:r>
    </w:p>
    <w:p w14:paraId="1DC874CC" w14:textId="77777777" w:rsidR="004F615E" w:rsidRPr="004F615E" w:rsidRDefault="004F615E" w:rsidP="004F615E">
      <w:pPr>
        <w:pStyle w:val="LO-normal"/>
        <w:rPr>
          <w:highlight w:val="white"/>
        </w:rPr>
      </w:pPr>
    </w:p>
    <w:p w14:paraId="7944FB79" w14:textId="77777777" w:rsidR="00CD2FF8" w:rsidRDefault="00CD2FF8">
      <w:pPr>
        <w:pStyle w:val="Titolo1"/>
        <w:rPr>
          <w:highlight w:val="white"/>
        </w:rPr>
      </w:pPr>
    </w:p>
    <w:p w14:paraId="263FE965" w14:textId="22228700" w:rsidR="00480EFC" w:rsidRPr="00480EFC" w:rsidRDefault="00864AE4" w:rsidP="00480EFC">
      <w:pPr>
        <w:pStyle w:val="Titolo"/>
        <w:jc w:val="center"/>
      </w:pPr>
      <w:bookmarkStart w:id="1" w:name="_heading=h.gjdgxs"/>
      <w:bookmarkEnd w:id="1"/>
      <w:r>
        <w:t>Assessment 1</w:t>
      </w:r>
    </w:p>
    <w:p w14:paraId="10931F1B" w14:textId="2BFD2EB4" w:rsidR="00480EFC" w:rsidRPr="00480EFC" w:rsidRDefault="00480EFC" w:rsidP="00480EFC">
      <w:pPr>
        <w:pStyle w:val="LO-normal"/>
      </w:pPr>
      <w:r>
        <w:t xml:space="preserve">                                            </w:t>
      </w:r>
    </w:p>
    <w:p w14:paraId="56F039C1" w14:textId="7BB4ABDB" w:rsidR="00A959FA" w:rsidRDefault="00864AE4">
      <w:pPr>
        <w:pStyle w:val="Titolo"/>
        <w:jc w:val="center"/>
      </w:pPr>
      <w:r>
        <w:t>Human Resource Management</w:t>
      </w:r>
      <w:r w:rsidR="00480EFC">
        <w:t xml:space="preserve"> LC</w:t>
      </w:r>
      <w:r w:rsidR="004F615E">
        <w:t>MB7000</w:t>
      </w:r>
      <w:r w:rsidR="00A959FA">
        <w:t xml:space="preserve"> </w:t>
      </w:r>
    </w:p>
    <w:p w14:paraId="13D28397" w14:textId="0E0EFC32" w:rsidR="009D28BB" w:rsidRDefault="009D28BB" w:rsidP="009D28BB">
      <w:pPr>
        <w:pStyle w:val="LO-normal"/>
      </w:pPr>
    </w:p>
    <w:p w14:paraId="6FEDB073" w14:textId="0C972504" w:rsidR="009D28BB" w:rsidRDefault="009D28BB" w:rsidP="009D28BB">
      <w:pPr>
        <w:pStyle w:val="LO-normal"/>
      </w:pPr>
    </w:p>
    <w:p w14:paraId="1D73BA09" w14:textId="77777777" w:rsidR="009D28BB" w:rsidRPr="009D28BB" w:rsidRDefault="009D28BB" w:rsidP="009D28BB">
      <w:pPr>
        <w:pStyle w:val="LO-normal"/>
      </w:pPr>
    </w:p>
    <w:p w14:paraId="2A2E6852" w14:textId="77777777" w:rsidR="00A959FA" w:rsidRDefault="00A959FA" w:rsidP="00A959FA">
      <w:pPr>
        <w:pStyle w:val="Titolo"/>
        <w:jc w:val="center"/>
        <w:rPr>
          <w:b/>
          <w:bCs/>
          <w:i/>
          <w:iCs/>
        </w:rPr>
      </w:pPr>
      <w:r w:rsidRPr="00A959FA">
        <w:rPr>
          <w:b/>
          <w:bCs/>
          <w:i/>
          <w:iCs/>
        </w:rPr>
        <w:t>Impact of internal and external HR practices on organization productivity</w:t>
      </w:r>
      <w:r>
        <w:rPr>
          <w:b/>
          <w:bCs/>
          <w:i/>
          <w:iCs/>
        </w:rPr>
        <w:t xml:space="preserve"> </w:t>
      </w:r>
    </w:p>
    <w:p w14:paraId="4EF6135B" w14:textId="292922F2" w:rsidR="00A959FA" w:rsidRPr="00A959FA" w:rsidRDefault="00A959FA" w:rsidP="00A959FA">
      <w:pPr>
        <w:pStyle w:val="Titolo"/>
        <w:jc w:val="center"/>
        <w:rPr>
          <w:b/>
          <w:bCs/>
          <w:i/>
          <w:iCs/>
        </w:rPr>
      </w:pPr>
      <w:r>
        <w:rPr>
          <w:b/>
          <w:bCs/>
          <w:i/>
          <w:iCs/>
        </w:rPr>
        <w:t>Luxottica case of study</w:t>
      </w:r>
    </w:p>
    <w:p w14:paraId="54E9727D" w14:textId="77777777" w:rsidR="00CD2FF8" w:rsidRDefault="00864AE4">
      <w:pPr>
        <w:pStyle w:val="Titolo1"/>
        <w:rPr>
          <w:highlight w:val="white"/>
        </w:rPr>
      </w:pPr>
      <w:r>
        <w:br w:type="column"/>
      </w:r>
    </w:p>
    <w:sdt>
      <w:sdtPr>
        <w:rPr>
          <w:rFonts w:ascii="Arial" w:eastAsia="Arial" w:hAnsi="Arial" w:cs="Arial"/>
          <w:color w:val="auto"/>
          <w:sz w:val="22"/>
          <w:szCs w:val="22"/>
          <w:lang w:eastAsia="zh-CN"/>
        </w:rPr>
        <w:id w:val="1496685656"/>
        <w:docPartObj>
          <w:docPartGallery w:val="Table of Contents"/>
          <w:docPartUnique/>
        </w:docPartObj>
      </w:sdtPr>
      <w:sdtEndPr/>
      <w:sdtContent>
        <w:p w14:paraId="1AD9F61D" w14:textId="77777777" w:rsidR="00CD2FF8" w:rsidRDefault="00864AE4">
          <w:pPr>
            <w:pStyle w:val="Titolosommario"/>
          </w:pPr>
          <w:r>
            <w:t>Table of Contents</w:t>
          </w:r>
        </w:p>
        <w:p w14:paraId="36C372B4" w14:textId="77777777" w:rsidR="00CD2FF8" w:rsidRDefault="00864AE4">
          <w:pPr>
            <w:pStyle w:val="Sommario1"/>
            <w:tabs>
              <w:tab w:val="right" w:leader="dot" w:pos="9360"/>
            </w:tabs>
          </w:pPr>
          <w:r>
            <w:fldChar w:fldCharType="begin"/>
          </w:r>
          <w:r>
            <w:rPr>
              <w:rStyle w:val="IndexLink"/>
            </w:rPr>
            <w:instrText>TOC \f \o "1-9" \h</w:instrText>
          </w:r>
          <w:r>
            <w:rPr>
              <w:rStyle w:val="IndexLink"/>
            </w:rPr>
            <w:fldChar w:fldCharType="separate"/>
          </w:r>
          <w:hyperlink w:anchor="__RefHeading___Toc487_2645521080">
            <w:r>
              <w:rPr>
                <w:rStyle w:val="IndexLink"/>
              </w:rPr>
              <w:tab/>
              <w:t>1</w:t>
            </w:r>
          </w:hyperlink>
        </w:p>
        <w:p w14:paraId="031437C4" w14:textId="77777777" w:rsidR="00CD2FF8" w:rsidRDefault="00864AE4">
          <w:pPr>
            <w:pStyle w:val="Sommario1"/>
            <w:tabs>
              <w:tab w:val="right" w:leader="dot" w:pos="9360"/>
            </w:tabs>
          </w:pPr>
          <w:hyperlink w:anchor="__RefHeading___Toc489_2645521080">
            <w:r>
              <w:rPr>
                <w:rStyle w:val="IndexLink"/>
              </w:rPr>
              <w:t>Introduction</w:t>
            </w:r>
            <w:r>
              <w:rPr>
                <w:rStyle w:val="IndexLink"/>
              </w:rPr>
              <w:tab/>
              <w:t>3</w:t>
            </w:r>
          </w:hyperlink>
        </w:p>
        <w:p w14:paraId="39ABFB8C" w14:textId="77777777" w:rsidR="00CD2FF8" w:rsidRDefault="00864AE4">
          <w:pPr>
            <w:pStyle w:val="Sommario1"/>
            <w:tabs>
              <w:tab w:val="right" w:leader="dot" w:pos="9360"/>
            </w:tabs>
          </w:pPr>
          <w:hyperlink w:anchor="__RefHeading___Toc491_2645521080">
            <w:r>
              <w:rPr>
                <w:rStyle w:val="IndexLink"/>
              </w:rPr>
              <w:t>Brexit and abolition of the integrated European market</w:t>
            </w:r>
            <w:r>
              <w:rPr>
                <w:rStyle w:val="IndexLink"/>
              </w:rPr>
              <w:tab/>
              <w:t>3</w:t>
            </w:r>
          </w:hyperlink>
        </w:p>
        <w:p w14:paraId="15DDFD2F" w14:textId="77777777" w:rsidR="00CD2FF8" w:rsidRDefault="00864AE4">
          <w:pPr>
            <w:pStyle w:val="Sommario1"/>
            <w:tabs>
              <w:tab w:val="right" w:leader="dot" w:pos="9360"/>
            </w:tabs>
          </w:pPr>
          <w:hyperlink w:anchor="__RefHeading___Toc493_2645521080">
            <w:r>
              <w:rPr>
                <w:rStyle w:val="IndexLink"/>
              </w:rPr>
              <w:t>After Brexit and the labour market in the UK that impacted Luxottica Group</w:t>
            </w:r>
            <w:r>
              <w:rPr>
                <w:rStyle w:val="IndexLink"/>
              </w:rPr>
              <w:tab/>
              <w:t>5</w:t>
            </w:r>
          </w:hyperlink>
        </w:p>
        <w:p w14:paraId="0046BDF5" w14:textId="77777777" w:rsidR="00CD2FF8" w:rsidRDefault="00864AE4">
          <w:pPr>
            <w:pStyle w:val="Sommario1"/>
            <w:tabs>
              <w:tab w:val="right" w:leader="dot" w:pos="9360"/>
            </w:tabs>
          </w:pPr>
          <w:hyperlink w:anchor="__RefHeading___Toc495_2645521080">
            <w:r>
              <w:rPr>
                <w:rStyle w:val="IndexLink"/>
              </w:rPr>
              <w:t>Brexit, open trade and labour mobility</w:t>
            </w:r>
            <w:r>
              <w:rPr>
                <w:rStyle w:val="IndexLink"/>
              </w:rPr>
              <w:tab/>
              <w:t>6</w:t>
            </w:r>
          </w:hyperlink>
        </w:p>
        <w:p w14:paraId="34F2173A" w14:textId="77777777" w:rsidR="00CD2FF8" w:rsidRDefault="00864AE4">
          <w:pPr>
            <w:pStyle w:val="Sommario1"/>
            <w:tabs>
              <w:tab w:val="right" w:leader="dot" w:pos="9360"/>
            </w:tabs>
          </w:pPr>
          <w:hyperlink w:anchor="__RefHeading___Toc497_2645521080">
            <w:r>
              <w:rPr>
                <w:rStyle w:val="IndexLink"/>
              </w:rPr>
              <w:t>Factors for adopting New forms of Human Resourcing</w:t>
            </w:r>
            <w:r>
              <w:rPr>
                <w:rStyle w:val="IndexLink"/>
              </w:rPr>
              <w:tab/>
              <w:t>7</w:t>
            </w:r>
          </w:hyperlink>
        </w:p>
        <w:p w14:paraId="4671E0E4" w14:textId="77777777" w:rsidR="00CD2FF8" w:rsidRDefault="00864AE4">
          <w:pPr>
            <w:pStyle w:val="Sommario1"/>
            <w:tabs>
              <w:tab w:val="right" w:leader="dot" w:pos="9360"/>
            </w:tabs>
          </w:pPr>
          <w:hyperlink w:anchor="__RefHeading___Toc499_2645521080">
            <w:r>
              <w:rPr>
                <w:rStyle w:val="IndexLink"/>
              </w:rPr>
              <w:t xml:space="preserve">Monitoring </w:t>
            </w:r>
            <w:r>
              <w:rPr>
                <w:rStyle w:val="IndexLink"/>
              </w:rPr>
              <w:t>UK legislation</w:t>
            </w:r>
            <w:r>
              <w:rPr>
                <w:rStyle w:val="IndexLink"/>
              </w:rPr>
              <w:tab/>
              <w:t>8</w:t>
            </w:r>
          </w:hyperlink>
        </w:p>
        <w:p w14:paraId="19CD645F" w14:textId="77777777" w:rsidR="00CD2FF8" w:rsidRDefault="00864AE4">
          <w:pPr>
            <w:pStyle w:val="Sommario1"/>
            <w:tabs>
              <w:tab w:val="right" w:leader="dot" w:pos="9360"/>
            </w:tabs>
          </w:pPr>
          <w:hyperlink w:anchor="__RefHeading___Toc501_2645521080">
            <w:r>
              <w:rPr>
                <w:rStyle w:val="IndexLink"/>
              </w:rPr>
              <w:t>The dilemma of adopting a policy to become efficient</w:t>
            </w:r>
            <w:r>
              <w:rPr>
                <w:rStyle w:val="IndexLink"/>
              </w:rPr>
              <w:tab/>
              <w:t>9</w:t>
            </w:r>
          </w:hyperlink>
        </w:p>
        <w:p w14:paraId="7790464F" w14:textId="77777777" w:rsidR="00CD2FF8" w:rsidRDefault="00864AE4">
          <w:pPr>
            <w:pStyle w:val="Sommario1"/>
            <w:tabs>
              <w:tab w:val="right" w:leader="dot" w:pos="9360"/>
            </w:tabs>
          </w:pPr>
          <w:hyperlink w:anchor="__RefHeading___Toc503_2645521080">
            <w:r>
              <w:rPr>
                <w:rStyle w:val="IndexLink"/>
              </w:rPr>
              <w:t>Framework for hiring and training</w:t>
            </w:r>
            <w:r>
              <w:rPr>
                <w:rStyle w:val="IndexLink"/>
              </w:rPr>
              <w:tab/>
              <w:t>9</w:t>
            </w:r>
          </w:hyperlink>
        </w:p>
        <w:p w14:paraId="74E62E92" w14:textId="77777777" w:rsidR="00CD2FF8" w:rsidRDefault="00864AE4">
          <w:pPr>
            <w:pStyle w:val="Sommario1"/>
            <w:tabs>
              <w:tab w:val="right" w:leader="dot" w:pos="9360"/>
            </w:tabs>
          </w:pPr>
          <w:hyperlink w:anchor="__RefHeading___Toc505_2645521080">
            <w:r>
              <w:rPr>
                <w:rStyle w:val="IndexLink"/>
              </w:rPr>
              <w:t xml:space="preserve"> Conclusion</w:t>
            </w:r>
            <w:r>
              <w:rPr>
                <w:rStyle w:val="IndexLink"/>
              </w:rPr>
              <w:tab/>
              <w:t>10</w:t>
            </w:r>
          </w:hyperlink>
        </w:p>
        <w:p w14:paraId="3D958A34" w14:textId="77777777" w:rsidR="00CD2FF8" w:rsidRDefault="00864AE4">
          <w:pPr>
            <w:pStyle w:val="Sommario1"/>
            <w:tabs>
              <w:tab w:val="right" w:leader="dot" w:pos="9360"/>
            </w:tabs>
          </w:pPr>
          <w:hyperlink w:anchor="__RefHeading___Toc507_2645521080">
            <w:r>
              <w:rPr>
                <w:rStyle w:val="IndexLink"/>
              </w:rPr>
              <w:t>References</w:t>
            </w:r>
            <w:r>
              <w:rPr>
                <w:rStyle w:val="IndexLink"/>
              </w:rPr>
              <w:tab/>
              <w:t>12</w:t>
            </w:r>
          </w:hyperlink>
          <w:r>
            <w:rPr>
              <w:rStyle w:val="IndexLink"/>
            </w:rPr>
            <w:fldChar w:fldCharType="end"/>
          </w:r>
        </w:p>
      </w:sdtContent>
    </w:sdt>
    <w:p w14:paraId="2CE3CDC6" w14:textId="77777777" w:rsidR="00CD2FF8" w:rsidRDefault="00CD2FF8">
      <w:pPr>
        <w:pStyle w:val="Titolo1"/>
        <w:rPr>
          <w:rFonts w:eastAsia="Times New Roman" w:cs="Times New Roman"/>
          <w:sz w:val="24"/>
          <w:szCs w:val="24"/>
        </w:rPr>
      </w:pPr>
    </w:p>
    <w:p w14:paraId="3A59F973" w14:textId="77777777" w:rsidR="00CD2FF8" w:rsidRDefault="00CD2FF8">
      <w:pPr>
        <w:pStyle w:val="LO-normal"/>
      </w:pPr>
    </w:p>
    <w:p w14:paraId="28C3866C" w14:textId="77777777" w:rsidR="00CD2FF8" w:rsidRDefault="00CD2FF8">
      <w:pPr>
        <w:pStyle w:val="LO-normal"/>
      </w:pPr>
    </w:p>
    <w:p w14:paraId="7008A84F" w14:textId="77777777" w:rsidR="00CD2FF8" w:rsidRDefault="00864AE4">
      <w:pPr>
        <w:pStyle w:val="Titolo1"/>
        <w:jc w:val="left"/>
      </w:pPr>
      <w:r>
        <w:br w:type="column"/>
      </w:r>
      <w:bookmarkStart w:id="2" w:name="__RefHeading___Toc489_2645521080"/>
      <w:bookmarkStart w:id="3" w:name="_heading=h.30j0zll"/>
      <w:bookmarkEnd w:id="2"/>
      <w:bookmarkEnd w:id="3"/>
      <w:r>
        <w:lastRenderedPageBreak/>
        <w:t xml:space="preserve">Introduction </w:t>
      </w:r>
    </w:p>
    <w:p w14:paraId="172DDF0E"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The winds of change were visible in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when in 2019 Brexit had captured the attention of everyone. Firms in the United Kingdom were deeply engaged in </w:t>
      </w:r>
      <w:proofErr w:type="spellStart"/>
      <w:r>
        <w:rPr>
          <w:rFonts w:ascii="Times New Roman" w:eastAsia="Times New Roman" w:hAnsi="Times New Roman" w:cs="Times New Roman"/>
          <w:color w:val="0E101A"/>
          <w:sz w:val="24"/>
          <w:szCs w:val="24"/>
          <w:highlight w:val="white"/>
        </w:rPr>
        <w:t>remodelling</w:t>
      </w:r>
      <w:proofErr w:type="spellEnd"/>
      <w:r>
        <w:rPr>
          <w:rFonts w:ascii="Times New Roman" w:eastAsia="Times New Roman" w:hAnsi="Times New Roman" w:cs="Times New Roman"/>
          <w:color w:val="0E101A"/>
          <w:sz w:val="24"/>
          <w:szCs w:val="24"/>
          <w:highlight w:val="white"/>
        </w:rPr>
        <w:t xml:space="preserve"> their contingency plans following the passing of Brexit, then came the disrupti</w:t>
      </w:r>
      <w:r>
        <w:rPr>
          <w:rFonts w:ascii="Times New Roman" w:eastAsia="Times New Roman" w:hAnsi="Times New Roman" w:cs="Times New Roman"/>
          <w:color w:val="0E101A"/>
          <w:sz w:val="24"/>
          <w:szCs w:val="24"/>
          <w:highlight w:val="white"/>
        </w:rPr>
        <w:t xml:space="preserve">ons wrought by the novel coronavirus which impacted all the sectors and created a daunting task for </w:t>
      </w:r>
      <w:proofErr w:type="spellStart"/>
      <w:r>
        <w:rPr>
          <w:rFonts w:ascii="Times New Roman" w:eastAsia="Times New Roman" w:hAnsi="Times New Roman" w:cs="Times New Roman"/>
          <w:color w:val="0E101A"/>
          <w:sz w:val="24"/>
          <w:szCs w:val="24"/>
          <w:highlight w:val="white"/>
        </w:rPr>
        <w:t>remodelling</w:t>
      </w:r>
      <w:proofErr w:type="spellEnd"/>
      <w:r>
        <w:rPr>
          <w:rFonts w:ascii="Times New Roman" w:eastAsia="Times New Roman" w:hAnsi="Times New Roman" w:cs="Times New Roman"/>
          <w:color w:val="0E101A"/>
          <w:sz w:val="24"/>
          <w:szCs w:val="24"/>
          <w:highlight w:val="white"/>
        </w:rPr>
        <w:t xml:space="preserve">. The Brexit and the disruption by COVID 19 created a </w:t>
      </w:r>
      <w:proofErr w:type="spellStart"/>
      <w:r>
        <w:rPr>
          <w:rFonts w:ascii="Times New Roman" w:eastAsia="Times New Roman" w:hAnsi="Times New Roman" w:cs="Times New Roman"/>
          <w:color w:val="0E101A"/>
          <w:sz w:val="24"/>
          <w:szCs w:val="24"/>
          <w:highlight w:val="white"/>
        </w:rPr>
        <w:t>favourable</w:t>
      </w:r>
      <w:proofErr w:type="spellEnd"/>
      <w:r>
        <w:rPr>
          <w:rFonts w:ascii="Times New Roman" w:eastAsia="Times New Roman" w:hAnsi="Times New Roman" w:cs="Times New Roman"/>
          <w:color w:val="0E101A"/>
          <w:sz w:val="24"/>
          <w:szCs w:val="24"/>
          <w:highlight w:val="white"/>
        </w:rPr>
        <w:t xml:space="preserve"> situation for change in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because the end of the Brexit transiti</w:t>
      </w:r>
      <w:r>
        <w:rPr>
          <w:rFonts w:ascii="Times New Roman" w:eastAsia="Times New Roman" w:hAnsi="Times New Roman" w:cs="Times New Roman"/>
          <w:color w:val="0E101A"/>
          <w:sz w:val="24"/>
          <w:szCs w:val="24"/>
          <w:highlight w:val="white"/>
        </w:rPr>
        <w:t xml:space="preserve">on meant that the UK business had to muster themselves to find footing in a new voyage of international trade. This led to a fundamental change in small and large British firms to become competitive at home and in the international market. Then when COVID </w:t>
      </w:r>
      <w:r>
        <w:rPr>
          <w:rFonts w:ascii="Times New Roman" w:eastAsia="Times New Roman" w:hAnsi="Times New Roman" w:cs="Times New Roman"/>
          <w:color w:val="0E101A"/>
          <w:sz w:val="24"/>
          <w:szCs w:val="24"/>
          <w:highlight w:val="white"/>
        </w:rPr>
        <w:t xml:space="preserve">19 engulfed the whole of the UK, the economy the UK found itself grappling with the hesitancy to repent the economy during the lockdown. These challenges were unprecedented and put insurmountable pressure on the turbulent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to adopt the new pra</w:t>
      </w:r>
      <w:r>
        <w:rPr>
          <w:rFonts w:ascii="Times New Roman" w:eastAsia="Times New Roman" w:hAnsi="Times New Roman" w:cs="Times New Roman"/>
          <w:color w:val="0E101A"/>
          <w:sz w:val="24"/>
          <w:szCs w:val="24"/>
          <w:highlight w:val="white"/>
        </w:rPr>
        <w:t xml:space="preserve">ctice and adopt new working conditions. When there was a change in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conditions, the demand for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also changed or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available also changed such as skilled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and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with insufficient knowledge or experience. This condition</w:t>
      </w:r>
      <w:r>
        <w:rPr>
          <w:rFonts w:ascii="Times New Roman" w:eastAsia="Times New Roman" w:hAnsi="Times New Roman" w:cs="Times New Roman"/>
          <w:color w:val="0E101A"/>
          <w:sz w:val="24"/>
          <w:szCs w:val="24"/>
          <w:highlight w:val="white"/>
        </w:rPr>
        <w:t xml:space="preserve"> demanded to closely inspect the Human Resource available in the market for Luxottica groups, who are best known for the quality eyewear glasses worldwide. Luxottica saw the need to improvise the plight which was a consequence of Brexit, which led them to </w:t>
      </w:r>
      <w:r>
        <w:rPr>
          <w:rFonts w:ascii="Times New Roman" w:eastAsia="Times New Roman" w:hAnsi="Times New Roman" w:cs="Times New Roman"/>
          <w:color w:val="0E101A"/>
          <w:sz w:val="24"/>
          <w:szCs w:val="24"/>
          <w:highlight w:val="white"/>
        </w:rPr>
        <w:t xml:space="preserve">mend their Human Resourcing strategy.  </w:t>
      </w:r>
    </w:p>
    <w:p w14:paraId="55D2D568" w14:textId="77777777" w:rsidR="00CD2FF8" w:rsidRDefault="00864AE4">
      <w:pPr>
        <w:pStyle w:val="Titolo1"/>
        <w:jc w:val="left"/>
      </w:pPr>
      <w:bookmarkStart w:id="4" w:name="__RefHeading___Toc491_2645521080"/>
      <w:bookmarkStart w:id="5" w:name="_heading=h.1fob9te"/>
      <w:bookmarkEnd w:id="4"/>
      <w:bookmarkEnd w:id="5"/>
      <w:r>
        <w:t>Brexit and abolition of the integrated European market</w:t>
      </w:r>
    </w:p>
    <w:p w14:paraId="1451CEE6"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noProof/>
        </w:rPr>
        <w:drawing>
          <wp:inline distT="0" distB="0" distL="0" distR="0" wp14:anchorId="4A008392" wp14:editId="10C45B79">
            <wp:extent cx="4452620" cy="1964690"/>
            <wp:effectExtent l="0" t="0" r="0"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noChangeArrowheads="1"/>
                    </pic:cNvPicPr>
                  </pic:nvPicPr>
                  <pic:blipFill>
                    <a:blip r:embed="rId7"/>
                    <a:stretch>
                      <a:fillRect/>
                    </a:stretch>
                  </pic:blipFill>
                  <pic:spPr bwMode="auto">
                    <a:xfrm>
                      <a:off x="0" y="0"/>
                      <a:ext cx="4452620" cy="1964690"/>
                    </a:xfrm>
                    <a:prstGeom prst="rect">
                      <a:avLst/>
                    </a:prstGeom>
                  </pic:spPr>
                </pic:pic>
              </a:graphicData>
            </a:graphic>
          </wp:inline>
        </w:drawing>
      </w:r>
    </w:p>
    <w:p w14:paraId="217B1869"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Fig: European federation during Brexit</w:t>
      </w:r>
    </w:p>
    <w:p w14:paraId="0A64393B"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Citation: </w:t>
      </w:r>
      <w:proofErr w:type="spellStart"/>
      <w:r>
        <w:rPr>
          <w:rFonts w:ascii="Times New Roman" w:eastAsia="Times New Roman" w:hAnsi="Times New Roman" w:cs="Times New Roman"/>
          <w:color w:val="0E101A"/>
          <w:sz w:val="24"/>
          <w:szCs w:val="24"/>
          <w:highlight w:val="white"/>
        </w:rPr>
        <w:t>Javorcik</w:t>
      </w:r>
      <w:proofErr w:type="spellEnd"/>
      <w:r>
        <w:rPr>
          <w:rFonts w:ascii="Times New Roman" w:eastAsia="Times New Roman" w:hAnsi="Times New Roman" w:cs="Times New Roman"/>
          <w:i/>
          <w:color w:val="0E101A"/>
          <w:sz w:val="24"/>
          <w:szCs w:val="24"/>
          <w:highlight w:val="white"/>
        </w:rPr>
        <w:t xml:space="preserve"> et al., </w:t>
      </w:r>
      <w:r>
        <w:rPr>
          <w:rFonts w:ascii="Times New Roman" w:eastAsia="Times New Roman" w:hAnsi="Times New Roman" w:cs="Times New Roman"/>
          <w:color w:val="0E101A"/>
          <w:sz w:val="24"/>
          <w:szCs w:val="24"/>
          <w:highlight w:val="white"/>
        </w:rPr>
        <w:t>2020</w:t>
      </w:r>
    </w:p>
    <w:p w14:paraId="41F4520B"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The integration of the European Union is the most integrated market in the world. The cl</w:t>
      </w:r>
      <w:r>
        <w:rPr>
          <w:rFonts w:ascii="Times New Roman" w:eastAsia="Times New Roman" w:hAnsi="Times New Roman" w:cs="Times New Roman"/>
          <w:color w:val="0E101A"/>
          <w:sz w:val="24"/>
          <w:szCs w:val="24"/>
          <w:highlight w:val="white"/>
        </w:rPr>
        <w:t xml:space="preserve">ause under </w:t>
      </w:r>
      <w:r>
        <w:rPr>
          <w:rFonts w:ascii="Times New Roman" w:eastAsia="Times New Roman" w:hAnsi="Times New Roman" w:cs="Times New Roman"/>
          <w:color w:val="0E101A"/>
          <w:sz w:val="24"/>
          <w:szCs w:val="24"/>
          <w:highlight w:val="white"/>
        </w:rPr>
        <w:lastRenderedPageBreak/>
        <w:t>the Single Market law allowed any business firm authorized by one of the Member states to operate in any of the members of the EU without facing any barriers by the system known as “</w:t>
      </w:r>
      <w:proofErr w:type="spellStart"/>
      <w:r>
        <w:rPr>
          <w:rFonts w:ascii="Times New Roman" w:eastAsia="Times New Roman" w:hAnsi="Times New Roman" w:cs="Times New Roman"/>
          <w:color w:val="0E101A"/>
          <w:sz w:val="24"/>
          <w:szCs w:val="24"/>
          <w:highlight w:val="white"/>
        </w:rPr>
        <w:t>passportorting</w:t>
      </w:r>
      <w:proofErr w:type="spellEnd"/>
      <w:r>
        <w:rPr>
          <w:rFonts w:ascii="Times New Roman" w:eastAsia="Times New Roman" w:hAnsi="Times New Roman" w:cs="Times New Roman"/>
          <w:color w:val="0E101A"/>
          <w:sz w:val="24"/>
          <w:szCs w:val="24"/>
          <w:highlight w:val="white"/>
        </w:rPr>
        <w:t xml:space="preserve">”. </w:t>
      </w:r>
      <w:proofErr w:type="gramStart"/>
      <w:r>
        <w:rPr>
          <w:rFonts w:ascii="Times New Roman" w:eastAsia="Times New Roman" w:hAnsi="Times New Roman" w:cs="Times New Roman"/>
          <w:color w:val="0E101A"/>
          <w:sz w:val="24"/>
          <w:szCs w:val="24"/>
          <w:highlight w:val="white"/>
        </w:rPr>
        <w:t>So</w:t>
      </w:r>
      <w:proofErr w:type="gramEnd"/>
      <w:r>
        <w:rPr>
          <w:rFonts w:ascii="Times New Roman" w:eastAsia="Times New Roman" w:hAnsi="Times New Roman" w:cs="Times New Roman"/>
          <w:color w:val="0E101A"/>
          <w:sz w:val="24"/>
          <w:szCs w:val="24"/>
          <w:highlight w:val="white"/>
        </w:rPr>
        <w:t xml:space="preserve"> the Brexit of the UK means that the UK lost</w:t>
      </w:r>
      <w:r>
        <w:rPr>
          <w:rFonts w:ascii="Times New Roman" w:eastAsia="Times New Roman" w:hAnsi="Times New Roman" w:cs="Times New Roman"/>
          <w:color w:val="0E101A"/>
          <w:sz w:val="24"/>
          <w:szCs w:val="24"/>
          <w:highlight w:val="white"/>
        </w:rPr>
        <w:t xml:space="preserve"> its “passport”. The United Kingdom Government’s White Paper, which was published on 12th July 2018 removed all the mutual recognition but it offered an option of “equivalence”. Equivalence will allow EU and UK business firms to carry out certain activitie</w:t>
      </w:r>
      <w:r>
        <w:rPr>
          <w:rFonts w:ascii="Times New Roman" w:eastAsia="Times New Roman" w:hAnsi="Times New Roman" w:cs="Times New Roman"/>
          <w:color w:val="0E101A"/>
          <w:sz w:val="24"/>
          <w:szCs w:val="24"/>
          <w:highlight w:val="white"/>
        </w:rPr>
        <w:t xml:space="preserve">s across borders which will underpin the activities that were deemed to gain comparable outcomes. This has led to the restrictions on the free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movement in the UK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it also impacted foreign investment and trade flow in the UK's economy. </w:t>
      </w:r>
      <w:r>
        <w:rPr>
          <w:rFonts w:ascii="Times New Roman" w:eastAsia="Times New Roman" w:hAnsi="Times New Roman" w:cs="Times New Roman"/>
          <w:color w:val="0E101A"/>
          <w:sz w:val="24"/>
          <w:szCs w:val="24"/>
          <w:highlight w:val="white"/>
        </w:rPr>
        <w:t>There was also a freeze in hiring and online jobs advertisement fell to 1.5 million which was the result of a fall in business confidence. If Equivalence is revoked by any of the parties, the UK will be a third world country in the eyes of the EU (</w:t>
      </w:r>
      <w:proofErr w:type="spellStart"/>
      <w:r>
        <w:rPr>
          <w:rFonts w:ascii="Times New Roman" w:eastAsia="Times New Roman" w:hAnsi="Times New Roman" w:cs="Times New Roman"/>
          <w:color w:val="0E101A"/>
          <w:sz w:val="24"/>
          <w:szCs w:val="24"/>
          <w:highlight w:val="white"/>
        </w:rPr>
        <w:t>Javorcik</w:t>
      </w:r>
      <w:proofErr w:type="spellEnd"/>
      <w:r>
        <w:rPr>
          <w:rFonts w:ascii="Times New Roman" w:eastAsia="Times New Roman" w:hAnsi="Times New Roman" w:cs="Times New Roman"/>
          <w:color w:val="0E101A"/>
          <w:sz w:val="24"/>
          <w:szCs w:val="24"/>
          <w:highlight w:val="white"/>
        </w:rPr>
        <w:t xml:space="preserve"> </w:t>
      </w:r>
      <w:r>
        <w:rPr>
          <w:rFonts w:ascii="Times New Roman" w:eastAsia="Times New Roman" w:hAnsi="Times New Roman" w:cs="Times New Roman"/>
          <w:i/>
          <w:color w:val="0E101A"/>
          <w:sz w:val="24"/>
          <w:szCs w:val="24"/>
          <w:highlight w:val="white"/>
        </w:rPr>
        <w:t>et al.,</w:t>
      </w:r>
      <w:r>
        <w:rPr>
          <w:rFonts w:ascii="Times New Roman" w:eastAsia="Times New Roman" w:hAnsi="Times New Roman" w:cs="Times New Roman"/>
          <w:color w:val="0E101A"/>
          <w:sz w:val="24"/>
          <w:szCs w:val="24"/>
          <w:highlight w:val="white"/>
        </w:rPr>
        <w:t xml:space="preserve"> 2020).</w:t>
      </w:r>
    </w:p>
    <w:p w14:paraId="54FC4005"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bookmarkStart w:id="6" w:name="_heading=h.3znysh7"/>
      <w:bookmarkEnd w:id="6"/>
      <w:r>
        <w:rPr>
          <w:rFonts w:ascii="Times New Roman" w:eastAsia="Times New Roman" w:hAnsi="Times New Roman" w:cs="Times New Roman"/>
          <w:color w:val="0E101A"/>
          <w:sz w:val="24"/>
          <w:szCs w:val="24"/>
          <w:highlight w:val="white"/>
        </w:rPr>
        <w:t xml:space="preserve">In the past two decades, there was an increase in the share of European Union nationals up to 6.3% who were more educated and liked to work more than natives of the </w:t>
      </w:r>
      <w:proofErr w:type="spellStart"/>
      <w:r>
        <w:rPr>
          <w:rFonts w:ascii="Times New Roman" w:eastAsia="Times New Roman" w:hAnsi="Times New Roman" w:cs="Times New Roman"/>
          <w:color w:val="0E101A"/>
          <w:sz w:val="24"/>
          <w:szCs w:val="24"/>
          <w:highlight w:val="white"/>
        </w:rPr>
        <w:t>Uk</w:t>
      </w:r>
      <w:proofErr w:type="spellEnd"/>
      <w:r>
        <w:rPr>
          <w:rFonts w:ascii="Times New Roman" w:eastAsia="Times New Roman" w:hAnsi="Times New Roman" w:cs="Times New Roman"/>
          <w:color w:val="0E101A"/>
          <w:sz w:val="24"/>
          <w:szCs w:val="24"/>
          <w:highlight w:val="white"/>
        </w:rPr>
        <w:t xml:space="preserve">. This indicated that the immigrant had a positive impact on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w:t>
      </w:r>
      <w:r>
        <w:rPr>
          <w:rFonts w:ascii="Times New Roman" w:eastAsia="Times New Roman" w:hAnsi="Times New Roman" w:cs="Times New Roman"/>
          <w:color w:val="0E101A"/>
          <w:sz w:val="24"/>
          <w:szCs w:val="24"/>
          <w:highlight w:val="white"/>
        </w:rPr>
        <w:t xml:space="preserve">arket and the economy as one research shows that EU nationals tend to pay more taxes. And According to the UK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Force Survey, EU nationals with low technical skills tend to cluster in low technical manufacturing who work in the industry and manufactur</w:t>
      </w:r>
      <w:r>
        <w:rPr>
          <w:rFonts w:ascii="Times New Roman" w:eastAsia="Times New Roman" w:hAnsi="Times New Roman" w:cs="Times New Roman"/>
          <w:color w:val="0E101A"/>
          <w:sz w:val="24"/>
          <w:szCs w:val="24"/>
          <w:highlight w:val="white"/>
        </w:rPr>
        <w:t>ing sector. After Brexit, there was a huge gap that opened up in low technical skills jobs in the UK which was detrimental for the Luxottica Group and severely impacted the Luxottica Group in the UK and Europe (</w:t>
      </w:r>
      <w:proofErr w:type="spellStart"/>
      <w:r>
        <w:rPr>
          <w:rFonts w:ascii="Times New Roman" w:eastAsia="Times New Roman" w:hAnsi="Times New Roman" w:cs="Times New Roman"/>
          <w:color w:val="0E101A"/>
          <w:sz w:val="24"/>
          <w:szCs w:val="24"/>
          <w:highlight w:val="white"/>
        </w:rPr>
        <w:t>Javorcik</w:t>
      </w:r>
      <w:proofErr w:type="spellEnd"/>
      <w:r>
        <w:rPr>
          <w:rFonts w:ascii="Times New Roman" w:eastAsia="Times New Roman" w:hAnsi="Times New Roman" w:cs="Times New Roman"/>
          <w:i/>
          <w:color w:val="0E101A"/>
          <w:sz w:val="24"/>
          <w:szCs w:val="24"/>
          <w:highlight w:val="white"/>
        </w:rPr>
        <w:t xml:space="preserve"> et al., </w:t>
      </w:r>
      <w:r>
        <w:rPr>
          <w:rFonts w:ascii="Times New Roman" w:eastAsia="Times New Roman" w:hAnsi="Times New Roman" w:cs="Times New Roman"/>
          <w:color w:val="0E101A"/>
          <w:sz w:val="24"/>
          <w:szCs w:val="24"/>
          <w:highlight w:val="white"/>
        </w:rPr>
        <w:t>2020).</w:t>
      </w:r>
    </w:p>
    <w:p w14:paraId="6C30D95A" w14:textId="77777777" w:rsidR="00CD2FF8" w:rsidRDefault="00864AE4">
      <w:pPr>
        <w:pStyle w:val="Titolo1"/>
        <w:jc w:val="left"/>
      </w:pPr>
      <w:bookmarkStart w:id="7" w:name="__RefHeading___Toc493_2645521080"/>
      <w:bookmarkStart w:id="8" w:name="_heading=h.2et92p0"/>
      <w:bookmarkEnd w:id="7"/>
      <w:bookmarkEnd w:id="8"/>
      <w:r>
        <w:lastRenderedPageBreak/>
        <w:t xml:space="preserve">After Brexit and the </w:t>
      </w:r>
      <w:proofErr w:type="spellStart"/>
      <w:r>
        <w:t>labour</w:t>
      </w:r>
      <w:proofErr w:type="spellEnd"/>
      <w:r>
        <w:t xml:space="preserve"> market in the UK that impacted Luxottica Group</w:t>
      </w:r>
    </w:p>
    <w:p w14:paraId="290F5439"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noProof/>
        </w:rPr>
        <w:drawing>
          <wp:inline distT="0" distB="0" distL="0" distR="0" wp14:anchorId="57F5E5DB" wp14:editId="0F7FE58B">
            <wp:extent cx="5393690" cy="2912745"/>
            <wp:effectExtent l="0" t="0" r="0" b="0"/>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a:picLocks noChangeAspect="1" noChangeArrowheads="1"/>
                    </pic:cNvPicPr>
                  </pic:nvPicPr>
                  <pic:blipFill>
                    <a:blip r:embed="rId8"/>
                    <a:stretch>
                      <a:fillRect/>
                    </a:stretch>
                  </pic:blipFill>
                  <pic:spPr bwMode="auto">
                    <a:xfrm>
                      <a:off x="0" y="0"/>
                      <a:ext cx="5393690" cy="2912745"/>
                    </a:xfrm>
                    <a:prstGeom prst="rect">
                      <a:avLst/>
                    </a:prstGeom>
                  </pic:spPr>
                </pic:pic>
              </a:graphicData>
            </a:graphic>
          </wp:inline>
        </w:drawing>
      </w:r>
    </w:p>
    <w:p w14:paraId="4C1ED25E"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Fig: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and Brexit</w:t>
      </w:r>
    </w:p>
    <w:p w14:paraId="55793AD0"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proofErr w:type="spellStart"/>
      <w:proofErr w:type="gramStart"/>
      <w:r>
        <w:rPr>
          <w:rFonts w:ascii="Times New Roman" w:eastAsia="Times New Roman" w:hAnsi="Times New Roman" w:cs="Times New Roman"/>
          <w:color w:val="0E101A"/>
          <w:sz w:val="24"/>
          <w:szCs w:val="24"/>
          <w:highlight w:val="white"/>
        </w:rPr>
        <w:t>Citation:Wadsworth</w:t>
      </w:r>
      <w:proofErr w:type="spellEnd"/>
      <w:proofErr w:type="gramEnd"/>
      <w:r>
        <w:rPr>
          <w:rFonts w:ascii="Times New Roman" w:eastAsia="Times New Roman" w:hAnsi="Times New Roman" w:cs="Times New Roman"/>
          <w:color w:val="0E101A"/>
          <w:sz w:val="24"/>
          <w:szCs w:val="24"/>
          <w:highlight w:val="white"/>
        </w:rPr>
        <w:t xml:space="preserve"> 2018</w:t>
      </w:r>
    </w:p>
    <w:p w14:paraId="26D20F29"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The number of EU nationals has dropped after Brexit. Some theories suggest that it has a positive aspect as there will be the employment of native</w:t>
      </w:r>
      <w:r>
        <w:rPr>
          <w:rFonts w:ascii="Times New Roman" w:eastAsia="Times New Roman" w:hAnsi="Times New Roman" w:cs="Times New Roman"/>
          <w:color w:val="0E101A"/>
          <w:sz w:val="24"/>
          <w:szCs w:val="24"/>
          <w:highlight w:val="white"/>
        </w:rPr>
        <w:t xml:space="preserve"> population and overall effect on wages of native. But there is a theory that cautions by claiming that it can have a diverse effect on the quality of native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After Brexit, the deficiency of EU nationals has led to the development of a particular ty</w:t>
      </w:r>
      <w:r>
        <w:rPr>
          <w:rFonts w:ascii="Times New Roman" w:eastAsia="Times New Roman" w:hAnsi="Times New Roman" w:cs="Times New Roman"/>
          <w:color w:val="0E101A"/>
          <w:sz w:val="24"/>
          <w:szCs w:val="24"/>
          <w:highlight w:val="white"/>
        </w:rPr>
        <w:t xml:space="preserve">pe of market where skilled native conditions are worsening and low skilled native conditioning improving as they are bagging good money. This situation, where foreign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is not available for hiring and has led to the situation where natives with low sk</w:t>
      </w:r>
      <w:r>
        <w:rPr>
          <w:rFonts w:ascii="Times New Roman" w:eastAsia="Times New Roman" w:hAnsi="Times New Roman" w:cs="Times New Roman"/>
          <w:color w:val="0E101A"/>
          <w:sz w:val="24"/>
          <w:szCs w:val="24"/>
          <w:highlight w:val="white"/>
        </w:rPr>
        <w:t xml:space="preserve">ills are hired. Since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is not sufficient Luxottica Groups are financially burdened by paying the wages without the quality of the product being produced in the UK (Wadsworth 2018). </w:t>
      </w:r>
    </w:p>
    <w:p w14:paraId="639C6A50"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Adding salt to the injury is the impact of political threat and </w:t>
      </w:r>
      <w:r>
        <w:rPr>
          <w:rFonts w:ascii="Times New Roman" w:eastAsia="Times New Roman" w:hAnsi="Times New Roman" w:cs="Times New Roman"/>
          <w:color w:val="0E101A"/>
          <w:sz w:val="24"/>
          <w:szCs w:val="24"/>
          <w:highlight w:val="white"/>
        </w:rPr>
        <w:t xml:space="preserve">legal economy for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of the Brexit. Until Brexit, the UK was obliged to maintain the legality of the Occupational Safety and Health (OSH) regime which was in tune with the EU OSH Law. From the legal perspective, OSH is the first legal effect</w:t>
      </w:r>
      <w:r>
        <w:rPr>
          <w:rFonts w:ascii="Times New Roman" w:eastAsia="Times New Roman" w:hAnsi="Times New Roman" w:cs="Times New Roman"/>
          <w:color w:val="0E101A"/>
          <w:sz w:val="24"/>
          <w:szCs w:val="24"/>
          <w:highlight w:val="white"/>
        </w:rPr>
        <w:t xml:space="preserve"> of the separation. The law will not legitimately be relied upon for the health and safety standards of workers. Luxottica has a wide chain that is spread across Europe and the health and safety standards of the company are based on the OSH regime. Brexit </w:t>
      </w:r>
      <w:r>
        <w:rPr>
          <w:rFonts w:ascii="Times New Roman" w:eastAsia="Times New Roman" w:hAnsi="Times New Roman" w:cs="Times New Roman"/>
          <w:color w:val="0E101A"/>
          <w:sz w:val="24"/>
          <w:szCs w:val="24"/>
          <w:highlight w:val="white"/>
        </w:rPr>
        <w:t xml:space="preserve">has made it difficult for companies to operate on the same line as their other infrastructure which is situated in the UK as they have to frame new policies to regulate the safety and health of the workers. There </w:t>
      </w:r>
      <w:r>
        <w:rPr>
          <w:rFonts w:ascii="Times New Roman" w:eastAsia="Times New Roman" w:hAnsi="Times New Roman" w:cs="Times New Roman"/>
          <w:color w:val="0E101A"/>
          <w:sz w:val="24"/>
          <w:szCs w:val="24"/>
          <w:highlight w:val="white"/>
        </w:rPr>
        <w:lastRenderedPageBreak/>
        <w:t>was a European Union Withdrawal bill that w</w:t>
      </w:r>
      <w:r>
        <w:rPr>
          <w:rFonts w:ascii="Times New Roman" w:eastAsia="Times New Roman" w:hAnsi="Times New Roman" w:cs="Times New Roman"/>
          <w:color w:val="0E101A"/>
          <w:sz w:val="24"/>
          <w:szCs w:val="24"/>
          <w:highlight w:val="white"/>
        </w:rPr>
        <w:t>as passed in the parliament and repealed the UK European Communities Act 1972 (</w:t>
      </w:r>
      <w:proofErr w:type="spellStart"/>
      <w:r>
        <w:rPr>
          <w:rFonts w:ascii="Times New Roman" w:eastAsia="Times New Roman" w:hAnsi="Times New Roman" w:cs="Times New Roman"/>
          <w:color w:val="222222"/>
          <w:sz w:val="24"/>
          <w:szCs w:val="24"/>
          <w:highlight w:val="white"/>
        </w:rPr>
        <w:t>Simionescu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w:t>
      </w:r>
      <w:r>
        <w:rPr>
          <w:rFonts w:ascii="Times New Roman" w:eastAsia="Times New Roman" w:hAnsi="Times New Roman" w:cs="Times New Roman"/>
          <w:color w:val="0E101A"/>
          <w:sz w:val="24"/>
          <w:szCs w:val="24"/>
          <w:highlight w:val="white"/>
        </w:rPr>
        <w:t xml:space="preserve">). The bill was aimed to sever all the legal ties of legislative jurisdiction of the EU and set up various rules post-Brexit, transpose the rules that </w:t>
      </w:r>
      <w:r>
        <w:rPr>
          <w:rFonts w:ascii="Times New Roman" w:eastAsia="Times New Roman" w:hAnsi="Times New Roman" w:cs="Times New Roman"/>
          <w:color w:val="0E101A"/>
          <w:sz w:val="24"/>
          <w:szCs w:val="24"/>
          <w:highlight w:val="white"/>
        </w:rPr>
        <w:t xml:space="preserve">applied to the UK and the most important of them bestow the law-making power to the UK Government. The great political effect on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came due to the bipolar position of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Party in the UK. When this all transpired </w:t>
      </w:r>
      <w:proofErr w:type="spellStart"/>
      <w:r>
        <w:rPr>
          <w:rFonts w:ascii="Times New Roman" w:eastAsia="Times New Roman" w:hAnsi="Times New Roman" w:cs="Times New Roman"/>
          <w:color w:val="0E101A"/>
          <w:sz w:val="24"/>
          <w:szCs w:val="24"/>
          <w:highlight w:val="white"/>
        </w:rPr>
        <w:t>Luxocitta</w:t>
      </w:r>
      <w:proofErr w:type="spellEnd"/>
      <w:r>
        <w:rPr>
          <w:rFonts w:ascii="Times New Roman" w:eastAsia="Times New Roman" w:hAnsi="Times New Roman" w:cs="Times New Roman"/>
          <w:color w:val="0E101A"/>
          <w:sz w:val="24"/>
          <w:szCs w:val="24"/>
          <w:highlight w:val="white"/>
        </w:rPr>
        <w:t xml:space="preserve"> had to ado</w:t>
      </w:r>
      <w:r>
        <w:rPr>
          <w:rFonts w:ascii="Times New Roman" w:eastAsia="Times New Roman" w:hAnsi="Times New Roman" w:cs="Times New Roman"/>
          <w:color w:val="0E101A"/>
          <w:sz w:val="24"/>
          <w:szCs w:val="24"/>
          <w:highlight w:val="white"/>
        </w:rPr>
        <w:t xml:space="preserve">pt different sets of policies for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which added great difficulty to the working of the Luxottica (Wadsworth 2018).</w:t>
      </w:r>
    </w:p>
    <w:p w14:paraId="02A777C7" w14:textId="77777777" w:rsidR="00CD2FF8" w:rsidRDefault="00864AE4">
      <w:pPr>
        <w:pStyle w:val="Titolo1"/>
        <w:jc w:val="left"/>
      </w:pPr>
      <w:bookmarkStart w:id="9" w:name="__RefHeading___Toc495_2645521080"/>
      <w:bookmarkStart w:id="10" w:name="_heading=h.tyjcwt"/>
      <w:bookmarkEnd w:id="9"/>
      <w:bookmarkEnd w:id="10"/>
      <w:r>
        <w:t xml:space="preserve">Brexit, open trade and </w:t>
      </w:r>
      <w:proofErr w:type="spellStart"/>
      <w:r>
        <w:t>labour</w:t>
      </w:r>
      <w:proofErr w:type="spellEnd"/>
      <w:r>
        <w:t xml:space="preserve"> mobility</w:t>
      </w:r>
    </w:p>
    <w:p w14:paraId="6DAAB24E"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noProof/>
        </w:rPr>
        <w:drawing>
          <wp:inline distT="0" distB="0" distL="0" distR="0" wp14:anchorId="3895B6F3" wp14:editId="62985D9E">
            <wp:extent cx="4791075" cy="297878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noChangeArrowheads="1"/>
                    </pic:cNvPicPr>
                  </pic:nvPicPr>
                  <pic:blipFill>
                    <a:blip r:embed="rId9"/>
                    <a:stretch>
                      <a:fillRect/>
                    </a:stretch>
                  </pic:blipFill>
                  <pic:spPr bwMode="auto">
                    <a:xfrm>
                      <a:off x="0" y="0"/>
                      <a:ext cx="4791075" cy="2978785"/>
                    </a:xfrm>
                    <a:prstGeom prst="rect">
                      <a:avLst/>
                    </a:prstGeom>
                  </pic:spPr>
                </pic:pic>
              </a:graphicData>
            </a:graphic>
          </wp:inline>
        </w:drawing>
      </w:r>
    </w:p>
    <w:p w14:paraId="48875033"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Fig: Economic impact of Brexit</w:t>
      </w:r>
    </w:p>
    <w:p w14:paraId="0A1C9AA9"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Citation: </w:t>
      </w:r>
      <w:r>
        <w:rPr>
          <w:rFonts w:ascii="Times New Roman" w:eastAsia="Times New Roman" w:hAnsi="Times New Roman" w:cs="Times New Roman"/>
          <w:color w:val="222222"/>
          <w:sz w:val="24"/>
          <w:szCs w:val="24"/>
          <w:highlight w:val="white"/>
        </w:rPr>
        <w:t xml:space="preserve">Griffith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p>
    <w:p w14:paraId="0665E89D"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Economic theory state</w:t>
      </w:r>
      <w:r>
        <w:rPr>
          <w:rFonts w:ascii="Times New Roman" w:eastAsia="Times New Roman" w:hAnsi="Times New Roman" w:cs="Times New Roman"/>
          <w:color w:val="0E101A"/>
          <w:sz w:val="24"/>
          <w:szCs w:val="24"/>
          <w:highlight w:val="white"/>
        </w:rPr>
        <w:t xml:space="preserve">s that the movement of production factors will allow better allocation of resources at the global level which will lead to an increase in welfare. The same applies to the capital setup also where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mobility is sensitive due to policies that restrict t</w:t>
      </w:r>
      <w:r>
        <w:rPr>
          <w:rFonts w:ascii="Times New Roman" w:eastAsia="Times New Roman" w:hAnsi="Times New Roman" w:cs="Times New Roman"/>
          <w:color w:val="0E101A"/>
          <w:sz w:val="24"/>
          <w:szCs w:val="24"/>
          <w:highlight w:val="white"/>
        </w:rPr>
        <w:t xml:space="preserve">he migration of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Endogenous growth theory gives us the perspective that liberal trade will generate more benefits for the industries which will give a handy competitive edge to the company (</w:t>
      </w:r>
      <w:r>
        <w:rPr>
          <w:rFonts w:ascii="Times New Roman" w:eastAsia="Times New Roman" w:hAnsi="Times New Roman" w:cs="Times New Roman"/>
          <w:color w:val="222222"/>
          <w:sz w:val="24"/>
          <w:szCs w:val="24"/>
          <w:highlight w:val="white"/>
        </w:rPr>
        <w:t xml:space="preserve">Griffith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E101A"/>
          <w:sz w:val="24"/>
          <w:szCs w:val="24"/>
          <w:highlight w:val="white"/>
        </w:rPr>
        <w:t>). This theory also proves that the pa</w:t>
      </w:r>
      <w:r>
        <w:rPr>
          <w:rFonts w:ascii="Times New Roman" w:eastAsia="Times New Roman" w:hAnsi="Times New Roman" w:cs="Times New Roman"/>
          <w:color w:val="0E101A"/>
          <w:sz w:val="24"/>
          <w:szCs w:val="24"/>
          <w:highlight w:val="white"/>
        </w:rPr>
        <w:t xml:space="preserve">ce with which an economy can grow will also attain specialization, henceforth will lead to the reduction of production cost. And noted that the </w:t>
      </w:r>
      <w:r>
        <w:rPr>
          <w:rFonts w:ascii="Times New Roman" w:eastAsia="Times New Roman" w:hAnsi="Times New Roman" w:cs="Times New Roman"/>
          <w:color w:val="0E101A"/>
          <w:sz w:val="24"/>
          <w:szCs w:val="24"/>
          <w:highlight w:val="white"/>
        </w:rPr>
        <w:lastRenderedPageBreak/>
        <w:t>countries with very high levels of open trade facilities will promote a potential to explore technological innov</w:t>
      </w:r>
      <w:r>
        <w:rPr>
          <w:rFonts w:ascii="Times New Roman" w:eastAsia="Times New Roman" w:hAnsi="Times New Roman" w:cs="Times New Roman"/>
          <w:color w:val="0E101A"/>
          <w:sz w:val="24"/>
          <w:szCs w:val="24"/>
          <w:highlight w:val="white"/>
        </w:rPr>
        <w:t xml:space="preserve">ation, which will determine the status of the company. These two theories point toward the shrouded effect of Brexit on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and its relation to the development of the company. The movement of production which is linked with the trade will aff</w:t>
      </w:r>
      <w:r>
        <w:rPr>
          <w:rFonts w:ascii="Times New Roman" w:eastAsia="Times New Roman" w:hAnsi="Times New Roman" w:cs="Times New Roman"/>
          <w:color w:val="0E101A"/>
          <w:sz w:val="24"/>
          <w:szCs w:val="24"/>
          <w:highlight w:val="white"/>
        </w:rPr>
        <w:t xml:space="preserve">ect the mobility of products along with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The twin factors of restriction of mobility of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and production have already taken their toll on Luxottica which is being impacted due to the restrictions imposed on imports (</w:t>
      </w:r>
      <w:r>
        <w:rPr>
          <w:rFonts w:ascii="Times New Roman" w:eastAsia="Times New Roman" w:hAnsi="Times New Roman" w:cs="Times New Roman"/>
          <w:color w:val="222222"/>
          <w:sz w:val="24"/>
          <w:szCs w:val="24"/>
          <w:highlight w:val="white"/>
        </w:rPr>
        <w:t>Griffith e</w:t>
      </w:r>
      <w:r>
        <w:rPr>
          <w:rFonts w:ascii="Times New Roman" w:eastAsia="Times New Roman" w:hAnsi="Times New Roman" w:cs="Times New Roman"/>
          <w:i/>
          <w:color w:val="222222"/>
          <w:sz w:val="24"/>
          <w:szCs w:val="24"/>
          <w:highlight w:val="white"/>
        </w:rPr>
        <w:t>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E101A"/>
          <w:sz w:val="24"/>
          <w:szCs w:val="24"/>
          <w:highlight w:val="white"/>
        </w:rPr>
        <w:t xml:space="preserve">). The </w:t>
      </w:r>
      <w:r>
        <w:rPr>
          <w:rFonts w:ascii="Times New Roman" w:eastAsia="Times New Roman" w:hAnsi="Times New Roman" w:cs="Times New Roman"/>
          <w:color w:val="0E101A"/>
          <w:sz w:val="24"/>
          <w:szCs w:val="24"/>
          <w:highlight w:val="white"/>
        </w:rPr>
        <w:t xml:space="preserve">new law restrictions on imports have saturated Luxottica based in the UK as and there is a lack of innovation to rise to the daunting task. The other factor of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has been burdening them with the lack of specialization available in the UK market while </w:t>
      </w:r>
      <w:r>
        <w:rPr>
          <w:rFonts w:ascii="Times New Roman" w:eastAsia="Times New Roman" w:hAnsi="Times New Roman" w:cs="Times New Roman"/>
          <w:color w:val="0E101A"/>
          <w:sz w:val="24"/>
          <w:szCs w:val="24"/>
          <w:highlight w:val="white"/>
        </w:rPr>
        <w:t>looking for a human resource which has led them to adopt, test and modify the human resourcing strategies due to the change in the trend of Human Resource.</w:t>
      </w:r>
    </w:p>
    <w:p w14:paraId="0E9990C0" w14:textId="77777777" w:rsidR="00CD2FF8" w:rsidRDefault="00864AE4">
      <w:pPr>
        <w:pStyle w:val="Titolo1"/>
        <w:jc w:val="left"/>
      </w:pPr>
      <w:bookmarkStart w:id="11" w:name="__RefHeading___Toc497_2645521080"/>
      <w:bookmarkStart w:id="12" w:name="_heading=h.3dy6vkm"/>
      <w:bookmarkEnd w:id="11"/>
      <w:bookmarkEnd w:id="12"/>
      <w:r>
        <w:t xml:space="preserve">Factors for adopting </w:t>
      </w:r>
      <w:proofErr w:type="gramStart"/>
      <w:r>
        <w:t>New</w:t>
      </w:r>
      <w:proofErr w:type="gramEnd"/>
      <w:r>
        <w:t xml:space="preserve"> forms of Human Resourcing</w:t>
      </w:r>
    </w:p>
    <w:p w14:paraId="3452D4B1"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For the Luxottica Human Resourcing team, there wa</w:t>
      </w:r>
      <w:r>
        <w:rPr>
          <w:rFonts w:ascii="Times New Roman" w:eastAsia="Times New Roman" w:hAnsi="Times New Roman" w:cs="Times New Roman"/>
          <w:color w:val="0E101A"/>
          <w:sz w:val="24"/>
          <w:szCs w:val="24"/>
          <w:highlight w:val="white"/>
        </w:rPr>
        <w:t>s a daunting task to come up with new strategies to tackle the problems presented by Brexit. But they were able to rise to the occasion. The official Brexit of the UK from the European Union on 31st January 2020, but the ground for Brexit was prepared in 2</w:t>
      </w:r>
      <w:r>
        <w:rPr>
          <w:rFonts w:ascii="Times New Roman" w:eastAsia="Times New Roman" w:hAnsi="Times New Roman" w:cs="Times New Roman"/>
          <w:color w:val="0E101A"/>
          <w:sz w:val="24"/>
          <w:szCs w:val="24"/>
          <w:highlight w:val="white"/>
        </w:rPr>
        <w:t>016 when the UK went for a referendum for Brexit (</w:t>
      </w:r>
      <w:r>
        <w:rPr>
          <w:rFonts w:ascii="Times New Roman" w:eastAsia="Times New Roman" w:hAnsi="Times New Roman" w:cs="Times New Roman"/>
          <w:color w:val="222222"/>
          <w:sz w:val="24"/>
          <w:szCs w:val="24"/>
          <w:highlight w:val="white"/>
        </w:rPr>
        <w:t>Davenport and Levell, 2022</w:t>
      </w:r>
      <w:r>
        <w:rPr>
          <w:rFonts w:ascii="Times New Roman" w:eastAsia="Times New Roman" w:hAnsi="Times New Roman" w:cs="Times New Roman"/>
          <w:color w:val="0E101A"/>
          <w:sz w:val="24"/>
          <w:szCs w:val="24"/>
          <w:highlight w:val="white"/>
        </w:rPr>
        <w:t>). Since the referendum dilemma prevailed amongst the human resourcing team of Luxottica who were monitoring the situation as it unfolded because their human resources were somewha</w:t>
      </w:r>
      <w:r>
        <w:rPr>
          <w:rFonts w:ascii="Times New Roman" w:eastAsia="Times New Roman" w:hAnsi="Times New Roman" w:cs="Times New Roman"/>
          <w:color w:val="0E101A"/>
          <w:sz w:val="24"/>
          <w:szCs w:val="24"/>
          <w:highlight w:val="white"/>
        </w:rPr>
        <w:t xml:space="preserve">t reliant on the European Union in the UK. Brexit has created tantrums due to volatility of the market which had impacted Luxottica finance as the cost of conducting business with the EU had become expensive due to the introduction of new trade deals. The </w:t>
      </w:r>
      <w:r>
        <w:rPr>
          <w:rFonts w:ascii="Times New Roman" w:eastAsia="Times New Roman" w:hAnsi="Times New Roman" w:cs="Times New Roman"/>
          <w:color w:val="0E101A"/>
          <w:sz w:val="24"/>
          <w:szCs w:val="24"/>
          <w:highlight w:val="white"/>
        </w:rPr>
        <w:t xml:space="preserve">questions that the Human Resource had to ask again and again were How to organize Luxottica in line with the new reality and </w:t>
      </w:r>
      <w:proofErr w:type="gramStart"/>
      <w:r>
        <w:rPr>
          <w:rFonts w:ascii="Times New Roman" w:eastAsia="Times New Roman" w:hAnsi="Times New Roman" w:cs="Times New Roman"/>
          <w:color w:val="0E101A"/>
          <w:sz w:val="24"/>
          <w:szCs w:val="24"/>
          <w:highlight w:val="white"/>
        </w:rPr>
        <w:t>How</w:t>
      </w:r>
      <w:proofErr w:type="gramEnd"/>
      <w:r>
        <w:rPr>
          <w:rFonts w:ascii="Times New Roman" w:eastAsia="Times New Roman" w:hAnsi="Times New Roman" w:cs="Times New Roman"/>
          <w:color w:val="0E101A"/>
          <w:sz w:val="24"/>
          <w:szCs w:val="24"/>
          <w:highlight w:val="white"/>
        </w:rPr>
        <w:t xml:space="preserve"> to navigate the landscape post Brexit?</w:t>
      </w:r>
    </w:p>
    <w:p w14:paraId="68B653F4" w14:textId="77777777" w:rsidR="00CD2FF8" w:rsidRDefault="00864AE4">
      <w:pPr>
        <w:pStyle w:val="Titolo1"/>
        <w:jc w:val="left"/>
      </w:pPr>
      <w:bookmarkStart w:id="13" w:name="__RefHeading___Toc499_2645521080"/>
      <w:bookmarkStart w:id="14" w:name="_heading=h.1t3h5sf"/>
      <w:bookmarkEnd w:id="13"/>
      <w:bookmarkEnd w:id="14"/>
      <w:r>
        <w:lastRenderedPageBreak/>
        <w:t>Monitoring UK legislation</w:t>
      </w:r>
    </w:p>
    <w:p w14:paraId="35BFA6AF"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noProof/>
        </w:rPr>
        <w:drawing>
          <wp:inline distT="0" distB="0" distL="0" distR="0" wp14:anchorId="0A4C7255" wp14:editId="31CAEAFD">
            <wp:extent cx="5943600" cy="3679825"/>
            <wp:effectExtent l="0" t="0" r="0"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noChangeArrowheads="1"/>
                    </pic:cNvPicPr>
                  </pic:nvPicPr>
                  <pic:blipFill>
                    <a:blip r:embed="rId10"/>
                    <a:srcRect b="13191"/>
                    <a:stretch>
                      <a:fillRect/>
                    </a:stretch>
                  </pic:blipFill>
                  <pic:spPr bwMode="auto">
                    <a:xfrm>
                      <a:off x="0" y="0"/>
                      <a:ext cx="5943600" cy="3679825"/>
                    </a:xfrm>
                    <a:prstGeom prst="rect">
                      <a:avLst/>
                    </a:prstGeom>
                  </pic:spPr>
                </pic:pic>
              </a:graphicData>
            </a:graphic>
          </wp:inline>
        </w:drawing>
      </w:r>
    </w:p>
    <w:p w14:paraId="146A68C2"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Fig: Brexit uncertainty index</w:t>
      </w:r>
    </w:p>
    <w:p w14:paraId="5141A481" w14:textId="77777777" w:rsidR="00CD2FF8" w:rsidRDefault="00864AE4">
      <w:pPr>
        <w:pStyle w:val="LO-normal"/>
        <w:widowControl w:val="0"/>
        <w:spacing w:line="360" w:lineRule="auto"/>
        <w:jc w:val="center"/>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Citation: </w:t>
      </w:r>
      <w:r>
        <w:rPr>
          <w:rFonts w:ascii="Times New Roman" w:eastAsia="Times New Roman" w:hAnsi="Times New Roman" w:cs="Times New Roman"/>
          <w:color w:val="222222"/>
          <w:sz w:val="24"/>
          <w:szCs w:val="24"/>
          <w:highlight w:val="white"/>
        </w:rPr>
        <w:t>Ridgway, 2019</w:t>
      </w:r>
    </w:p>
    <w:p w14:paraId="5E50D462"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The Hu</w:t>
      </w:r>
      <w:r>
        <w:rPr>
          <w:rFonts w:ascii="Times New Roman" w:eastAsia="Times New Roman" w:hAnsi="Times New Roman" w:cs="Times New Roman"/>
          <w:color w:val="0E101A"/>
          <w:sz w:val="24"/>
          <w:szCs w:val="24"/>
          <w:highlight w:val="white"/>
        </w:rPr>
        <w:t>man Resourcing team was closely monitoring the legislation of the UK as it seemed inevitable that all the laws of the UK which had their basis in European Union legislation would be discarded and the Government were willing to make laws related to immigrat</w:t>
      </w:r>
      <w:r>
        <w:rPr>
          <w:rFonts w:ascii="Times New Roman" w:eastAsia="Times New Roman" w:hAnsi="Times New Roman" w:cs="Times New Roman"/>
          <w:color w:val="0E101A"/>
          <w:sz w:val="24"/>
          <w:szCs w:val="24"/>
          <w:highlight w:val="white"/>
        </w:rPr>
        <w:t>ion. The major turn of events post World War II in the UK was the referendum to leave the European Union and the single integrated market it offered (</w:t>
      </w:r>
      <w:r>
        <w:rPr>
          <w:rFonts w:ascii="Times New Roman" w:eastAsia="Times New Roman" w:hAnsi="Times New Roman" w:cs="Times New Roman"/>
          <w:color w:val="222222"/>
          <w:sz w:val="24"/>
          <w:szCs w:val="24"/>
          <w:highlight w:val="white"/>
        </w:rPr>
        <w:t>Ridgway, 2019</w:t>
      </w:r>
      <w:r>
        <w:rPr>
          <w:rFonts w:ascii="Times New Roman" w:eastAsia="Times New Roman" w:hAnsi="Times New Roman" w:cs="Times New Roman"/>
          <w:color w:val="0E101A"/>
          <w:sz w:val="24"/>
          <w:szCs w:val="24"/>
          <w:highlight w:val="white"/>
        </w:rPr>
        <w:t>). The majority of the population wanted to leave the European Union as they felt that they w</w:t>
      </w:r>
      <w:r>
        <w:rPr>
          <w:rFonts w:ascii="Times New Roman" w:eastAsia="Times New Roman" w:hAnsi="Times New Roman" w:cs="Times New Roman"/>
          <w:color w:val="0E101A"/>
          <w:sz w:val="24"/>
          <w:szCs w:val="24"/>
          <w:highlight w:val="white"/>
        </w:rPr>
        <w:t>ere being impacted by the immigrants from the European Union in a negative aspect. The Government was ousted and a new Government who has a pro-Brexit view came to power. This referendum is the new dawn for the economy of the UK. The new Government was ver</w:t>
      </w:r>
      <w:r>
        <w:rPr>
          <w:rFonts w:ascii="Times New Roman" w:eastAsia="Times New Roman" w:hAnsi="Times New Roman" w:cs="Times New Roman"/>
          <w:color w:val="0E101A"/>
          <w:sz w:val="24"/>
          <w:szCs w:val="24"/>
          <w:highlight w:val="white"/>
        </w:rPr>
        <w:t xml:space="preserve">y enthusiastic about introducing new legislation that will abort the European Union laws. </w:t>
      </w:r>
      <w:proofErr w:type="gramStart"/>
      <w:r>
        <w:rPr>
          <w:rFonts w:ascii="Times New Roman" w:eastAsia="Times New Roman" w:hAnsi="Times New Roman" w:cs="Times New Roman"/>
          <w:color w:val="0E101A"/>
          <w:sz w:val="24"/>
          <w:szCs w:val="24"/>
          <w:highlight w:val="white"/>
        </w:rPr>
        <w:t>So</w:t>
      </w:r>
      <w:proofErr w:type="gramEnd"/>
      <w:r>
        <w:rPr>
          <w:rFonts w:ascii="Times New Roman" w:eastAsia="Times New Roman" w:hAnsi="Times New Roman" w:cs="Times New Roman"/>
          <w:color w:val="0E101A"/>
          <w:sz w:val="24"/>
          <w:szCs w:val="24"/>
          <w:highlight w:val="white"/>
        </w:rPr>
        <w:t xml:space="preserve"> the Human Resource had to equip themselves with the new reality and the aspirations of the people who were against the immigrants working in the UK (</w:t>
      </w:r>
      <w:r>
        <w:rPr>
          <w:rFonts w:ascii="Times New Roman" w:eastAsia="Times New Roman" w:hAnsi="Times New Roman" w:cs="Times New Roman"/>
          <w:color w:val="222222"/>
          <w:sz w:val="24"/>
          <w:szCs w:val="24"/>
          <w:highlight w:val="white"/>
        </w:rPr>
        <w:t>Ridgway, 2019</w:t>
      </w:r>
      <w:r>
        <w:rPr>
          <w:rFonts w:ascii="Times New Roman" w:eastAsia="Times New Roman" w:hAnsi="Times New Roman" w:cs="Times New Roman"/>
          <w:color w:val="0E101A"/>
          <w:sz w:val="24"/>
          <w:szCs w:val="24"/>
          <w:highlight w:val="white"/>
        </w:rPr>
        <w:t xml:space="preserve">). This made Human Resources conclude that they should limit their reliability on the immigrants and instead frame a new policy to recruit native people. But the problem did not end there, the main area of concern for Human resources was the efficiency of </w:t>
      </w:r>
      <w:r>
        <w:rPr>
          <w:rFonts w:ascii="Times New Roman" w:eastAsia="Times New Roman" w:hAnsi="Times New Roman" w:cs="Times New Roman"/>
          <w:color w:val="0E101A"/>
          <w:sz w:val="24"/>
          <w:szCs w:val="24"/>
          <w:highlight w:val="white"/>
        </w:rPr>
        <w:t xml:space="preserve">the native worker in the </w:t>
      </w:r>
      <w:r>
        <w:rPr>
          <w:rFonts w:ascii="Times New Roman" w:eastAsia="Times New Roman" w:hAnsi="Times New Roman" w:cs="Times New Roman"/>
          <w:color w:val="0E101A"/>
          <w:sz w:val="24"/>
          <w:szCs w:val="24"/>
          <w:highlight w:val="white"/>
        </w:rPr>
        <w:lastRenderedPageBreak/>
        <w:t>Luxottica business set-up.</w:t>
      </w:r>
    </w:p>
    <w:p w14:paraId="5DF0A68A" w14:textId="77777777" w:rsidR="00CD2FF8" w:rsidRDefault="00864AE4">
      <w:pPr>
        <w:pStyle w:val="Titolo1"/>
        <w:jc w:val="left"/>
      </w:pPr>
      <w:bookmarkStart w:id="15" w:name="__RefHeading___Toc501_2645521080"/>
      <w:bookmarkStart w:id="16" w:name="_heading=h.4d34og8"/>
      <w:bookmarkEnd w:id="15"/>
      <w:bookmarkEnd w:id="16"/>
      <w:r>
        <w:t>The dilemma of adopting a policy to become efficient</w:t>
      </w:r>
    </w:p>
    <w:p w14:paraId="7431EE65"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Brexit created many hurdles for recruiting foreign nationals, this citation became cumbersome as companies began to face problems with the </w:t>
      </w:r>
      <w:r>
        <w:rPr>
          <w:rFonts w:ascii="Times New Roman" w:eastAsia="Times New Roman" w:hAnsi="Times New Roman" w:cs="Times New Roman"/>
          <w:color w:val="0E101A"/>
          <w:sz w:val="24"/>
          <w:szCs w:val="24"/>
          <w:highlight w:val="white"/>
        </w:rPr>
        <w:t>employees of the company who were citizens outside of the UK. Many immigrant employees were disheartened and preferred to return to their home soil, they faced an influx of immigrants leaving the company for home, this happened due to legal challenges that</w:t>
      </w:r>
      <w:r>
        <w:rPr>
          <w:rFonts w:ascii="Times New Roman" w:eastAsia="Times New Roman" w:hAnsi="Times New Roman" w:cs="Times New Roman"/>
          <w:color w:val="0E101A"/>
          <w:sz w:val="24"/>
          <w:szCs w:val="24"/>
          <w:highlight w:val="white"/>
        </w:rPr>
        <w:t xml:space="preserve"> they were encountering with the passing of each day post-Brexit (</w:t>
      </w:r>
      <w:proofErr w:type="spellStart"/>
      <w:r>
        <w:rPr>
          <w:rFonts w:ascii="Times New Roman" w:eastAsia="Times New Roman" w:hAnsi="Times New Roman" w:cs="Times New Roman"/>
          <w:color w:val="222222"/>
          <w:sz w:val="24"/>
          <w:szCs w:val="24"/>
          <w:highlight w:val="white"/>
        </w:rPr>
        <w:t>Czubińska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color w:val="0E101A"/>
          <w:sz w:val="24"/>
          <w:szCs w:val="24"/>
          <w:highlight w:val="white"/>
        </w:rPr>
        <w:t xml:space="preserve">). This situation perplexed us as many natives were not </w:t>
      </w:r>
      <w:proofErr w:type="spellStart"/>
      <w:r>
        <w:rPr>
          <w:rFonts w:ascii="Times New Roman" w:eastAsia="Times New Roman" w:hAnsi="Times New Roman" w:cs="Times New Roman"/>
          <w:color w:val="0E101A"/>
          <w:sz w:val="24"/>
          <w:szCs w:val="24"/>
          <w:highlight w:val="white"/>
        </w:rPr>
        <w:t>skilful</w:t>
      </w:r>
      <w:proofErr w:type="spellEnd"/>
      <w:r>
        <w:rPr>
          <w:rFonts w:ascii="Times New Roman" w:eastAsia="Times New Roman" w:hAnsi="Times New Roman" w:cs="Times New Roman"/>
          <w:color w:val="0E101A"/>
          <w:sz w:val="24"/>
          <w:szCs w:val="24"/>
          <w:highlight w:val="white"/>
        </w:rPr>
        <w:t xml:space="preserve"> in the art of making eyewear glasses and were not familiar with Luxottica's business model. The Human Re</w:t>
      </w:r>
      <w:r>
        <w:rPr>
          <w:rFonts w:ascii="Times New Roman" w:eastAsia="Times New Roman" w:hAnsi="Times New Roman" w:cs="Times New Roman"/>
          <w:color w:val="0E101A"/>
          <w:sz w:val="24"/>
          <w:szCs w:val="24"/>
          <w:highlight w:val="white"/>
        </w:rPr>
        <w:t>source took many drastic steps to improve the hiring of the native population with proper analysis of the situation (</w:t>
      </w:r>
      <w:r>
        <w:rPr>
          <w:rFonts w:ascii="Times New Roman" w:eastAsia="Times New Roman" w:hAnsi="Times New Roman" w:cs="Times New Roman"/>
          <w:color w:val="222222"/>
          <w:sz w:val="24"/>
          <w:szCs w:val="24"/>
          <w:highlight w:val="white"/>
        </w:rPr>
        <w:t>Broad and Turnbull, 2019</w:t>
      </w:r>
      <w:r>
        <w:rPr>
          <w:rFonts w:ascii="Times New Roman" w:eastAsia="Times New Roman" w:hAnsi="Times New Roman" w:cs="Times New Roman"/>
          <w:color w:val="0E101A"/>
          <w:sz w:val="24"/>
          <w:szCs w:val="24"/>
          <w:highlight w:val="white"/>
        </w:rPr>
        <w:t xml:space="preserve">). The Human Resource through </w:t>
      </w:r>
      <w:proofErr w:type="spellStart"/>
      <w:r>
        <w:rPr>
          <w:rFonts w:ascii="Times New Roman" w:eastAsia="Times New Roman" w:hAnsi="Times New Roman" w:cs="Times New Roman"/>
          <w:color w:val="0E101A"/>
          <w:sz w:val="24"/>
          <w:szCs w:val="24"/>
          <w:highlight w:val="white"/>
        </w:rPr>
        <w:t>thoro</w:t>
      </w:r>
      <w:proofErr w:type="spellEnd"/>
      <w:r>
        <w:rPr>
          <w:rFonts w:ascii="Times New Roman" w:eastAsia="Times New Roman" w:hAnsi="Times New Roman" w:cs="Times New Roman"/>
          <w:color w:val="0E101A"/>
          <w:sz w:val="24"/>
          <w:szCs w:val="24"/>
          <w:highlight w:val="white"/>
        </w:rPr>
        <w:t xml:space="preserve"> analysis found the effects of Brexit on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European Union. They </w:t>
      </w:r>
      <w:r>
        <w:rPr>
          <w:rFonts w:ascii="Times New Roman" w:eastAsia="Times New Roman" w:hAnsi="Times New Roman" w:cs="Times New Roman"/>
          <w:color w:val="0E101A"/>
          <w:sz w:val="24"/>
          <w:szCs w:val="24"/>
          <w:highlight w:val="white"/>
        </w:rPr>
        <w:t xml:space="preserve">found a footing in hiring a quality worker as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in the European Union was also impacted by Brexit, it gave hope and aspirations to the Human Resource of Luxottica. They found that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outside of the UK who were native to the UK were </w:t>
      </w:r>
      <w:r>
        <w:rPr>
          <w:rFonts w:ascii="Times New Roman" w:eastAsia="Times New Roman" w:hAnsi="Times New Roman" w:cs="Times New Roman"/>
          <w:color w:val="0E101A"/>
          <w:sz w:val="24"/>
          <w:szCs w:val="24"/>
          <w:highlight w:val="white"/>
        </w:rPr>
        <w:t xml:space="preserve">returning as they were facing challenges in European Companies. The returning </w:t>
      </w:r>
      <w:proofErr w:type="spellStart"/>
      <w:r>
        <w:rPr>
          <w:rFonts w:ascii="Times New Roman" w:eastAsia="Times New Roman" w:hAnsi="Times New Roman" w:cs="Times New Roman"/>
          <w:color w:val="0E101A"/>
          <w:sz w:val="24"/>
          <w:szCs w:val="24"/>
          <w:highlight w:val="white"/>
        </w:rPr>
        <w:t>labourers</w:t>
      </w:r>
      <w:proofErr w:type="spellEnd"/>
      <w:r>
        <w:rPr>
          <w:rFonts w:ascii="Times New Roman" w:eastAsia="Times New Roman" w:hAnsi="Times New Roman" w:cs="Times New Roman"/>
          <w:color w:val="0E101A"/>
          <w:sz w:val="24"/>
          <w:szCs w:val="24"/>
          <w:highlight w:val="white"/>
        </w:rPr>
        <w:t xml:space="preserve"> were skilled, they were returning and they needed a Visa to continue their work (</w:t>
      </w:r>
      <w:r>
        <w:rPr>
          <w:rFonts w:ascii="Times New Roman" w:eastAsia="Times New Roman" w:hAnsi="Times New Roman" w:cs="Times New Roman"/>
          <w:color w:val="222222"/>
          <w:sz w:val="24"/>
          <w:szCs w:val="24"/>
          <w:highlight w:val="white"/>
        </w:rPr>
        <w:t>French, 2018</w:t>
      </w:r>
      <w:r>
        <w:rPr>
          <w:rFonts w:ascii="Times New Roman" w:eastAsia="Times New Roman" w:hAnsi="Times New Roman" w:cs="Times New Roman"/>
          <w:color w:val="0E101A"/>
          <w:sz w:val="24"/>
          <w:szCs w:val="24"/>
          <w:highlight w:val="white"/>
        </w:rPr>
        <w:t>). The Silver lining in the cloud for the Human Resource helped them to rec</w:t>
      </w:r>
      <w:r>
        <w:rPr>
          <w:rFonts w:ascii="Times New Roman" w:eastAsia="Times New Roman" w:hAnsi="Times New Roman" w:cs="Times New Roman"/>
          <w:color w:val="0E101A"/>
          <w:sz w:val="24"/>
          <w:szCs w:val="24"/>
          <w:highlight w:val="white"/>
        </w:rPr>
        <w:t xml:space="preserve">uperate from the illness of Brexit. The Human Resource of Luxottica formulated a systematic approach to hiring all the people who were returning to the UK that were related to the field that they specialized in, </w:t>
      </w:r>
      <w:proofErr w:type="spellStart"/>
      <w:r>
        <w:rPr>
          <w:rFonts w:ascii="Times New Roman" w:eastAsia="Times New Roman" w:hAnsi="Times New Roman" w:cs="Times New Roman"/>
          <w:color w:val="0E101A"/>
          <w:sz w:val="24"/>
          <w:szCs w:val="24"/>
          <w:highlight w:val="white"/>
        </w:rPr>
        <w:t>i.e</w:t>
      </w:r>
      <w:proofErr w:type="spellEnd"/>
      <w:r>
        <w:rPr>
          <w:rFonts w:ascii="Times New Roman" w:eastAsia="Times New Roman" w:hAnsi="Times New Roman" w:cs="Times New Roman"/>
          <w:color w:val="0E101A"/>
          <w:sz w:val="24"/>
          <w:szCs w:val="24"/>
          <w:highlight w:val="white"/>
        </w:rPr>
        <w:t xml:space="preserve"> eyewear glasses. They made a systematic </w:t>
      </w:r>
      <w:r>
        <w:rPr>
          <w:rFonts w:ascii="Times New Roman" w:eastAsia="Times New Roman" w:hAnsi="Times New Roman" w:cs="Times New Roman"/>
          <w:color w:val="0E101A"/>
          <w:sz w:val="24"/>
          <w:szCs w:val="24"/>
          <w:highlight w:val="white"/>
        </w:rPr>
        <w:t xml:space="preserve">framework that will notify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on their returning voyage.</w:t>
      </w:r>
    </w:p>
    <w:p w14:paraId="3A9398F8" w14:textId="77777777" w:rsidR="00CD2FF8" w:rsidRDefault="00864AE4">
      <w:pPr>
        <w:pStyle w:val="Titolo1"/>
        <w:jc w:val="left"/>
      </w:pPr>
      <w:bookmarkStart w:id="17" w:name="__RefHeading___Toc503_2645521080"/>
      <w:bookmarkStart w:id="18" w:name="_heading=h.2s8eyo1"/>
      <w:bookmarkEnd w:id="17"/>
      <w:bookmarkEnd w:id="18"/>
      <w:r>
        <w:t>Framework for hiring and training</w:t>
      </w:r>
    </w:p>
    <w:p w14:paraId="4B603ABC"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The Silver lining that was visibly needed to be grasped properly so that the potential it possesses cannot be shattered into the ground. The Human Resource o</w:t>
      </w:r>
      <w:r>
        <w:rPr>
          <w:rFonts w:ascii="Times New Roman" w:eastAsia="Times New Roman" w:hAnsi="Times New Roman" w:cs="Times New Roman"/>
          <w:color w:val="0E101A"/>
          <w:sz w:val="24"/>
          <w:szCs w:val="24"/>
          <w:highlight w:val="white"/>
        </w:rPr>
        <w:t xml:space="preserve">f Luxottica made a daring strategy to promote the vacancy that they have to recruit native people. Their first strategy was to advertise using banners in the airport in the UK where all the returnees will land and can avail themselves of an opportunity to </w:t>
      </w:r>
      <w:r>
        <w:rPr>
          <w:rFonts w:ascii="Times New Roman" w:eastAsia="Times New Roman" w:hAnsi="Times New Roman" w:cs="Times New Roman"/>
          <w:color w:val="0E101A"/>
          <w:sz w:val="24"/>
          <w:szCs w:val="24"/>
          <w:highlight w:val="white"/>
        </w:rPr>
        <w:t>look at the jobs that Luxottica provided. They also adopted other means of advertisement and expected people to join their company. The advertisement paid off and floods of CVs rolled in, but this created another major problem in scanning every CV and cons</w:t>
      </w:r>
      <w:r>
        <w:rPr>
          <w:rFonts w:ascii="Times New Roman" w:eastAsia="Times New Roman" w:hAnsi="Times New Roman" w:cs="Times New Roman"/>
          <w:color w:val="0E101A"/>
          <w:sz w:val="24"/>
          <w:szCs w:val="24"/>
          <w:highlight w:val="white"/>
        </w:rPr>
        <w:t xml:space="preserve">idering </w:t>
      </w:r>
      <w:r>
        <w:rPr>
          <w:rFonts w:ascii="Times New Roman" w:eastAsia="Times New Roman" w:hAnsi="Times New Roman" w:cs="Times New Roman"/>
          <w:color w:val="0E101A"/>
          <w:sz w:val="24"/>
          <w:szCs w:val="24"/>
          <w:highlight w:val="white"/>
        </w:rPr>
        <w:lastRenderedPageBreak/>
        <w:t>eligible candidates. This ended the misery of not being able to hire staff. But considerable vaccines were left unfilled (</w:t>
      </w:r>
      <w:proofErr w:type="spellStart"/>
      <w:r>
        <w:rPr>
          <w:rFonts w:ascii="Times New Roman" w:eastAsia="Times New Roman" w:hAnsi="Times New Roman" w:cs="Times New Roman"/>
          <w:color w:val="222222"/>
          <w:sz w:val="24"/>
          <w:szCs w:val="24"/>
          <w:highlight w:val="white"/>
        </w:rPr>
        <w:t>Jallow</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E101A"/>
          <w:sz w:val="24"/>
          <w:szCs w:val="24"/>
          <w:highlight w:val="white"/>
        </w:rPr>
        <w:t>). The next strategy that Human Resources adopted was to train the native population after hiring. The trai</w:t>
      </w:r>
      <w:r>
        <w:rPr>
          <w:rFonts w:ascii="Times New Roman" w:eastAsia="Times New Roman" w:hAnsi="Times New Roman" w:cs="Times New Roman"/>
          <w:color w:val="0E101A"/>
          <w:sz w:val="24"/>
          <w:szCs w:val="24"/>
          <w:highlight w:val="white"/>
        </w:rPr>
        <w:t>ning of the native population added a tremendous financial burden for Luxottica who were facing the wrath of COVID 19. The insurmountable challenges were on the verge of ending then came the pandemic which prompted the Human Resource to mend and change the</w:t>
      </w:r>
      <w:r>
        <w:rPr>
          <w:rFonts w:ascii="Times New Roman" w:eastAsia="Times New Roman" w:hAnsi="Times New Roman" w:cs="Times New Roman"/>
          <w:color w:val="0E101A"/>
          <w:sz w:val="24"/>
          <w:szCs w:val="24"/>
          <w:highlight w:val="white"/>
        </w:rPr>
        <w:t xml:space="preserve"> strategy. COVID possessed new avenues of challenge where the main arsenal to counter plight was hit hard. There was tremendous pressure on the economy of the UK which was a result of both Brexit and COVID19. The lockdowns hit the economy hard. Despite all</w:t>
      </w:r>
      <w:r>
        <w:rPr>
          <w:rFonts w:ascii="Times New Roman" w:eastAsia="Times New Roman" w:hAnsi="Times New Roman" w:cs="Times New Roman"/>
          <w:color w:val="0E101A"/>
          <w:sz w:val="24"/>
          <w:szCs w:val="24"/>
          <w:highlight w:val="white"/>
        </w:rPr>
        <w:t xml:space="preserve"> the challenges presented by COVID19 and Brexit, Luxottica was able to stand tall due to the quality of the Human Resource team it possessed. As they formulated the adoption of the latest technology and </w:t>
      </w:r>
      <w:proofErr w:type="spellStart"/>
      <w:r>
        <w:rPr>
          <w:rFonts w:ascii="Times New Roman" w:eastAsia="Times New Roman" w:hAnsi="Times New Roman" w:cs="Times New Roman"/>
          <w:color w:val="0E101A"/>
          <w:sz w:val="24"/>
          <w:szCs w:val="24"/>
          <w:highlight w:val="white"/>
        </w:rPr>
        <w:t>practised</w:t>
      </w:r>
      <w:proofErr w:type="spellEnd"/>
      <w:r>
        <w:rPr>
          <w:rFonts w:ascii="Times New Roman" w:eastAsia="Times New Roman" w:hAnsi="Times New Roman" w:cs="Times New Roman"/>
          <w:color w:val="0E101A"/>
          <w:sz w:val="24"/>
          <w:szCs w:val="24"/>
          <w:highlight w:val="white"/>
        </w:rPr>
        <w:t xml:space="preserve"> new forms of working conditions such as wor</w:t>
      </w:r>
      <w:r>
        <w:rPr>
          <w:rFonts w:ascii="Times New Roman" w:eastAsia="Times New Roman" w:hAnsi="Times New Roman" w:cs="Times New Roman"/>
          <w:color w:val="0E101A"/>
          <w:sz w:val="24"/>
          <w:szCs w:val="24"/>
          <w:highlight w:val="white"/>
        </w:rPr>
        <w:t>k form and installation of automated machines (</w:t>
      </w:r>
      <w:proofErr w:type="spellStart"/>
      <w:r>
        <w:rPr>
          <w:rFonts w:ascii="Times New Roman" w:eastAsia="Times New Roman" w:hAnsi="Times New Roman" w:cs="Times New Roman"/>
          <w:color w:val="222222"/>
          <w:sz w:val="24"/>
          <w:szCs w:val="24"/>
          <w:highlight w:val="white"/>
        </w:rPr>
        <w:t>Jallow</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0E101A"/>
          <w:sz w:val="24"/>
          <w:szCs w:val="24"/>
          <w:highlight w:val="white"/>
        </w:rPr>
        <w:t>).</w:t>
      </w:r>
    </w:p>
    <w:p w14:paraId="45BA1391" w14:textId="77777777" w:rsidR="00CD2FF8" w:rsidRDefault="00864AE4">
      <w:pPr>
        <w:pStyle w:val="Titolo1"/>
        <w:jc w:val="left"/>
      </w:pPr>
      <w:bookmarkStart w:id="19" w:name="__RefHeading___Toc505_2645521080"/>
      <w:bookmarkStart w:id="20" w:name="_heading=h.17dp8vu"/>
      <w:bookmarkEnd w:id="19"/>
      <w:bookmarkEnd w:id="20"/>
      <w:r>
        <w:t xml:space="preserve"> Conclusion </w:t>
      </w:r>
    </w:p>
    <w:p w14:paraId="0E8D7047" w14:textId="77777777" w:rsidR="00CD2FF8" w:rsidRDefault="00864AE4">
      <w:pPr>
        <w:pStyle w:val="LO-normal"/>
        <w:widowControl w:val="0"/>
        <w:spacing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0E101A"/>
          <w:sz w:val="24"/>
          <w:szCs w:val="24"/>
          <w:highlight w:val="white"/>
        </w:rPr>
        <w:t xml:space="preserve">The wave of change brought forth by the dual challenge of Brexit and Covid 19 on the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swept the way for changes. There was a considerable strain on the </w:t>
      </w:r>
      <w:proofErr w:type="spellStart"/>
      <w:r>
        <w:rPr>
          <w:rFonts w:ascii="Times New Roman" w:eastAsia="Times New Roman" w:hAnsi="Times New Roman" w:cs="Times New Roman"/>
          <w:color w:val="0E101A"/>
          <w:sz w:val="24"/>
          <w:szCs w:val="24"/>
          <w:highlight w:val="white"/>
        </w:rPr>
        <w:t>remodelli</w:t>
      </w:r>
      <w:r>
        <w:rPr>
          <w:rFonts w:ascii="Times New Roman" w:eastAsia="Times New Roman" w:hAnsi="Times New Roman" w:cs="Times New Roman"/>
          <w:color w:val="0E101A"/>
          <w:sz w:val="24"/>
          <w:szCs w:val="24"/>
          <w:highlight w:val="white"/>
        </w:rPr>
        <w:t>ng</w:t>
      </w:r>
      <w:proofErr w:type="spellEnd"/>
      <w:r>
        <w:rPr>
          <w:rFonts w:ascii="Times New Roman" w:eastAsia="Times New Roman" w:hAnsi="Times New Roman" w:cs="Times New Roman"/>
          <w:color w:val="0E101A"/>
          <w:sz w:val="24"/>
          <w:szCs w:val="24"/>
          <w:highlight w:val="white"/>
        </w:rPr>
        <w:t xml:space="preserve"> of the policies in tune with the challenges possessed by Brexit. There was a period of uncertainty when a referendum was voted for the exit of the UK from the European Union. It led to the abolition of the integrated market with the UK, which formed a s</w:t>
      </w:r>
      <w:r>
        <w:rPr>
          <w:rFonts w:ascii="Times New Roman" w:eastAsia="Times New Roman" w:hAnsi="Times New Roman" w:cs="Times New Roman"/>
          <w:color w:val="0E101A"/>
          <w:sz w:val="24"/>
          <w:szCs w:val="24"/>
          <w:highlight w:val="white"/>
        </w:rPr>
        <w:t>eparate market entity for the UK. Abolition of the integrated market affected the number of immigrants coming from other EU nations which had a deep impact on the UK's economy and created vacancy. The positive aspect of Brexit lies in the fact that the nat</w:t>
      </w:r>
      <w:r>
        <w:rPr>
          <w:rFonts w:ascii="Times New Roman" w:eastAsia="Times New Roman" w:hAnsi="Times New Roman" w:cs="Times New Roman"/>
          <w:color w:val="0E101A"/>
          <w:sz w:val="24"/>
          <w:szCs w:val="24"/>
          <w:highlight w:val="white"/>
        </w:rPr>
        <w:t xml:space="preserve">ive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boomed with a demand for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to fill the vacancy but this posed a challenge to Luxottica as skilled native people were not sufficient which burdened them financially and compromised the quality of their product. The laws of the UK whic</w:t>
      </w:r>
      <w:r>
        <w:rPr>
          <w:rFonts w:ascii="Times New Roman" w:eastAsia="Times New Roman" w:hAnsi="Times New Roman" w:cs="Times New Roman"/>
          <w:color w:val="0E101A"/>
          <w:sz w:val="24"/>
          <w:szCs w:val="24"/>
          <w:highlight w:val="white"/>
        </w:rPr>
        <w:t>h were based on the EU were also abolished by the enthusiast UK Government who were willing to legislate new laws on immigration. The new legislation added misery to Luxottica as they used to follow a framework along the lines of the European Union, now ta</w:t>
      </w:r>
      <w:r>
        <w:rPr>
          <w:rFonts w:ascii="Times New Roman" w:eastAsia="Times New Roman" w:hAnsi="Times New Roman" w:cs="Times New Roman"/>
          <w:color w:val="0E101A"/>
          <w:sz w:val="24"/>
          <w:szCs w:val="24"/>
          <w:highlight w:val="white"/>
        </w:rPr>
        <w:t xml:space="preserve">sked to compile the new legislation of the UK and adopt the new policy. Brexit challenges the human resource person of Luxottica as they had to abide by the new public opinion of the </w:t>
      </w:r>
      <w:proofErr w:type="spellStart"/>
      <w:r>
        <w:rPr>
          <w:rFonts w:ascii="Times New Roman" w:eastAsia="Times New Roman" w:hAnsi="Times New Roman" w:cs="Times New Roman"/>
          <w:color w:val="0E101A"/>
          <w:sz w:val="24"/>
          <w:szCs w:val="24"/>
          <w:highlight w:val="white"/>
        </w:rPr>
        <w:t>Uk</w:t>
      </w:r>
      <w:proofErr w:type="spellEnd"/>
      <w:r>
        <w:rPr>
          <w:rFonts w:ascii="Times New Roman" w:eastAsia="Times New Roman" w:hAnsi="Times New Roman" w:cs="Times New Roman"/>
          <w:color w:val="0E101A"/>
          <w:sz w:val="24"/>
          <w:szCs w:val="24"/>
          <w:highlight w:val="white"/>
        </w:rPr>
        <w:t xml:space="preserve"> and oblige by the new laws. Though the challenges were daunting throug</w:t>
      </w:r>
      <w:r>
        <w:rPr>
          <w:rFonts w:ascii="Times New Roman" w:eastAsia="Times New Roman" w:hAnsi="Times New Roman" w:cs="Times New Roman"/>
          <w:color w:val="0E101A"/>
          <w:sz w:val="24"/>
          <w:szCs w:val="24"/>
          <w:highlight w:val="white"/>
        </w:rPr>
        <w:t xml:space="preserve">h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analysis of the EU, some hope was found when they looked into the market. The hopes were potential for their success and the Human Resource </w:t>
      </w:r>
      <w:r>
        <w:rPr>
          <w:rFonts w:ascii="Times New Roman" w:eastAsia="Times New Roman" w:hAnsi="Times New Roman" w:cs="Times New Roman"/>
          <w:color w:val="0E101A"/>
          <w:sz w:val="24"/>
          <w:szCs w:val="24"/>
          <w:highlight w:val="white"/>
        </w:rPr>
        <w:lastRenderedPageBreak/>
        <w:t>team delivered a masterstroke by utilizing the constitution of the market.</w:t>
      </w:r>
    </w:p>
    <w:p w14:paraId="63191C06" w14:textId="77777777" w:rsidR="00CD2FF8" w:rsidRDefault="00864AE4">
      <w:pPr>
        <w:pStyle w:val="Titolo1"/>
        <w:jc w:val="left"/>
      </w:pPr>
      <w:r>
        <w:br w:type="column"/>
      </w:r>
      <w:bookmarkStart w:id="21" w:name="__RefHeading___Toc507_2645521080"/>
      <w:bookmarkStart w:id="22" w:name="_heading=h.3rdcrjn"/>
      <w:bookmarkEnd w:id="21"/>
      <w:bookmarkEnd w:id="22"/>
      <w:r>
        <w:rPr>
          <w:highlight w:val="white"/>
        </w:rPr>
        <w:lastRenderedPageBreak/>
        <w:t xml:space="preserve">References </w:t>
      </w:r>
    </w:p>
    <w:p w14:paraId="5554EFEA"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Broad, R. an</w:t>
      </w:r>
      <w:r>
        <w:rPr>
          <w:rFonts w:ascii="Times New Roman" w:eastAsia="Times New Roman" w:hAnsi="Times New Roman" w:cs="Times New Roman"/>
          <w:color w:val="222222"/>
          <w:sz w:val="24"/>
          <w:szCs w:val="24"/>
        </w:rPr>
        <w:t>d Turnbull, N., 2019. From human trafficking to modern slavery: the development of anti-trafficking policy in the UK. </w:t>
      </w:r>
      <w:r>
        <w:rPr>
          <w:rFonts w:ascii="Times New Roman" w:eastAsia="Times New Roman" w:hAnsi="Times New Roman" w:cs="Times New Roman"/>
          <w:i/>
          <w:color w:val="222222"/>
          <w:sz w:val="24"/>
          <w:szCs w:val="24"/>
        </w:rPr>
        <w:t>European Journal on Criminal Policy and Research</w:t>
      </w:r>
      <w:r>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25</w:t>
      </w:r>
      <w:r>
        <w:rPr>
          <w:rFonts w:ascii="Times New Roman" w:eastAsia="Times New Roman" w:hAnsi="Times New Roman" w:cs="Times New Roman"/>
          <w:color w:val="222222"/>
          <w:sz w:val="24"/>
          <w:szCs w:val="24"/>
        </w:rPr>
        <w:t>(2), pp.119-133.</w:t>
      </w:r>
      <w:r>
        <w:rPr>
          <w:rFonts w:ascii="Times New Roman" w:eastAsia="Times New Roman" w:hAnsi="Times New Roman" w:cs="Times New Roman"/>
          <w:sz w:val="24"/>
          <w:szCs w:val="24"/>
        </w:rPr>
        <w:t xml:space="preserve"> </w:t>
      </w:r>
    </w:p>
    <w:p w14:paraId="3684C6C4"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Czubińska</w:t>
      </w:r>
      <w:proofErr w:type="spellEnd"/>
      <w:r>
        <w:rPr>
          <w:rFonts w:ascii="Times New Roman" w:eastAsia="Times New Roman" w:hAnsi="Times New Roman" w:cs="Times New Roman"/>
          <w:color w:val="222222"/>
          <w:sz w:val="24"/>
          <w:szCs w:val="24"/>
        </w:rPr>
        <w:t xml:space="preserve">, G., </w:t>
      </w:r>
      <w:proofErr w:type="spellStart"/>
      <w:r>
        <w:rPr>
          <w:rFonts w:ascii="Times New Roman" w:eastAsia="Times New Roman" w:hAnsi="Times New Roman" w:cs="Times New Roman"/>
          <w:color w:val="222222"/>
          <w:sz w:val="24"/>
          <w:szCs w:val="24"/>
        </w:rPr>
        <w:t>Łużniak-Piecha</w:t>
      </w:r>
      <w:proofErr w:type="spellEnd"/>
      <w:r>
        <w:rPr>
          <w:rFonts w:ascii="Times New Roman" w:eastAsia="Times New Roman" w:hAnsi="Times New Roman" w:cs="Times New Roman"/>
          <w:color w:val="222222"/>
          <w:sz w:val="24"/>
          <w:szCs w:val="24"/>
        </w:rPr>
        <w:t xml:space="preserve">, M., </w:t>
      </w:r>
      <w:proofErr w:type="spellStart"/>
      <w:r>
        <w:rPr>
          <w:rFonts w:ascii="Times New Roman" w:eastAsia="Times New Roman" w:hAnsi="Times New Roman" w:cs="Times New Roman"/>
          <w:color w:val="222222"/>
          <w:sz w:val="24"/>
          <w:szCs w:val="24"/>
        </w:rPr>
        <w:t>Golińska</w:t>
      </w:r>
      <w:proofErr w:type="spellEnd"/>
      <w:r>
        <w:rPr>
          <w:rFonts w:ascii="Times New Roman" w:eastAsia="Times New Roman" w:hAnsi="Times New Roman" w:cs="Times New Roman"/>
          <w:color w:val="222222"/>
          <w:sz w:val="24"/>
          <w:szCs w:val="24"/>
        </w:rPr>
        <w:t xml:space="preserve">, A. and Kulczyk, J., </w:t>
      </w:r>
      <w:r>
        <w:rPr>
          <w:rFonts w:ascii="Times New Roman" w:eastAsia="Times New Roman" w:hAnsi="Times New Roman" w:cs="Times New Roman"/>
          <w:color w:val="222222"/>
          <w:sz w:val="24"/>
          <w:szCs w:val="24"/>
        </w:rPr>
        <w:t>2018. Should we stay or should we go? Poles in the UK during Brexit. </w:t>
      </w:r>
      <w:r>
        <w:rPr>
          <w:rFonts w:ascii="Times New Roman" w:eastAsia="Times New Roman" w:hAnsi="Times New Roman" w:cs="Times New Roman"/>
          <w:i/>
          <w:color w:val="222222"/>
          <w:sz w:val="24"/>
          <w:szCs w:val="24"/>
        </w:rPr>
        <w:t>Brexit and Polonia: Challenges facing the Polish Community during the process of Britain leaving the European Union</w:t>
      </w:r>
      <w:r>
        <w:rPr>
          <w:rFonts w:ascii="Times New Roman" w:eastAsia="Times New Roman" w:hAnsi="Times New Roman" w:cs="Times New Roman"/>
          <w:color w:val="222222"/>
          <w:sz w:val="24"/>
          <w:szCs w:val="24"/>
        </w:rPr>
        <w:t>, p.83.</w:t>
      </w:r>
    </w:p>
    <w:p w14:paraId="1ECA101E"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Davenport, A., and Levell, P., 2022. Brexit and </w:t>
      </w:r>
      <w:proofErr w:type="spellStart"/>
      <w:r>
        <w:rPr>
          <w:rFonts w:ascii="Times New Roman" w:eastAsia="Times New Roman" w:hAnsi="Times New Roman" w:cs="Times New Roman"/>
          <w:color w:val="222222"/>
          <w:sz w:val="24"/>
          <w:szCs w:val="24"/>
          <w:highlight w:val="white"/>
        </w:rPr>
        <w:t>labour</w:t>
      </w:r>
      <w:proofErr w:type="spellEnd"/>
      <w:r>
        <w:rPr>
          <w:rFonts w:ascii="Times New Roman" w:eastAsia="Times New Roman" w:hAnsi="Times New Roman" w:cs="Times New Roman"/>
          <w:color w:val="222222"/>
          <w:sz w:val="24"/>
          <w:szCs w:val="24"/>
          <w:highlight w:val="white"/>
        </w:rPr>
        <w:t xml:space="preserve"> market in</w:t>
      </w:r>
      <w:r>
        <w:rPr>
          <w:rFonts w:ascii="Times New Roman" w:eastAsia="Times New Roman" w:hAnsi="Times New Roman" w:cs="Times New Roman"/>
          <w:color w:val="222222"/>
          <w:sz w:val="24"/>
          <w:szCs w:val="24"/>
          <w:highlight w:val="white"/>
        </w:rPr>
        <w:t>equalities: potential spatial and occupational impacts. </w:t>
      </w:r>
      <w:r>
        <w:rPr>
          <w:rFonts w:ascii="Times New Roman" w:eastAsia="Times New Roman" w:hAnsi="Times New Roman" w:cs="Times New Roman"/>
          <w:i/>
          <w:color w:val="222222"/>
          <w:sz w:val="24"/>
          <w:szCs w:val="24"/>
          <w:highlight w:val="white"/>
        </w:rPr>
        <w:t>Oxford Review of Economic Policy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(1), 50-67.</w:t>
      </w:r>
      <w:r>
        <w:rPr>
          <w:rFonts w:ascii="Times New Roman" w:eastAsia="Times New Roman" w:hAnsi="Times New Roman" w:cs="Times New Roman"/>
          <w:color w:val="0E101A"/>
          <w:sz w:val="24"/>
          <w:szCs w:val="24"/>
          <w:highlight w:val="white"/>
        </w:rPr>
        <w:t xml:space="preserve"> </w:t>
      </w:r>
    </w:p>
    <w:p w14:paraId="48D90A3E"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French, S., 2018. Between </w:t>
      </w:r>
      <w:proofErr w:type="spellStart"/>
      <w:r>
        <w:rPr>
          <w:rFonts w:ascii="Times New Roman" w:eastAsia="Times New Roman" w:hAnsi="Times New Roman" w:cs="Times New Roman"/>
          <w:color w:val="222222"/>
          <w:sz w:val="24"/>
          <w:szCs w:val="24"/>
        </w:rPr>
        <w:t>globalisation</w:t>
      </w:r>
      <w:proofErr w:type="spellEnd"/>
      <w:r>
        <w:rPr>
          <w:rFonts w:ascii="Times New Roman" w:eastAsia="Times New Roman" w:hAnsi="Times New Roman" w:cs="Times New Roman"/>
          <w:color w:val="222222"/>
          <w:sz w:val="24"/>
          <w:szCs w:val="24"/>
        </w:rPr>
        <w:t xml:space="preserve"> and Brexit: Migration, pay and the road to modern slavery in the UK hospitality industry. </w:t>
      </w:r>
      <w:r>
        <w:rPr>
          <w:rFonts w:ascii="Times New Roman" w:eastAsia="Times New Roman" w:hAnsi="Times New Roman" w:cs="Times New Roman"/>
          <w:i/>
          <w:color w:val="222222"/>
          <w:sz w:val="24"/>
          <w:szCs w:val="24"/>
        </w:rPr>
        <w:t>Research in Hospitali</w:t>
      </w:r>
      <w:r>
        <w:rPr>
          <w:rFonts w:ascii="Times New Roman" w:eastAsia="Times New Roman" w:hAnsi="Times New Roman" w:cs="Times New Roman"/>
          <w:i/>
          <w:color w:val="222222"/>
          <w:sz w:val="24"/>
          <w:szCs w:val="24"/>
        </w:rPr>
        <w:t>ty Management</w:t>
      </w:r>
      <w:r>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8</w:t>
      </w:r>
      <w:r>
        <w:rPr>
          <w:rFonts w:ascii="Times New Roman" w:eastAsia="Times New Roman" w:hAnsi="Times New Roman" w:cs="Times New Roman"/>
          <w:color w:val="222222"/>
          <w:sz w:val="24"/>
          <w:szCs w:val="24"/>
        </w:rPr>
        <w:t xml:space="preserve">(1), pp.23-31. </w:t>
      </w:r>
    </w:p>
    <w:p w14:paraId="496AC0F8"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Griffith, R., Levell, P. and Norris </w:t>
      </w:r>
      <w:proofErr w:type="spellStart"/>
      <w:r>
        <w:rPr>
          <w:rFonts w:ascii="Times New Roman" w:eastAsia="Times New Roman" w:hAnsi="Times New Roman" w:cs="Times New Roman"/>
          <w:color w:val="222222"/>
          <w:sz w:val="24"/>
          <w:szCs w:val="24"/>
          <w:highlight w:val="white"/>
        </w:rPr>
        <w:t>Keiller</w:t>
      </w:r>
      <w:proofErr w:type="spellEnd"/>
      <w:r>
        <w:rPr>
          <w:rFonts w:ascii="Times New Roman" w:eastAsia="Times New Roman" w:hAnsi="Times New Roman" w:cs="Times New Roman"/>
          <w:color w:val="222222"/>
          <w:sz w:val="24"/>
          <w:szCs w:val="24"/>
          <w:highlight w:val="white"/>
        </w:rPr>
        <w:t>, A., 2021. Potential Consequences of Post‐Brexit Trade Barriers for Earnings Inequality in the UK. </w:t>
      </w:r>
      <w:proofErr w:type="spellStart"/>
      <w:r>
        <w:rPr>
          <w:rFonts w:ascii="Times New Roman" w:eastAsia="Times New Roman" w:hAnsi="Times New Roman" w:cs="Times New Roman"/>
          <w:i/>
          <w:color w:val="222222"/>
          <w:sz w:val="24"/>
          <w:szCs w:val="24"/>
          <w:highlight w:val="white"/>
        </w:rPr>
        <w:t>Economica</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88</w:t>
      </w:r>
      <w:r>
        <w:rPr>
          <w:rFonts w:ascii="Times New Roman" w:eastAsia="Times New Roman" w:hAnsi="Times New Roman" w:cs="Times New Roman"/>
          <w:color w:val="222222"/>
          <w:sz w:val="24"/>
          <w:szCs w:val="24"/>
          <w:highlight w:val="white"/>
        </w:rPr>
        <w:t>(352), pp.839-862.</w:t>
      </w:r>
      <w:r>
        <w:rPr>
          <w:rFonts w:ascii="Times New Roman" w:eastAsia="Times New Roman" w:hAnsi="Times New Roman" w:cs="Times New Roman"/>
          <w:color w:val="0E101A"/>
          <w:sz w:val="24"/>
          <w:szCs w:val="24"/>
          <w:highlight w:val="white"/>
        </w:rPr>
        <w:t xml:space="preserve"> </w:t>
      </w:r>
    </w:p>
    <w:p w14:paraId="1F79B8C5"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Jallow</w:t>
      </w:r>
      <w:proofErr w:type="spellEnd"/>
      <w:r>
        <w:rPr>
          <w:rFonts w:ascii="Times New Roman" w:eastAsia="Times New Roman" w:hAnsi="Times New Roman" w:cs="Times New Roman"/>
          <w:color w:val="222222"/>
          <w:sz w:val="24"/>
          <w:szCs w:val="24"/>
        </w:rPr>
        <w:t xml:space="preserve">, O., </w:t>
      </w:r>
      <w:proofErr w:type="spellStart"/>
      <w:r>
        <w:rPr>
          <w:rFonts w:ascii="Times New Roman" w:eastAsia="Times New Roman" w:hAnsi="Times New Roman" w:cs="Times New Roman"/>
          <w:color w:val="222222"/>
          <w:sz w:val="24"/>
          <w:szCs w:val="24"/>
        </w:rPr>
        <w:t>Fanani</w:t>
      </w:r>
      <w:proofErr w:type="spellEnd"/>
      <w:r>
        <w:rPr>
          <w:rFonts w:ascii="Times New Roman" w:eastAsia="Times New Roman" w:hAnsi="Times New Roman" w:cs="Times New Roman"/>
          <w:color w:val="222222"/>
          <w:sz w:val="24"/>
          <w:szCs w:val="24"/>
        </w:rPr>
        <w:t xml:space="preserve">, Z. and </w:t>
      </w:r>
      <w:proofErr w:type="spellStart"/>
      <w:r>
        <w:rPr>
          <w:rFonts w:ascii="Times New Roman" w:eastAsia="Times New Roman" w:hAnsi="Times New Roman" w:cs="Times New Roman"/>
          <w:color w:val="222222"/>
          <w:sz w:val="24"/>
          <w:szCs w:val="24"/>
        </w:rPr>
        <w:t>Hamidah</w:t>
      </w:r>
      <w:proofErr w:type="spellEnd"/>
      <w:r>
        <w:rPr>
          <w:rFonts w:ascii="Times New Roman" w:eastAsia="Times New Roman" w:hAnsi="Times New Roman" w:cs="Times New Roman"/>
          <w:color w:val="222222"/>
          <w:sz w:val="24"/>
          <w:szCs w:val="24"/>
        </w:rPr>
        <w:t xml:space="preserve">, H., </w:t>
      </w:r>
      <w:r>
        <w:rPr>
          <w:rFonts w:ascii="Times New Roman" w:eastAsia="Times New Roman" w:hAnsi="Times New Roman" w:cs="Times New Roman"/>
          <w:color w:val="222222"/>
          <w:sz w:val="24"/>
          <w:szCs w:val="24"/>
        </w:rPr>
        <w:t>2021. British-Qualified Accountants Outside the UK: Post-Brexit Case. </w:t>
      </w:r>
      <w:proofErr w:type="spellStart"/>
      <w:r>
        <w:rPr>
          <w:rFonts w:ascii="Times New Roman" w:eastAsia="Times New Roman" w:hAnsi="Times New Roman" w:cs="Times New Roman"/>
          <w:i/>
          <w:color w:val="222222"/>
          <w:sz w:val="24"/>
          <w:szCs w:val="24"/>
        </w:rPr>
        <w:t>Jurnal</w:t>
      </w:r>
      <w:proofErr w:type="spellEnd"/>
      <w:r>
        <w:rPr>
          <w:rFonts w:ascii="Times New Roman" w:eastAsia="Times New Roman" w:hAnsi="Times New Roman" w:cs="Times New Roman"/>
          <w:i/>
          <w:color w:val="222222"/>
          <w:sz w:val="24"/>
          <w:szCs w:val="24"/>
        </w:rPr>
        <w:t xml:space="preserve"> </w:t>
      </w:r>
      <w:proofErr w:type="spellStart"/>
      <w:r>
        <w:rPr>
          <w:rFonts w:ascii="Times New Roman" w:eastAsia="Times New Roman" w:hAnsi="Times New Roman" w:cs="Times New Roman"/>
          <w:i/>
          <w:color w:val="222222"/>
          <w:sz w:val="24"/>
          <w:szCs w:val="24"/>
        </w:rPr>
        <w:t>Ilmiah</w:t>
      </w:r>
      <w:proofErr w:type="spellEnd"/>
      <w:r>
        <w:rPr>
          <w:rFonts w:ascii="Times New Roman" w:eastAsia="Times New Roman" w:hAnsi="Times New Roman" w:cs="Times New Roman"/>
          <w:i/>
          <w:color w:val="222222"/>
          <w:sz w:val="24"/>
          <w:szCs w:val="24"/>
        </w:rPr>
        <w:t xml:space="preserve"> </w:t>
      </w:r>
      <w:proofErr w:type="spellStart"/>
      <w:r>
        <w:rPr>
          <w:rFonts w:ascii="Times New Roman" w:eastAsia="Times New Roman" w:hAnsi="Times New Roman" w:cs="Times New Roman"/>
          <w:i/>
          <w:color w:val="222222"/>
          <w:sz w:val="24"/>
          <w:szCs w:val="24"/>
        </w:rPr>
        <w:t>Akuntansi</w:t>
      </w:r>
      <w:proofErr w:type="spellEnd"/>
      <w:r>
        <w:rPr>
          <w:rFonts w:ascii="Times New Roman" w:eastAsia="Times New Roman" w:hAnsi="Times New Roman" w:cs="Times New Roman"/>
          <w:i/>
          <w:color w:val="222222"/>
          <w:sz w:val="24"/>
          <w:szCs w:val="24"/>
        </w:rPr>
        <w:t xml:space="preserve"> dan </w:t>
      </w:r>
      <w:proofErr w:type="spellStart"/>
      <w:r>
        <w:rPr>
          <w:rFonts w:ascii="Times New Roman" w:eastAsia="Times New Roman" w:hAnsi="Times New Roman" w:cs="Times New Roman"/>
          <w:i/>
          <w:color w:val="222222"/>
          <w:sz w:val="24"/>
          <w:szCs w:val="24"/>
        </w:rPr>
        <w:t>Bisnis</w:t>
      </w:r>
      <w:proofErr w:type="spellEnd"/>
      <w:r>
        <w:rPr>
          <w:rFonts w:ascii="Times New Roman" w:eastAsia="Times New Roman" w:hAnsi="Times New Roman" w:cs="Times New Roman"/>
          <w:color w:val="222222"/>
          <w:sz w:val="24"/>
          <w:szCs w:val="24"/>
        </w:rPr>
        <w:t>, </w:t>
      </w:r>
      <w:r>
        <w:rPr>
          <w:rFonts w:ascii="Times New Roman" w:eastAsia="Times New Roman" w:hAnsi="Times New Roman" w:cs="Times New Roman"/>
          <w:i/>
          <w:color w:val="222222"/>
          <w:sz w:val="24"/>
          <w:szCs w:val="24"/>
        </w:rPr>
        <w:t>16</w:t>
      </w:r>
      <w:r>
        <w:rPr>
          <w:rFonts w:ascii="Times New Roman" w:eastAsia="Times New Roman" w:hAnsi="Times New Roman" w:cs="Times New Roman"/>
          <w:color w:val="222222"/>
          <w:sz w:val="24"/>
          <w:szCs w:val="24"/>
        </w:rPr>
        <w:t>(1), pp.163-172.</w:t>
      </w:r>
      <w:r>
        <w:rPr>
          <w:rFonts w:ascii="Times New Roman" w:eastAsia="Times New Roman" w:hAnsi="Times New Roman" w:cs="Times New Roman"/>
          <w:sz w:val="24"/>
          <w:szCs w:val="24"/>
        </w:rPr>
        <w:t xml:space="preserve"> </w:t>
      </w:r>
    </w:p>
    <w:p w14:paraId="1BB22CC5"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Javorcik</w:t>
      </w:r>
      <w:proofErr w:type="spellEnd"/>
      <w:r>
        <w:rPr>
          <w:rFonts w:ascii="Times New Roman" w:eastAsia="Times New Roman" w:hAnsi="Times New Roman" w:cs="Times New Roman"/>
          <w:color w:val="222222"/>
          <w:sz w:val="24"/>
          <w:szCs w:val="24"/>
          <w:highlight w:val="white"/>
        </w:rPr>
        <w:t xml:space="preserve">, B., Stapleton, K., </w:t>
      </w:r>
      <w:proofErr w:type="spellStart"/>
      <w:r>
        <w:rPr>
          <w:rFonts w:ascii="Times New Roman" w:eastAsia="Times New Roman" w:hAnsi="Times New Roman" w:cs="Times New Roman"/>
          <w:color w:val="222222"/>
          <w:sz w:val="24"/>
          <w:szCs w:val="24"/>
          <w:highlight w:val="white"/>
        </w:rPr>
        <w:t>Kett</w:t>
      </w:r>
      <w:proofErr w:type="spellEnd"/>
      <w:r>
        <w:rPr>
          <w:rFonts w:ascii="Times New Roman" w:eastAsia="Times New Roman" w:hAnsi="Times New Roman" w:cs="Times New Roman"/>
          <w:color w:val="222222"/>
          <w:sz w:val="24"/>
          <w:szCs w:val="24"/>
          <w:highlight w:val="white"/>
        </w:rPr>
        <w:t>, B. and O’Kane, L., 2020. </w:t>
      </w:r>
      <w:r>
        <w:rPr>
          <w:rFonts w:ascii="Times New Roman" w:eastAsia="Times New Roman" w:hAnsi="Times New Roman" w:cs="Times New Roman"/>
          <w:i/>
          <w:color w:val="222222"/>
          <w:sz w:val="24"/>
          <w:szCs w:val="24"/>
          <w:highlight w:val="white"/>
        </w:rPr>
        <w:t xml:space="preserve">Unravelling deep integration: Local </w:t>
      </w:r>
      <w:proofErr w:type="spellStart"/>
      <w:r>
        <w:rPr>
          <w:rFonts w:ascii="Times New Roman" w:eastAsia="Times New Roman" w:hAnsi="Times New Roman" w:cs="Times New Roman"/>
          <w:i/>
          <w:color w:val="222222"/>
          <w:sz w:val="24"/>
          <w:szCs w:val="24"/>
          <w:highlight w:val="white"/>
        </w:rPr>
        <w:t>labour</w:t>
      </w:r>
      <w:proofErr w:type="spellEnd"/>
      <w:r>
        <w:rPr>
          <w:rFonts w:ascii="Times New Roman" w:eastAsia="Times New Roman" w:hAnsi="Times New Roman" w:cs="Times New Roman"/>
          <w:i/>
          <w:color w:val="222222"/>
          <w:sz w:val="24"/>
          <w:szCs w:val="24"/>
          <w:highlight w:val="white"/>
        </w:rPr>
        <w:t xml:space="preserve"> market effects of the </w:t>
      </w:r>
      <w:proofErr w:type="spellStart"/>
      <w:r>
        <w:rPr>
          <w:rFonts w:ascii="Times New Roman" w:eastAsia="Times New Roman" w:hAnsi="Times New Roman" w:cs="Times New Roman"/>
          <w:i/>
          <w:color w:val="222222"/>
          <w:sz w:val="24"/>
          <w:szCs w:val="24"/>
          <w:highlight w:val="white"/>
        </w:rPr>
        <w:t>brexi</w:t>
      </w:r>
      <w:r>
        <w:rPr>
          <w:rFonts w:ascii="Times New Roman" w:eastAsia="Times New Roman" w:hAnsi="Times New Roman" w:cs="Times New Roman"/>
          <w:i/>
          <w:color w:val="222222"/>
          <w:sz w:val="24"/>
          <w:szCs w:val="24"/>
          <w:highlight w:val="white"/>
        </w:rPr>
        <w:t>t</w:t>
      </w:r>
      <w:proofErr w:type="spellEnd"/>
      <w:r>
        <w:rPr>
          <w:rFonts w:ascii="Times New Roman" w:eastAsia="Times New Roman" w:hAnsi="Times New Roman" w:cs="Times New Roman"/>
          <w:i/>
          <w:color w:val="222222"/>
          <w:sz w:val="24"/>
          <w:szCs w:val="24"/>
          <w:highlight w:val="white"/>
        </w:rPr>
        <w:t xml:space="preserve"> vote</w:t>
      </w:r>
      <w:r>
        <w:rPr>
          <w:rFonts w:ascii="Times New Roman" w:eastAsia="Times New Roman" w:hAnsi="Times New Roman" w:cs="Times New Roman"/>
          <w:color w:val="222222"/>
          <w:sz w:val="24"/>
          <w:szCs w:val="24"/>
          <w:highlight w:val="white"/>
        </w:rPr>
        <w:t>. CEPR Discussion Paper.</w:t>
      </w:r>
      <w:r>
        <w:rPr>
          <w:rFonts w:ascii="Times New Roman" w:eastAsia="Times New Roman" w:hAnsi="Times New Roman" w:cs="Times New Roman"/>
          <w:color w:val="0E101A"/>
          <w:sz w:val="24"/>
          <w:szCs w:val="24"/>
          <w:highlight w:val="white"/>
        </w:rPr>
        <w:t xml:space="preserve"> </w:t>
      </w:r>
    </w:p>
    <w:p w14:paraId="1D6C34D2"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Ridgway, M., 2019. Brexit: human resourcing implications. </w:t>
      </w:r>
      <w:r>
        <w:rPr>
          <w:rFonts w:ascii="Times New Roman" w:eastAsia="Times New Roman" w:hAnsi="Times New Roman" w:cs="Times New Roman"/>
          <w:i/>
          <w:color w:val="222222"/>
          <w:sz w:val="24"/>
          <w:szCs w:val="24"/>
          <w:highlight w:val="white"/>
        </w:rPr>
        <w:t>Employee Relations: The International Journal</w:t>
      </w:r>
      <w:r>
        <w:rPr>
          <w:rFonts w:ascii="Times New Roman" w:eastAsia="Times New Roman" w:hAnsi="Times New Roman" w:cs="Times New Roman"/>
          <w:color w:val="222222"/>
          <w:sz w:val="24"/>
          <w:szCs w:val="24"/>
          <w:highlight w:val="white"/>
        </w:rPr>
        <w:t xml:space="preserve">. </w:t>
      </w:r>
    </w:p>
    <w:p w14:paraId="5B33190E"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Simionescu</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Strielkowski</w:t>
      </w:r>
      <w:proofErr w:type="spellEnd"/>
      <w:r>
        <w:rPr>
          <w:rFonts w:ascii="Times New Roman" w:eastAsia="Times New Roman" w:hAnsi="Times New Roman" w:cs="Times New Roman"/>
          <w:color w:val="222222"/>
          <w:sz w:val="24"/>
          <w:szCs w:val="24"/>
          <w:highlight w:val="white"/>
        </w:rPr>
        <w:t xml:space="preserve">, W. and </w:t>
      </w:r>
      <w:proofErr w:type="spellStart"/>
      <w:r>
        <w:rPr>
          <w:rFonts w:ascii="Times New Roman" w:eastAsia="Times New Roman" w:hAnsi="Times New Roman" w:cs="Times New Roman"/>
          <w:color w:val="222222"/>
          <w:sz w:val="24"/>
          <w:szCs w:val="24"/>
          <w:highlight w:val="white"/>
        </w:rPr>
        <w:t>Kalyugina</w:t>
      </w:r>
      <w:proofErr w:type="spellEnd"/>
      <w:r>
        <w:rPr>
          <w:rFonts w:ascii="Times New Roman" w:eastAsia="Times New Roman" w:hAnsi="Times New Roman" w:cs="Times New Roman"/>
          <w:color w:val="222222"/>
          <w:sz w:val="24"/>
          <w:szCs w:val="24"/>
          <w:highlight w:val="white"/>
        </w:rPr>
        <w:t xml:space="preserve">, S., 2017. The impact of Brexit on </w:t>
      </w:r>
      <w:proofErr w:type="spellStart"/>
      <w:r>
        <w:rPr>
          <w:rFonts w:ascii="Times New Roman" w:eastAsia="Times New Roman" w:hAnsi="Times New Roman" w:cs="Times New Roman"/>
          <w:color w:val="222222"/>
          <w:sz w:val="24"/>
          <w:szCs w:val="24"/>
          <w:highlight w:val="white"/>
        </w:rPr>
        <w:t>labour</w:t>
      </w:r>
      <w:proofErr w:type="spellEnd"/>
      <w:r>
        <w:rPr>
          <w:rFonts w:ascii="Times New Roman" w:eastAsia="Times New Roman" w:hAnsi="Times New Roman" w:cs="Times New Roman"/>
          <w:color w:val="222222"/>
          <w:sz w:val="24"/>
          <w:szCs w:val="24"/>
          <w:highlight w:val="white"/>
        </w:rPr>
        <w:t xml:space="preserve"> migration and </w:t>
      </w:r>
      <w:proofErr w:type="spellStart"/>
      <w:r>
        <w:rPr>
          <w:rFonts w:ascii="Times New Roman" w:eastAsia="Times New Roman" w:hAnsi="Times New Roman" w:cs="Times New Roman"/>
          <w:color w:val="222222"/>
          <w:sz w:val="24"/>
          <w:szCs w:val="24"/>
          <w:highlight w:val="white"/>
        </w:rPr>
        <w:t>labour</w:t>
      </w:r>
      <w:proofErr w:type="spellEnd"/>
      <w:r>
        <w:rPr>
          <w:rFonts w:ascii="Times New Roman" w:eastAsia="Times New Roman" w:hAnsi="Times New Roman" w:cs="Times New Roman"/>
          <w:color w:val="222222"/>
          <w:sz w:val="24"/>
          <w:szCs w:val="24"/>
          <w:highlight w:val="white"/>
        </w:rPr>
        <w:t xml:space="preserve"> markets </w:t>
      </w:r>
      <w:r>
        <w:rPr>
          <w:rFonts w:ascii="Times New Roman" w:eastAsia="Times New Roman" w:hAnsi="Times New Roman" w:cs="Times New Roman"/>
          <w:color w:val="222222"/>
          <w:sz w:val="24"/>
          <w:szCs w:val="24"/>
          <w:highlight w:val="white"/>
        </w:rPr>
        <w:t>in the United Kingdom and the EU. </w:t>
      </w:r>
      <w:r>
        <w:rPr>
          <w:rFonts w:ascii="Times New Roman" w:eastAsia="Times New Roman" w:hAnsi="Times New Roman" w:cs="Times New Roman"/>
          <w:i/>
          <w:color w:val="222222"/>
          <w:sz w:val="24"/>
          <w:szCs w:val="24"/>
          <w:highlight w:val="white"/>
        </w:rPr>
        <w:t>Terra Economicus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 pp.148-156.</w:t>
      </w:r>
      <w:r>
        <w:rPr>
          <w:rFonts w:ascii="Times New Roman" w:eastAsia="Times New Roman" w:hAnsi="Times New Roman" w:cs="Times New Roman"/>
          <w:color w:val="0E101A"/>
          <w:sz w:val="24"/>
          <w:szCs w:val="24"/>
          <w:highlight w:val="white"/>
        </w:rPr>
        <w:t xml:space="preserve"> </w:t>
      </w:r>
    </w:p>
    <w:p w14:paraId="525513D6" w14:textId="77777777" w:rsidR="00CD2FF8" w:rsidRDefault="00864AE4">
      <w:pPr>
        <w:pStyle w:val="LO-normal"/>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highlight w:val="white"/>
        </w:rPr>
        <w:t xml:space="preserve">Wadsworth, J. 2018. Off EU go? Brexit, the UK </w:t>
      </w:r>
      <w:proofErr w:type="spellStart"/>
      <w:r>
        <w:rPr>
          <w:rFonts w:ascii="Times New Roman" w:eastAsia="Times New Roman" w:hAnsi="Times New Roman" w:cs="Times New Roman"/>
          <w:color w:val="0E101A"/>
          <w:sz w:val="24"/>
          <w:szCs w:val="24"/>
          <w:highlight w:val="white"/>
        </w:rPr>
        <w:t>labour</w:t>
      </w:r>
      <w:proofErr w:type="spellEnd"/>
      <w:r>
        <w:rPr>
          <w:rFonts w:ascii="Times New Roman" w:eastAsia="Times New Roman" w:hAnsi="Times New Roman" w:cs="Times New Roman"/>
          <w:color w:val="0E101A"/>
          <w:sz w:val="24"/>
          <w:szCs w:val="24"/>
          <w:highlight w:val="white"/>
        </w:rPr>
        <w:t xml:space="preserve"> market and immigration. </w:t>
      </w:r>
      <w:r>
        <w:rPr>
          <w:rFonts w:ascii="Times New Roman" w:eastAsia="Times New Roman" w:hAnsi="Times New Roman" w:cs="Times New Roman"/>
          <w:i/>
          <w:color w:val="0E101A"/>
          <w:sz w:val="24"/>
          <w:szCs w:val="24"/>
          <w:highlight w:val="white"/>
        </w:rPr>
        <w:t>Fiscal Studies</w:t>
      </w:r>
      <w:r>
        <w:rPr>
          <w:rFonts w:ascii="Times New Roman" w:eastAsia="Times New Roman" w:hAnsi="Times New Roman" w:cs="Times New Roman"/>
          <w:color w:val="0E101A"/>
          <w:sz w:val="24"/>
          <w:szCs w:val="24"/>
          <w:highlight w:val="white"/>
        </w:rPr>
        <w:t xml:space="preserve">, </w:t>
      </w:r>
      <w:r>
        <w:rPr>
          <w:rFonts w:ascii="Times New Roman" w:eastAsia="Times New Roman" w:hAnsi="Times New Roman" w:cs="Times New Roman"/>
          <w:i/>
          <w:color w:val="0E101A"/>
          <w:sz w:val="24"/>
          <w:szCs w:val="24"/>
          <w:highlight w:val="white"/>
        </w:rPr>
        <w:t>39</w:t>
      </w:r>
      <w:r>
        <w:rPr>
          <w:rFonts w:ascii="Times New Roman" w:eastAsia="Times New Roman" w:hAnsi="Times New Roman" w:cs="Times New Roman"/>
          <w:color w:val="0E101A"/>
          <w:sz w:val="24"/>
          <w:szCs w:val="24"/>
          <w:highlight w:val="white"/>
        </w:rPr>
        <w:t>(4), 625-649.</w:t>
      </w:r>
    </w:p>
    <w:p w14:paraId="24E6EC35" w14:textId="77777777" w:rsidR="00CD2FF8" w:rsidRDefault="00CD2FF8">
      <w:pPr>
        <w:pStyle w:val="LO-normal"/>
        <w:spacing w:line="360" w:lineRule="auto"/>
        <w:jc w:val="both"/>
        <w:rPr>
          <w:rFonts w:ascii="Times New Roman" w:eastAsia="Times New Roman" w:hAnsi="Times New Roman" w:cs="Times New Roman"/>
          <w:sz w:val="24"/>
          <w:szCs w:val="24"/>
        </w:rPr>
      </w:pPr>
    </w:p>
    <w:sectPr w:rsidR="00CD2FF8">
      <w:headerReference w:type="default" r:id="rId11"/>
      <w:pgSz w:w="12240" w:h="15840"/>
      <w:pgMar w:top="1440" w:right="1440" w:bottom="1440" w:left="1440" w:header="720" w:footer="0"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5AA3A" w14:textId="77777777" w:rsidR="00864AE4" w:rsidRDefault="00864AE4">
      <w:pPr>
        <w:spacing w:line="240" w:lineRule="auto"/>
      </w:pPr>
      <w:r>
        <w:separator/>
      </w:r>
    </w:p>
  </w:endnote>
  <w:endnote w:type="continuationSeparator" w:id="0">
    <w:p w14:paraId="53CE9155" w14:textId="77777777" w:rsidR="00864AE4" w:rsidRDefault="00864A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A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6483D" w14:textId="77777777" w:rsidR="00864AE4" w:rsidRDefault="00864AE4">
      <w:pPr>
        <w:spacing w:line="240" w:lineRule="auto"/>
      </w:pPr>
      <w:r>
        <w:separator/>
      </w:r>
    </w:p>
  </w:footnote>
  <w:footnote w:type="continuationSeparator" w:id="0">
    <w:p w14:paraId="0C705512" w14:textId="77777777" w:rsidR="00864AE4" w:rsidRDefault="00864A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792EE" w14:textId="77777777" w:rsidR="00CD2FF8" w:rsidRDefault="00864AE4">
    <w:pPr>
      <w:pStyle w:val="LO-normal"/>
      <w:tabs>
        <w:tab w:val="center" w:pos="4513"/>
        <w:tab w:val="right" w:pos="9026"/>
      </w:tabs>
      <w:spacing w:line="240" w:lineRule="auto"/>
      <w:jc w:val="right"/>
      <w:rPr>
        <w:color w:val="000000"/>
      </w:rPr>
    </w:pPr>
    <w:r>
      <w:fldChar w:fldCharType="begin"/>
    </w:r>
    <w:r>
      <w:instrText>PAGE</w:instrText>
    </w:r>
    <w:r>
      <w:fldChar w:fldCharType="separate"/>
    </w:r>
    <w:r>
      <w:t>12</w:t>
    </w:r>
    <w:r>
      <w:fldChar w:fldCharType="end"/>
    </w:r>
  </w:p>
  <w:p w14:paraId="5A4CA6CD" w14:textId="77777777" w:rsidR="00CD2FF8" w:rsidRDefault="00CD2FF8">
    <w:pPr>
      <w:pStyle w:val="LO-normal"/>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FF8"/>
    <w:rsid w:val="00480EFC"/>
    <w:rsid w:val="004F615E"/>
    <w:rsid w:val="006A6C6F"/>
    <w:rsid w:val="00864AE4"/>
    <w:rsid w:val="0091752F"/>
    <w:rsid w:val="009D28BB"/>
    <w:rsid w:val="00A37EBB"/>
    <w:rsid w:val="00A959FA"/>
    <w:rsid w:val="00B16F45"/>
    <w:rsid w:val="00CD2FF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45A89039"/>
  <w15:docId w15:val="{7A620090-16F2-6746-8C96-D57BA13E1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line="276" w:lineRule="auto"/>
    </w:pPr>
    <w:rPr>
      <w:lang w:eastAsia="en-IN" w:bidi="ar-SA"/>
    </w:rPr>
  </w:style>
  <w:style w:type="paragraph" w:styleId="Titolo1">
    <w:name w:val="heading 1"/>
    <w:basedOn w:val="LO-normal"/>
    <w:next w:val="LO-normal"/>
    <w:uiPriority w:val="9"/>
    <w:qFormat/>
    <w:rsid w:val="006E6196"/>
    <w:pPr>
      <w:keepNext/>
      <w:keepLines/>
      <w:spacing w:before="400" w:after="120"/>
      <w:jc w:val="center"/>
      <w:outlineLvl w:val="0"/>
    </w:pPr>
    <w:rPr>
      <w:rFonts w:ascii="Times New Roman" w:hAnsi="Times New Roman"/>
      <w:b/>
      <w:sz w:val="28"/>
      <w:szCs w:val="40"/>
    </w:rPr>
  </w:style>
  <w:style w:type="paragraph" w:styleId="Titolo2">
    <w:name w:val="heading 2"/>
    <w:basedOn w:val="LO-normal"/>
    <w:next w:val="LO-normal"/>
    <w:uiPriority w:val="9"/>
    <w:semiHidden/>
    <w:unhideWhenUsed/>
    <w:qFormat/>
    <w:rsid w:val="006E6196"/>
    <w:pPr>
      <w:keepNext/>
      <w:keepLines/>
      <w:spacing w:before="360" w:after="120"/>
      <w:outlineLvl w:val="1"/>
    </w:pPr>
    <w:rPr>
      <w:rFonts w:ascii="Times New Roman" w:hAnsi="Times New Roman"/>
      <w:b/>
      <w:sz w:val="24"/>
      <w:szCs w:val="32"/>
    </w:rPr>
  </w:style>
  <w:style w:type="paragraph" w:styleId="Titolo3">
    <w:name w:val="heading 3"/>
    <w:basedOn w:val="LO-normal"/>
    <w:next w:val="LO-normal"/>
    <w:uiPriority w:val="9"/>
    <w:semiHidden/>
    <w:unhideWhenUsed/>
    <w:qFormat/>
    <w:pPr>
      <w:keepNext/>
      <w:keepLines/>
      <w:spacing w:before="320" w:after="80"/>
      <w:outlineLvl w:val="2"/>
    </w:pPr>
    <w:rPr>
      <w:color w:val="434343"/>
      <w:sz w:val="28"/>
      <w:szCs w:val="28"/>
    </w:rPr>
  </w:style>
  <w:style w:type="paragraph" w:styleId="Titolo4">
    <w:name w:val="heading 4"/>
    <w:basedOn w:val="LO-normal"/>
    <w:next w:val="LO-normal"/>
    <w:uiPriority w:val="9"/>
    <w:semiHidden/>
    <w:unhideWhenUsed/>
    <w:qFormat/>
    <w:pPr>
      <w:keepNext/>
      <w:keepLines/>
      <w:spacing w:before="280" w:after="80"/>
      <w:outlineLvl w:val="3"/>
    </w:pPr>
    <w:rPr>
      <w:color w:val="666666"/>
      <w:sz w:val="24"/>
      <w:szCs w:val="24"/>
    </w:rPr>
  </w:style>
  <w:style w:type="paragraph" w:styleId="Titolo5">
    <w:name w:val="heading 5"/>
    <w:basedOn w:val="LO-normal"/>
    <w:next w:val="LO-normal"/>
    <w:uiPriority w:val="9"/>
    <w:semiHidden/>
    <w:unhideWhenUsed/>
    <w:qFormat/>
    <w:pPr>
      <w:keepNext/>
      <w:keepLines/>
      <w:spacing w:before="240" w:after="80"/>
      <w:outlineLvl w:val="4"/>
    </w:pPr>
    <w:rPr>
      <w:color w:val="666666"/>
    </w:rPr>
  </w:style>
  <w:style w:type="paragraph" w:styleId="Titolo6">
    <w:name w:val="heading 6"/>
    <w:basedOn w:val="LO-normal"/>
    <w:next w:val="LO-normal"/>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6E6196"/>
  </w:style>
  <w:style w:type="character" w:customStyle="1" w:styleId="PidipaginaCarattere">
    <w:name w:val="Piè di pagina Carattere"/>
    <w:basedOn w:val="Carpredefinitoparagrafo"/>
    <w:link w:val="Pidipagina"/>
    <w:uiPriority w:val="99"/>
    <w:qFormat/>
    <w:rsid w:val="006E6196"/>
  </w:style>
  <w:style w:type="character" w:styleId="Collegamentoipertestuale">
    <w:name w:val="Hyperlink"/>
    <w:basedOn w:val="Carpredefinitoparagrafo"/>
    <w:uiPriority w:val="99"/>
    <w:unhideWhenUsed/>
    <w:rsid w:val="006E6196"/>
    <w:rPr>
      <w:color w:val="0000FF" w:themeColor="hyperlink"/>
      <w:u w:val="single"/>
    </w:rPr>
  </w:style>
  <w:style w:type="character" w:styleId="Rimandocommento">
    <w:name w:val="annotation reference"/>
    <w:basedOn w:val="Carpredefinitoparagrafo"/>
    <w:uiPriority w:val="99"/>
    <w:semiHidden/>
    <w:unhideWhenUsed/>
    <w:qFormat/>
    <w:rsid w:val="006E6196"/>
    <w:rPr>
      <w:sz w:val="16"/>
      <w:szCs w:val="16"/>
    </w:rPr>
  </w:style>
  <w:style w:type="character" w:customStyle="1" w:styleId="TestocommentoCarattere">
    <w:name w:val="Testo commento Carattere"/>
    <w:basedOn w:val="Carpredefinitoparagrafo"/>
    <w:link w:val="Testocommento"/>
    <w:uiPriority w:val="99"/>
    <w:semiHidden/>
    <w:qFormat/>
    <w:rsid w:val="006E6196"/>
    <w:rPr>
      <w:sz w:val="20"/>
      <w:szCs w:val="20"/>
    </w:rPr>
  </w:style>
  <w:style w:type="character" w:customStyle="1" w:styleId="SoggettocommentoCarattere">
    <w:name w:val="Soggetto commento Carattere"/>
    <w:basedOn w:val="TestocommentoCarattere"/>
    <w:link w:val="Soggettocommento"/>
    <w:uiPriority w:val="99"/>
    <w:semiHidden/>
    <w:qFormat/>
    <w:rsid w:val="006E6196"/>
    <w:rPr>
      <w:b/>
      <w:bCs/>
      <w:sz w:val="20"/>
      <w:szCs w:val="20"/>
    </w:rPr>
  </w:style>
  <w:style w:type="character" w:customStyle="1" w:styleId="TestofumettoCarattere">
    <w:name w:val="Testo fumetto Carattere"/>
    <w:basedOn w:val="Carpredefinitoparagrafo"/>
    <w:link w:val="Testofumetto"/>
    <w:uiPriority w:val="99"/>
    <w:semiHidden/>
    <w:qFormat/>
    <w:rsid w:val="006E6196"/>
    <w:rPr>
      <w:rFonts w:ascii="Segoe UI" w:hAnsi="Segoe UI" w:cs="Segoe UI"/>
      <w:sz w:val="18"/>
      <w:szCs w:val="18"/>
    </w:rPr>
  </w:style>
  <w:style w:type="character" w:customStyle="1" w:styleId="IndexLink">
    <w:name w:val="Index Link"/>
    <w:qFormat/>
  </w:style>
  <w:style w:type="paragraph" w:customStyle="1" w:styleId="Heading">
    <w:name w:val="Heading"/>
    <w:basedOn w:val="LO-normal"/>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LO-normal"/>
    <w:pPr>
      <w:spacing w:after="140"/>
    </w:pPr>
  </w:style>
  <w:style w:type="paragraph" w:styleId="Elenco">
    <w:name w:val="List"/>
    <w:basedOn w:val="Corpotesto"/>
    <w:rPr>
      <w:rFonts w:cs="Lucida Sans"/>
    </w:rPr>
  </w:style>
  <w:style w:type="paragraph" w:styleId="Didascalia">
    <w:name w:val="caption"/>
    <w:basedOn w:val="LO-normal"/>
    <w:qFormat/>
    <w:pPr>
      <w:suppressLineNumbers/>
      <w:spacing w:before="120" w:after="120"/>
    </w:pPr>
    <w:rPr>
      <w:rFonts w:cs="Lucida Sans"/>
      <w:i/>
      <w:iCs/>
      <w:sz w:val="24"/>
      <w:szCs w:val="24"/>
    </w:rPr>
  </w:style>
  <w:style w:type="paragraph" w:customStyle="1" w:styleId="Index">
    <w:name w:val="Index"/>
    <w:basedOn w:val="LO-normal"/>
    <w:qFormat/>
    <w:pPr>
      <w:suppressLineNumbers/>
    </w:pPr>
    <w:rPr>
      <w:rFonts w:cs="Lucida Sans"/>
      <w:lang/>
    </w:rPr>
  </w:style>
  <w:style w:type="paragraph" w:customStyle="1" w:styleId="LO-normal">
    <w:name w:val="LO-normal"/>
    <w:qFormat/>
    <w:pPr>
      <w:spacing w:line="276" w:lineRule="auto"/>
    </w:pPr>
  </w:style>
  <w:style w:type="paragraph" w:styleId="Titolo">
    <w:name w:val="Title"/>
    <w:basedOn w:val="LO-normal"/>
    <w:next w:val="LO-normal"/>
    <w:uiPriority w:val="10"/>
    <w:qFormat/>
    <w:pPr>
      <w:keepNext/>
      <w:keepLines/>
      <w:spacing w:after="60"/>
    </w:pPr>
    <w:rPr>
      <w:sz w:val="52"/>
      <w:szCs w:val="52"/>
    </w:rPr>
  </w:style>
  <w:style w:type="paragraph" w:styleId="Sottotitolo">
    <w:name w:val="Subtitle"/>
    <w:basedOn w:val="LO-normal"/>
    <w:next w:val="LO-normal"/>
    <w:uiPriority w:val="11"/>
    <w:qFormat/>
    <w:pPr>
      <w:keepNext/>
      <w:keepLines/>
      <w:spacing w:after="320" w:line="240" w:lineRule="auto"/>
    </w:pPr>
    <w:rPr>
      <w:color w:val="666666"/>
      <w:sz w:val="30"/>
      <w:szCs w:val="30"/>
    </w:rPr>
  </w:style>
  <w:style w:type="paragraph" w:customStyle="1" w:styleId="HeaderandFooter">
    <w:name w:val="Header and Footer"/>
    <w:basedOn w:val="LO-normal"/>
    <w:qFormat/>
  </w:style>
  <w:style w:type="paragraph" w:styleId="Intestazione">
    <w:name w:val="header"/>
    <w:basedOn w:val="LO-normal"/>
    <w:link w:val="IntestazioneCarattere"/>
    <w:uiPriority w:val="99"/>
    <w:unhideWhenUsed/>
    <w:rsid w:val="006E6196"/>
    <w:pPr>
      <w:tabs>
        <w:tab w:val="center" w:pos="4513"/>
        <w:tab w:val="right" w:pos="9026"/>
      </w:tabs>
      <w:spacing w:line="240" w:lineRule="auto"/>
    </w:pPr>
  </w:style>
  <w:style w:type="paragraph" w:styleId="Pidipagina">
    <w:name w:val="footer"/>
    <w:basedOn w:val="LO-normal"/>
    <w:link w:val="PidipaginaCarattere"/>
    <w:uiPriority w:val="99"/>
    <w:unhideWhenUsed/>
    <w:rsid w:val="006E6196"/>
    <w:pPr>
      <w:tabs>
        <w:tab w:val="center" w:pos="4513"/>
        <w:tab w:val="right" w:pos="9026"/>
      </w:tabs>
      <w:spacing w:line="240" w:lineRule="auto"/>
    </w:pPr>
  </w:style>
  <w:style w:type="paragraph" w:styleId="Titoloindice">
    <w:name w:val="index heading"/>
    <w:basedOn w:val="Heading"/>
  </w:style>
  <w:style w:type="paragraph" w:styleId="Titolosommario">
    <w:name w:val="TOC Heading"/>
    <w:basedOn w:val="Titolo1"/>
    <w:next w:val="LO-normal"/>
    <w:uiPriority w:val="39"/>
    <w:unhideWhenUsed/>
    <w:qFormat/>
    <w:rsid w:val="006E619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Sommario1">
    <w:name w:val="toc 1"/>
    <w:basedOn w:val="LO-normal"/>
    <w:next w:val="LO-normal"/>
    <w:autoRedefine/>
    <w:uiPriority w:val="39"/>
    <w:unhideWhenUsed/>
    <w:rsid w:val="006E6196"/>
    <w:pPr>
      <w:spacing w:after="100"/>
    </w:pPr>
  </w:style>
  <w:style w:type="paragraph" w:styleId="Sommario2">
    <w:name w:val="toc 2"/>
    <w:basedOn w:val="LO-normal"/>
    <w:next w:val="LO-normal"/>
    <w:autoRedefine/>
    <w:uiPriority w:val="39"/>
    <w:unhideWhenUsed/>
    <w:rsid w:val="006E6196"/>
    <w:pPr>
      <w:spacing w:after="100"/>
      <w:ind w:left="220"/>
    </w:pPr>
  </w:style>
  <w:style w:type="paragraph" w:styleId="Testocommento">
    <w:name w:val="annotation text"/>
    <w:basedOn w:val="LO-normal"/>
    <w:link w:val="TestocommentoCarattere"/>
    <w:uiPriority w:val="99"/>
    <w:semiHidden/>
    <w:unhideWhenUsed/>
    <w:qFormat/>
    <w:rsid w:val="006E6196"/>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6E6196"/>
    <w:rPr>
      <w:b/>
      <w:bCs/>
    </w:rPr>
  </w:style>
  <w:style w:type="paragraph" w:styleId="Testofumetto">
    <w:name w:val="Balloon Text"/>
    <w:basedOn w:val="LO-normal"/>
    <w:link w:val="TestofumettoCarattere"/>
    <w:uiPriority w:val="99"/>
    <w:semiHidden/>
    <w:unhideWhenUsed/>
    <w:qFormat/>
    <w:rsid w:val="006E6196"/>
    <w:pPr>
      <w:spacing w:line="240" w:lineRule="auto"/>
    </w:pPr>
    <w:rPr>
      <w:rFonts w:ascii="Segoe UI" w:hAnsi="Segoe UI" w:cs="Segoe UI"/>
      <w:sz w:val="18"/>
      <w:szCs w:val="1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h1GEe1zc05tBMhIFftLy0faG7FXA==">AMUW2mVp0k69vvPobnsFVz5tbPFQd96e1XHkzw7YGwCo8p5eLRKms8cdpkEemfF6ZdFX+r0vHYJ4XkuurRBj2TBG8tPYESMHAh1rHxdyzbTkpoPBQGwvumAlLe/LKGSQJGitkE72D0TTD8A+Dqy8ymhVq+v5sUfN4izCiaH2muXzR9GWVdjGrQ6DypksuNxTQ+7aodh4lmdWYHAV+a/ks7QYjhKvY7YDfNFgmalOi1u8yyhybOGBgPgvhBgA96TZHIPvRAOpEchu+u2Tk+UN9t1GaIM5QzDMHm51G1KPKL0fvTJdLgPMdK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2775</Words>
  <Characters>15818</Characters>
  <Application>Microsoft Office Word</Application>
  <DocSecurity>0</DocSecurity>
  <Lines>131</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Giocoli</dc:creator>
  <dc:description/>
  <cp:lastModifiedBy>Federica Giocoli</cp:lastModifiedBy>
  <cp:revision>2</cp:revision>
  <dcterms:created xsi:type="dcterms:W3CDTF">2022-04-25T17:22:00Z</dcterms:created>
  <dcterms:modified xsi:type="dcterms:W3CDTF">2022-04-25T17:22:00Z</dcterms:modified>
  <dc:language>en-IN</dc:language>
</cp:coreProperties>
</file>