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6EEE" w:rsidRDefault="004B630E" w:rsidP="004B630E">
      <w:pPr>
        <w:jc w:val="center"/>
        <w:rPr>
          <w:rFonts w:asciiTheme="majorHAnsi" w:hAnsiTheme="majorHAnsi"/>
          <w:sz w:val="28"/>
          <w:szCs w:val="28"/>
        </w:rPr>
      </w:pPr>
      <w:r w:rsidRPr="004B630E">
        <w:rPr>
          <w:rFonts w:asciiTheme="majorHAnsi" w:hAnsiTheme="majorHAnsi"/>
          <w:sz w:val="28"/>
          <w:szCs w:val="28"/>
        </w:rPr>
        <w:t>Banking and Financial Economics</w:t>
      </w:r>
    </w:p>
    <w:p w:rsidR="00255F4D" w:rsidRPr="00255F4D" w:rsidRDefault="00255F4D" w:rsidP="00DB4824">
      <w:pPr>
        <w:jc w:val="left"/>
        <w:rPr>
          <w:rFonts w:asciiTheme="majorHAnsi" w:hAnsiTheme="majorHAnsi"/>
          <w:sz w:val="24"/>
          <w:szCs w:val="24"/>
          <w:lang w:val="en-GB"/>
        </w:rPr>
      </w:pPr>
    </w:p>
    <w:p w:rsidR="00775C86" w:rsidRPr="00775C86" w:rsidRDefault="00960891" w:rsidP="00775C86">
      <w:pPr>
        <w:jc w:val="left"/>
        <w:rPr>
          <w:rFonts w:asciiTheme="majorHAnsi" w:hAnsiTheme="majorHAnsi"/>
          <w:b/>
          <w:sz w:val="24"/>
          <w:szCs w:val="24"/>
        </w:rPr>
      </w:pPr>
      <w:r>
        <w:rPr>
          <w:rFonts w:asciiTheme="majorHAnsi" w:hAnsiTheme="majorHAnsi"/>
          <w:b/>
          <w:sz w:val="24"/>
          <w:szCs w:val="24"/>
        </w:rPr>
        <w:t>Part</w:t>
      </w:r>
      <w:r>
        <w:rPr>
          <w:rFonts w:asciiTheme="majorHAnsi" w:hAnsiTheme="majorHAnsi" w:hint="eastAsia"/>
          <w:b/>
          <w:sz w:val="24"/>
          <w:szCs w:val="24"/>
        </w:rPr>
        <w:t xml:space="preserve"> B. Q</w:t>
      </w:r>
      <w:r w:rsidRPr="00775C86">
        <w:rPr>
          <w:rFonts w:asciiTheme="majorHAnsi" w:hAnsiTheme="majorHAnsi"/>
          <w:b/>
          <w:sz w:val="24"/>
          <w:szCs w:val="24"/>
        </w:rPr>
        <w:t>uantitatively</w:t>
      </w:r>
      <w:r w:rsidR="00775C86" w:rsidRPr="00775C86">
        <w:rPr>
          <w:rFonts w:asciiTheme="majorHAnsi" w:hAnsiTheme="majorHAnsi" w:hint="eastAsia"/>
          <w:b/>
          <w:sz w:val="24"/>
          <w:szCs w:val="24"/>
        </w:rPr>
        <w:t xml:space="preserve"> review the share price </w:t>
      </w:r>
      <w:r w:rsidR="00775C86" w:rsidRPr="00775C86">
        <w:rPr>
          <w:rFonts w:asciiTheme="majorHAnsi" w:hAnsiTheme="majorHAnsi"/>
          <w:b/>
          <w:sz w:val="24"/>
          <w:szCs w:val="24"/>
        </w:rPr>
        <w:t>performance</w:t>
      </w:r>
      <w:r w:rsidR="00775C86" w:rsidRPr="00775C86">
        <w:rPr>
          <w:rFonts w:asciiTheme="majorHAnsi" w:hAnsiTheme="majorHAnsi" w:hint="eastAsia"/>
          <w:b/>
          <w:sz w:val="24"/>
          <w:szCs w:val="24"/>
        </w:rPr>
        <w:t xml:space="preserve"> of </w:t>
      </w:r>
      <w:r>
        <w:rPr>
          <w:rFonts w:asciiTheme="majorHAnsi" w:hAnsiTheme="majorHAnsi" w:hint="eastAsia"/>
          <w:b/>
          <w:sz w:val="24"/>
          <w:szCs w:val="24"/>
        </w:rPr>
        <w:t>Uber</w:t>
      </w:r>
    </w:p>
    <w:p w:rsidR="003709C5" w:rsidRDefault="00960891" w:rsidP="003709C5">
      <w:pPr>
        <w:jc w:val="left"/>
        <w:rPr>
          <w:rFonts w:asciiTheme="majorHAnsi" w:hAnsiTheme="majorHAnsi"/>
          <w:b/>
          <w:sz w:val="24"/>
          <w:szCs w:val="24"/>
        </w:rPr>
      </w:pPr>
      <w:r w:rsidRPr="00775C86">
        <w:rPr>
          <w:rFonts w:asciiTheme="majorHAnsi" w:hAnsiTheme="majorHAnsi"/>
          <w:b/>
          <w:sz w:val="24"/>
          <w:szCs w:val="24"/>
        </w:rPr>
        <w:t>a)</w:t>
      </w:r>
      <w:r>
        <w:rPr>
          <w:rFonts w:asciiTheme="majorHAnsi" w:hAnsiTheme="majorHAnsi"/>
          <w:b/>
          <w:sz w:val="24"/>
          <w:szCs w:val="24"/>
        </w:rPr>
        <w:t xml:space="preserve"> Uber’s</w:t>
      </w:r>
      <w:r>
        <w:rPr>
          <w:rFonts w:asciiTheme="majorHAnsi" w:hAnsiTheme="majorHAnsi" w:hint="eastAsia"/>
          <w:b/>
          <w:sz w:val="24"/>
          <w:szCs w:val="24"/>
        </w:rPr>
        <w:t xml:space="preserve"> price</w:t>
      </w:r>
      <w:r w:rsidR="003709C5" w:rsidRPr="003709C5">
        <w:rPr>
          <w:rFonts w:asciiTheme="majorHAnsi" w:hAnsiTheme="majorHAnsi" w:hint="eastAsia"/>
          <w:b/>
          <w:sz w:val="24"/>
          <w:szCs w:val="24"/>
        </w:rPr>
        <w:t xml:space="preserve"> performance</w:t>
      </w:r>
    </w:p>
    <w:p w:rsidR="00960891" w:rsidRPr="003709C5" w:rsidRDefault="00960891" w:rsidP="003709C5">
      <w:pPr>
        <w:jc w:val="left"/>
        <w:rPr>
          <w:rFonts w:asciiTheme="majorHAnsi" w:hAnsiTheme="majorHAnsi"/>
          <w:b/>
          <w:sz w:val="24"/>
          <w:szCs w:val="24"/>
        </w:rPr>
      </w:pPr>
      <w:r>
        <w:rPr>
          <w:rFonts w:asciiTheme="majorHAnsi" w:hAnsiTheme="majorHAnsi"/>
          <w:b/>
          <w:noProof/>
          <w:sz w:val="24"/>
          <w:szCs w:val="24"/>
        </w:rPr>
        <w:drawing>
          <wp:anchor distT="0" distB="0" distL="114300" distR="114300" simplePos="0" relativeHeight="251659264" behindDoc="0" locked="0" layoutInCell="1" allowOverlap="1">
            <wp:simplePos x="0" y="0"/>
            <wp:positionH relativeFrom="column">
              <wp:posOffset>3369945</wp:posOffset>
            </wp:positionH>
            <wp:positionV relativeFrom="paragraph">
              <wp:posOffset>245745</wp:posOffset>
            </wp:positionV>
            <wp:extent cx="3455670" cy="1478915"/>
            <wp:effectExtent l="19050" t="0" r="0" b="0"/>
            <wp:wrapSquare wrapText="bothSides"/>
            <wp:docPr id="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srcRect/>
                    <a:stretch>
                      <a:fillRect/>
                    </a:stretch>
                  </pic:blipFill>
                  <pic:spPr bwMode="auto">
                    <a:xfrm>
                      <a:off x="0" y="0"/>
                      <a:ext cx="3455670" cy="1478915"/>
                    </a:xfrm>
                    <a:prstGeom prst="rect">
                      <a:avLst/>
                    </a:prstGeom>
                    <a:noFill/>
                    <a:ln w="9525">
                      <a:noFill/>
                      <a:miter lim="800000"/>
                      <a:headEnd/>
                      <a:tailEnd/>
                    </a:ln>
                  </pic:spPr>
                </pic:pic>
              </a:graphicData>
            </a:graphic>
          </wp:anchor>
        </w:drawing>
      </w:r>
    </w:p>
    <w:p w:rsidR="00775C86" w:rsidRDefault="00960891" w:rsidP="00775C86">
      <w:pPr>
        <w:jc w:val="left"/>
        <w:rPr>
          <w:rFonts w:asciiTheme="majorHAnsi" w:hAnsiTheme="majorHAnsi"/>
          <w:b/>
          <w:sz w:val="24"/>
          <w:szCs w:val="24"/>
        </w:rPr>
      </w:pPr>
      <w:r>
        <w:rPr>
          <w:rFonts w:asciiTheme="majorHAnsi" w:hAnsiTheme="majorHAnsi"/>
          <w:b/>
          <w:noProof/>
          <w:sz w:val="24"/>
          <w:szCs w:val="24"/>
        </w:rPr>
        <w:drawing>
          <wp:anchor distT="0" distB="0" distL="114300" distR="114300" simplePos="0" relativeHeight="251658240" behindDoc="0" locked="0" layoutInCell="1" allowOverlap="1">
            <wp:simplePos x="0" y="0"/>
            <wp:positionH relativeFrom="column">
              <wp:posOffset>23026</wp:posOffset>
            </wp:positionH>
            <wp:positionV relativeFrom="paragraph">
              <wp:posOffset>47708</wp:posOffset>
            </wp:positionV>
            <wp:extent cx="3404152" cy="1486894"/>
            <wp:effectExtent l="19050" t="0" r="5798" b="0"/>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3404152" cy="1486894"/>
                    </a:xfrm>
                    <a:prstGeom prst="rect">
                      <a:avLst/>
                    </a:prstGeom>
                    <a:noFill/>
                    <a:ln w="9525">
                      <a:noFill/>
                      <a:miter lim="800000"/>
                      <a:headEnd/>
                      <a:tailEnd/>
                    </a:ln>
                  </pic:spPr>
                </pic:pic>
              </a:graphicData>
            </a:graphic>
          </wp:anchor>
        </w:drawing>
      </w:r>
    </w:p>
    <w:p w:rsidR="00960891" w:rsidRPr="00960891" w:rsidRDefault="00960891" w:rsidP="00775C86">
      <w:pPr>
        <w:jc w:val="left"/>
        <w:rPr>
          <w:rFonts w:asciiTheme="majorHAnsi" w:hAnsiTheme="majorHAnsi"/>
          <w:sz w:val="18"/>
          <w:szCs w:val="18"/>
        </w:rPr>
      </w:pPr>
      <w:r w:rsidRPr="00960891">
        <w:rPr>
          <w:rFonts w:asciiTheme="majorHAnsi" w:hAnsiTheme="majorHAnsi" w:hint="eastAsia"/>
          <w:sz w:val="18"/>
          <w:szCs w:val="18"/>
        </w:rPr>
        <w:t>Figure 1. Uber</w:t>
      </w:r>
      <w:r w:rsidRPr="00960891">
        <w:rPr>
          <w:rFonts w:asciiTheme="majorHAnsi" w:hAnsiTheme="majorHAnsi"/>
          <w:sz w:val="18"/>
          <w:szCs w:val="18"/>
        </w:rPr>
        <w:t>’</w:t>
      </w:r>
      <w:r w:rsidRPr="00960891">
        <w:rPr>
          <w:rFonts w:asciiTheme="majorHAnsi" w:hAnsiTheme="majorHAnsi" w:hint="eastAsia"/>
          <w:sz w:val="18"/>
          <w:szCs w:val="18"/>
        </w:rPr>
        <w:t>s one year trade price</w:t>
      </w:r>
      <w:r>
        <w:rPr>
          <w:rFonts w:asciiTheme="majorHAnsi" w:hAnsiTheme="majorHAnsi" w:hint="eastAsia"/>
          <w:sz w:val="18"/>
          <w:szCs w:val="18"/>
        </w:rPr>
        <w:t xml:space="preserve">                               </w:t>
      </w:r>
      <w:r w:rsidRPr="00960891">
        <w:rPr>
          <w:rFonts w:asciiTheme="majorHAnsi" w:hAnsiTheme="majorHAnsi" w:hint="eastAsia"/>
          <w:sz w:val="18"/>
          <w:szCs w:val="18"/>
        </w:rPr>
        <w:t xml:space="preserve">Figure </w:t>
      </w:r>
      <w:r>
        <w:rPr>
          <w:rFonts w:asciiTheme="majorHAnsi" w:hAnsiTheme="majorHAnsi" w:hint="eastAsia"/>
          <w:sz w:val="18"/>
          <w:szCs w:val="18"/>
        </w:rPr>
        <w:t>2</w:t>
      </w:r>
      <w:r w:rsidRPr="00960891">
        <w:rPr>
          <w:rFonts w:asciiTheme="majorHAnsi" w:hAnsiTheme="majorHAnsi" w:hint="eastAsia"/>
          <w:sz w:val="18"/>
          <w:szCs w:val="18"/>
        </w:rPr>
        <w:t>. Uber</w:t>
      </w:r>
      <w:r w:rsidRPr="00960891">
        <w:rPr>
          <w:rFonts w:asciiTheme="majorHAnsi" w:hAnsiTheme="majorHAnsi"/>
          <w:sz w:val="18"/>
          <w:szCs w:val="18"/>
        </w:rPr>
        <w:t>’</w:t>
      </w:r>
      <w:r w:rsidRPr="00960891">
        <w:rPr>
          <w:rFonts w:asciiTheme="majorHAnsi" w:hAnsiTheme="majorHAnsi" w:hint="eastAsia"/>
          <w:sz w:val="18"/>
          <w:szCs w:val="18"/>
        </w:rPr>
        <w:t xml:space="preserve">s </w:t>
      </w:r>
      <w:r>
        <w:rPr>
          <w:rFonts w:asciiTheme="majorHAnsi" w:hAnsiTheme="majorHAnsi" w:hint="eastAsia"/>
          <w:sz w:val="18"/>
          <w:szCs w:val="18"/>
        </w:rPr>
        <w:t>five</w:t>
      </w:r>
      <w:r w:rsidRPr="00960891">
        <w:rPr>
          <w:rFonts w:asciiTheme="majorHAnsi" w:hAnsiTheme="majorHAnsi" w:hint="eastAsia"/>
          <w:sz w:val="18"/>
          <w:szCs w:val="18"/>
        </w:rPr>
        <w:t xml:space="preserve"> year</w:t>
      </w:r>
      <w:r>
        <w:rPr>
          <w:rFonts w:asciiTheme="majorHAnsi" w:hAnsiTheme="majorHAnsi" w:hint="eastAsia"/>
          <w:sz w:val="18"/>
          <w:szCs w:val="18"/>
        </w:rPr>
        <w:t xml:space="preserve"> trade price</w:t>
      </w:r>
    </w:p>
    <w:p w:rsidR="00206F42" w:rsidRPr="00960891" w:rsidRDefault="00960891" w:rsidP="00206F42">
      <w:pPr>
        <w:jc w:val="left"/>
        <w:rPr>
          <w:rFonts w:asciiTheme="majorHAnsi" w:hAnsiTheme="majorHAnsi"/>
          <w:sz w:val="18"/>
          <w:szCs w:val="18"/>
        </w:rPr>
      </w:pPr>
      <w:r w:rsidRPr="00960891">
        <w:rPr>
          <w:rFonts w:asciiTheme="majorHAnsi" w:hAnsiTheme="majorHAnsi" w:hint="eastAsia"/>
          <w:sz w:val="18"/>
          <w:szCs w:val="18"/>
        </w:rPr>
        <w:t xml:space="preserve">(Source: </w:t>
      </w:r>
      <w:hyperlink r:id="rId9" w:history="1">
        <w:r w:rsidRPr="00960891">
          <w:rPr>
            <w:sz w:val="18"/>
            <w:szCs w:val="18"/>
          </w:rPr>
          <w:t>https://uk.finance.yahoo.com/quote/UBER</w:t>
        </w:r>
      </w:hyperlink>
      <w:r w:rsidRPr="00960891">
        <w:rPr>
          <w:rFonts w:asciiTheme="majorHAnsi" w:hAnsiTheme="majorHAnsi" w:hint="eastAsia"/>
          <w:sz w:val="18"/>
          <w:szCs w:val="18"/>
        </w:rPr>
        <w:t>)</w:t>
      </w:r>
      <w:r w:rsidR="00206F42">
        <w:rPr>
          <w:rFonts w:asciiTheme="majorHAnsi" w:hAnsiTheme="majorHAnsi" w:hint="eastAsia"/>
          <w:sz w:val="18"/>
          <w:szCs w:val="18"/>
        </w:rPr>
        <w:t xml:space="preserve">                   </w:t>
      </w:r>
      <w:r w:rsidR="00206F42" w:rsidRPr="00960891">
        <w:rPr>
          <w:rFonts w:asciiTheme="majorHAnsi" w:hAnsiTheme="majorHAnsi" w:hint="eastAsia"/>
          <w:sz w:val="18"/>
          <w:szCs w:val="18"/>
        </w:rPr>
        <w:t xml:space="preserve">(Source: </w:t>
      </w:r>
      <w:hyperlink r:id="rId10" w:history="1">
        <w:r w:rsidR="00206F42" w:rsidRPr="00960891">
          <w:rPr>
            <w:sz w:val="18"/>
            <w:szCs w:val="18"/>
          </w:rPr>
          <w:t>https://uk.finance.yahoo.com/quote/UBER</w:t>
        </w:r>
      </w:hyperlink>
      <w:r w:rsidR="00206F42" w:rsidRPr="00960891">
        <w:rPr>
          <w:rFonts w:asciiTheme="majorHAnsi" w:hAnsiTheme="majorHAnsi" w:hint="eastAsia"/>
          <w:sz w:val="18"/>
          <w:szCs w:val="18"/>
        </w:rPr>
        <w:t>)</w:t>
      </w:r>
    </w:p>
    <w:p w:rsidR="002D6F51" w:rsidRDefault="002D6F51" w:rsidP="002D6F51">
      <w:pPr>
        <w:rPr>
          <w:rFonts w:asciiTheme="majorHAnsi" w:hAnsiTheme="majorHAnsi" w:hint="eastAsia"/>
          <w:sz w:val="24"/>
          <w:szCs w:val="24"/>
        </w:rPr>
      </w:pPr>
    </w:p>
    <w:p w:rsidR="002D6F51" w:rsidRPr="002D6F51" w:rsidRDefault="002D6F51" w:rsidP="002D6F51">
      <w:pPr>
        <w:rPr>
          <w:rFonts w:asciiTheme="majorHAnsi" w:hAnsiTheme="majorHAnsi"/>
          <w:sz w:val="24"/>
          <w:szCs w:val="24"/>
        </w:rPr>
      </w:pPr>
      <w:r w:rsidRPr="002D6F51">
        <w:rPr>
          <w:rFonts w:asciiTheme="majorHAnsi" w:hAnsiTheme="majorHAnsi"/>
          <w:sz w:val="24"/>
          <w:szCs w:val="24"/>
        </w:rPr>
        <w:t>Uber's IPO in 2019 garnered significant attention, but its first day of trading on the New York Stock Exchange saw a decline of 7.6% (Feiner, 2019), indicating investor skepticism towards Uber's business model. However, in recent years, Uber's performance has improved, leading to increased interest from potential investors. As shown in Figure 2, Uber's stock price has experienced rapid growth since 2021, contrasting sharply with its dismal performance at the time of its public listing in 2019. By 2024, Uber's stock price had risen by nearly 150%, largely due to cost-cutting initiatives by Uber's new CEO, Khosrowshahi, who divested non-core businesses such as autonomous vehicles and found new revenue streams in areas like advertising. From 2016 to 2023, Uber's revenue grew from $3.85 billion to $37.3 billion, nearly a tenfold increase, equivalent to a compound annual growth rate of 38.30%. Operating expenses dropped significantly from 67% in 2016 to 15.5% in 2023, while research and development costs reduced from 22.5% of revenue to 7.9% during the same period. Consequently, Uber achieved a milestone of $1.11 billion in profit in 2023 (Hung Tran, 2024).</w:t>
      </w:r>
    </w:p>
    <w:p w:rsidR="002D6F51" w:rsidRPr="002D6F51" w:rsidRDefault="002D6F51" w:rsidP="002D6F51">
      <w:pPr>
        <w:rPr>
          <w:rFonts w:asciiTheme="majorHAnsi" w:hAnsiTheme="majorHAnsi"/>
          <w:sz w:val="24"/>
          <w:szCs w:val="24"/>
        </w:rPr>
      </w:pPr>
    </w:p>
    <w:p w:rsidR="002D6F51" w:rsidRDefault="002D6F51" w:rsidP="002D6F51">
      <w:pPr>
        <w:rPr>
          <w:rFonts w:asciiTheme="majorHAnsi" w:hAnsiTheme="majorHAnsi" w:hint="eastAsia"/>
          <w:sz w:val="24"/>
          <w:szCs w:val="24"/>
        </w:rPr>
      </w:pPr>
      <w:r w:rsidRPr="002D6F51">
        <w:rPr>
          <w:rFonts w:asciiTheme="majorHAnsi" w:hAnsiTheme="majorHAnsi"/>
          <w:sz w:val="24"/>
          <w:szCs w:val="24"/>
        </w:rPr>
        <w:t>Figure 2 and the data in Appendix 1 demonstrate Uber's rapid stock price increase over the past year, with a growth of nearly 45% from April 2023 to April 2024, reflecting the market's recognition of its operational growth. The stock experienced a maximum decrease of -5.68% and a maximum increase of 14.73% over the past year, with a standard deviation of 0.023 (Appendix 1). However, while the sustained rapid rise in Uber's stock price signals market confidence in its future prospects, it may also raise concerns among some investors about its valuation potentially being overestimated.</w:t>
      </w:r>
    </w:p>
    <w:p w:rsidR="002D6F51" w:rsidRPr="002D6F51" w:rsidRDefault="002D6F51" w:rsidP="002D6F51">
      <w:pPr>
        <w:rPr>
          <w:rFonts w:asciiTheme="majorHAnsi" w:hAnsiTheme="majorHAnsi"/>
          <w:sz w:val="24"/>
          <w:szCs w:val="24"/>
        </w:rPr>
      </w:pPr>
    </w:p>
    <w:p w:rsidR="00775C86" w:rsidRDefault="00775C86" w:rsidP="00775C86">
      <w:pPr>
        <w:jc w:val="left"/>
        <w:rPr>
          <w:rFonts w:asciiTheme="majorHAnsi" w:hAnsiTheme="majorHAnsi"/>
          <w:b/>
          <w:sz w:val="24"/>
          <w:szCs w:val="24"/>
        </w:rPr>
      </w:pPr>
      <w:r w:rsidRPr="00775C86">
        <w:rPr>
          <w:rFonts w:asciiTheme="majorHAnsi" w:hAnsiTheme="majorHAnsi" w:hint="eastAsia"/>
          <w:b/>
          <w:sz w:val="24"/>
          <w:szCs w:val="24"/>
        </w:rPr>
        <w:t xml:space="preserve">b) </w:t>
      </w:r>
      <w:r>
        <w:rPr>
          <w:rFonts w:asciiTheme="majorHAnsi" w:hAnsiTheme="majorHAnsi" w:hint="eastAsia"/>
          <w:b/>
          <w:sz w:val="24"/>
          <w:szCs w:val="24"/>
        </w:rPr>
        <w:t>C</w:t>
      </w:r>
      <w:r w:rsidRPr="00775C86">
        <w:rPr>
          <w:rFonts w:asciiTheme="majorHAnsi" w:hAnsiTheme="majorHAnsi"/>
          <w:b/>
          <w:sz w:val="24"/>
          <w:szCs w:val="24"/>
        </w:rPr>
        <w:t>alculate</w:t>
      </w:r>
      <w:r w:rsidRPr="00775C86">
        <w:rPr>
          <w:rFonts w:asciiTheme="majorHAnsi" w:hAnsiTheme="majorHAnsi" w:hint="eastAsia"/>
          <w:b/>
          <w:sz w:val="24"/>
          <w:szCs w:val="24"/>
        </w:rPr>
        <w:t xml:space="preserve"> t</w:t>
      </w:r>
      <w:r>
        <w:rPr>
          <w:rFonts w:asciiTheme="majorHAnsi" w:hAnsiTheme="majorHAnsi" w:hint="eastAsia"/>
          <w:b/>
          <w:sz w:val="24"/>
          <w:szCs w:val="24"/>
        </w:rPr>
        <w:t>he compound annual growth rate (CAGR)</w:t>
      </w:r>
      <w:r w:rsidRPr="00775C86">
        <w:rPr>
          <w:rFonts w:asciiTheme="majorHAnsi" w:hAnsiTheme="majorHAnsi" w:hint="eastAsia"/>
          <w:b/>
          <w:sz w:val="24"/>
          <w:szCs w:val="24"/>
        </w:rPr>
        <w:t>, comparing it to an appropriate index.</w:t>
      </w:r>
    </w:p>
    <w:p w:rsidR="00FF2FDD" w:rsidRDefault="00FF2FDD" w:rsidP="007A7C01">
      <w:pPr>
        <w:jc w:val="left"/>
        <w:rPr>
          <w:rFonts w:asciiTheme="majorHAnsi" w:hAnsiTheme="majorHAnsi"/>
          <w:sz w:val="24"/>
          <w:szCs w:val="24"/>
        </w:rPr>
      </w:pPr>
    </w:p>
    <w:p w:rsidR="002D6F51" w:rsidRPr="002D6F51" w:rsidRDefault="002D6F51" w:rsidP="002D6F51">
      <w:pPr>
        <w:jc w:val="left"/>
        <w:rPr>
          <w:rFonts w:asciiTheme="majorHAnsi" w:hAnsiTheme="majorHAnsi"/>
          <w:sz w:val="24"/>
          <w:szCs w:val="24"/>
        </w:rPr>
      </w:pPr>
      <w:r w:rsidRPr="002D6F51">
        <w:rPr>
          <w:rFonts w:asciiTheme="majorHAnsi" w:hAnsiTheme="majorHAnsi"/>
          <w:sz w:val="24"/>
          <w:szCs w:val="24"/>
        </w:rPr>
        <w:t xml:space="preserve">CAGR stands for Compound Annual Growth Rate. It measures the annual growth rate of an investment over time, taking into account the effect of compounding. It is commonly used to assess and compare the past performance of an investment or to forecast its expected future returns. The compound annual growth rate is a useful tool for comparing various investments over similar periods. One of the advantages of CAGR is that it is not affected by misleading percentage changes that can occur during the investment period. A disadvantage of CAGR is that it assumes growth remains constant throughout the entire investment period. For investments with high volatility, this smoothing mechanism can produce results that differ from actual outcomes. Another drawback of CAGR is that it does not take into account value changes caused by an investor's decision to further fund or liquidate assets (CFI </w:t>
      </w:r>
      <w:r w:rsidR="00183A36">
        <w:rPr>
          <w:rFonts w:asciiTheme="majorHAnsi" w:hAnsiTheme="majorHAnsi"/>
          <w:sz w:val="24"/>
          <w:szCs w:val="24"/>
        </w:rPr>
        <w:lastRenderedPageBreak/>
        <w:t>team, n.d.).</w:t>
      </w:r>
    </w:p>
    <w:p w:rsidR="002D6F51" w:rsidRPr="00183A36" w:rsidRDefault="002D6F51" w:rsidP="007A7C01">
      <w:pPr>
        <w:jc w:val="left"/>
        <w:rPr>
          <w:rFonts w:asciiTheme="majorHAnsi" w:hAnsiTheme="majorHAnsi"/>
          <w:sz w:val="24"/>
          <w:szCs w:val="24"/>
        </w:rPr>
      </w:pPr>
      <w:r w:rsidRPr="002D6F51">
        <w:rPr>
          <w:rFonts w:asciiTheme="majorHAnsi" w:hAnsiTheme="majorHAnsi"/>
          <w:sz w:val="24"/>
          <w:szCs w:val="24"/>
        </w:rPr>
        <w:t>Based on the calculation formula for CAGR (Appendix B), we can determine Uber's CAGR as follows.</w:t>
      </w:r>
    </w:p>
    <w:p w:rsidR="00FF2FDD" w:rsidRDefault="00FF2FDD" w:rsidP="007A7C01">
      <w:pPr>
        <w:jc w:val="left"/>
        <w:rPr>
          <w:rFonts w:asciiTheme="majorHAnsi" w:hAnsiTheme="majorHAnsi"/>
          <w:sz w:val="24"/>
          <w:szCs w:val="24"/>
        </w:rPr>
      </w:pPr>
    </w:p>
    <w:tbl>
      <w:tblPr>
        <w:tblStyle w:val="ab"/>
        <w:tblW w:w="0" w:type="auto"/>
        <w:tblInd w:w="250" w:type="dxa"/>
        <w:tblLook w:val="04A0"/>
      </w:tblPr>
      <w:tblGrid>
        <w:gridCol w:w="1809"/>
        <w:gridCol w:w="2694"/>
      </w:tblGrid>
      <w:tr w:rsidR="00FF2FDD" w:rsidTr="00FF2FDD">
        <w:tc>
          <w:tcPr>
            <w:tcW w:w="1809"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vfinal</w:t>
            </w:r>
          </w:p>
        </w:tc>
        <w:tc>
          <w:tcPr>
            <w:tcW w:w="2694"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76.81</w:t>
            </w:r>
          </w:p>
        </w:tc>
      </w:tr>
      <w:tr w:rsidR="00FF2FDD" w:rsidTr="00FF2FDD">
        <w:tc>
          <w:tcPr>
            <w:tcW w:w="1809"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vbegin</w:t>
            </w:r>
          </w:p>
        </w:tc>
        <w:tc>
          <w:tcPr>
            <w:tcW w:w="2694"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31.39</w:t>
            </w:r>
          </w:p>
        </w:tc>
      </w:tr>
      <w:tr w:rsidR="00FF2FDD" w:rsidTr="00FF2FDD">
        <w:tc>
          <w:tcPr>
            <w:tcW w:w="1809"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t</w:t>
            </w:r>
          </w:p>
        </w:tc>
        <w:tc>
          <w:tcPr>
            <w:tcW w:w="2694"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251</w:t>
            </w:r>
          </w:p>
        </w:tc>
      </w:tr>
      <w:tr w:rsidR="00FF2FDD" w:rsidTr="00FF2FDD">
        <w:tc>
          <w:tcPr>
            <w:tcW w:w="1809"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CAGR</w:t>
            </w:r>
          </w:p>
        </w:tc>
        <w:tc>
          <w:tcPr>
            <w:tcW w:w="2694" w:type="dxa"/>
          </w:tcPr>
          <w:p w:rsidR="00FF2FDD" w:rsidRPr="00B45D2B" w:rsidRDefault="00FF2FDD" w:rsidP="00B45D2B">
            <w:pPr>
              <w:widowControl/>
              <w:jc w:val="left"/>
              <w:rPr>
                <w:rFonts w:ascii="Times New Roman" w:eastAsia="宋体" w:hAnsi="Times New Roman" w:cs="Times New Roman"/>
                <w:color w:val="000000"/>
                <w:kern w:val="0"/>
                <w:sz w:val="22"/>
              </w:rPr>
            </w:pPr>
            <w:r w:rsidRPr="00B45D2B">
              <w:rPr>
                <w:rFonts w:ascii="Times New Roman" w:eastAsia="宋体" w:hAnsi="Times New Roman" w:cs="Times New Roman" w:hint="eastAsia"/>
                <w:color w:val="000000"/>
                <w:kern w:val="0"/>
                <w:sz w:val="22"/>
              </w:rPr>
              <w:t>0.0036</w:t>
            </w:r>
          </w:p>
        </w:tc>
      </w:tr>
    </w:tbl>
    <w:p w:rsidR="00FF2FDD" w:rsidRPr="002D6F51" w:rsidRDefault="002D6F51" w:rsidP="002D6F51">
      <w:pPr>
        <w:widowControl/>
        <w:jc w:val="left"/>
        <w:rPr>
          <w:rFonts w:ascii="Times New Roman" w:eastAsia="宋体" w:hAnsi="Times New Roman" w:cs="Times New Roman"/>
          <w:color w:val="000000"/>
          <w:kern w:val="0"/>
          <w:sz w:val="22"/>
        </w:rPr>
      </w:pPr>
      <w:r w:rsidRPr="002D6F51">
        <w:rPr>
          <w:rFonts w:ascii="Times New Roman" w:eastAsia="宋体" w:hAnsi="Times New Roman" w:cs="Times New Roman" w:hint="eastAsia"/>
          <w:color w:val="000000"/>
          <w:kern w:val="0"/>
          <w:sz w:val="22"/>
        </w:rPr>
        <w:t>Table1.</w:t>
      </w:r>
    </w:p>
    <w:p w:rsidR="00775C86" w:rsidRPr="00775C86" w:rsidRDefault="00775C86" w:rsidP="00775C86">
      <w:pPr>
        <w:jc w:val="left"/>
        <w:rPr>
          <w:rFonts w:asciiTheme="majorHAnsi" w:hAnsiTheme="majorHAnsi"/>
          <w:b/>
          <w:sz w:val="24"/>
          <w:szCs w:val="24"/>
        </w:rPr>
      </w:pPr>
    </w:p>
    <w:p w:rsidR="00775C86" w:rsidRDefault="00775C86" w:rsidP="00775C86">
      <w:pPr>
        <w:jc w:val="left"/>
        <w:rPr>
          <w:rFonts w:asciiTheme="majorHAnsi" w:hAnsiTheme="majorHAnsi"/>
          <w:b/>
          <w:sz w:val="24"/>
          <w:szCs w:val="24"/>
        </w:rPr>
      </w:pPr>
      <w:r>
        <w:rPr>
          <w:rFonts w:asciiTheme="majorHAnsi" w:hAnsiTheme="majorHAnsi" w:hint="eastAsia"/>
          <w:b/>
          <w:sz w:val="24"/>
          <w:szCs w:val="24"/>
        </w:rPr>
        <w:t>c) C</w:t>
      </w:r>
      <w:r w:rsidRPr="00775C86">
        <w:rPr>
          <w:rFonts w:asciiTheme="majorHAnsi" w:hAnsiTheme="majorHAnsi" w:hint="eastAsia"/>
          <w:b/>
          <w:sz w:val="24"/>
          <w:szCs w:val="24"/>
        </w:rPr>
        <w:t>alculate</w:t>
      </w:r>
      <w:r>
        <w:rPr>
          <w:rFonts w:asciiTheme="majorHAnsi" w:hAnsiTheme="majorHAnsi" w:hint="eastAsia"/>
          <w:b/>
          <w:sz w:val="24"/>
          <w:szCs w:val="24"/>
        </w:rPr>
        <w:t xml:space="preserve"> and comment</w:t>
      </w:r>
      <w:r w:rsidRPr="00775C86">
        <w:rPr>
          <w:rFonts w:asciiTheme="majorHAnsi" w:hAnsiTheme="majorHAnsi" w:hint="eastAsia"/>
          <w:b/>
          <w:sz w:val="24"/>
          <w:szCs w:val="24"/>
        </w:rPr>
        <w:t xml:space="preserve"> the </w:t>
      </w:r>
      <w:r w:rsidRPr="00775C86">
        <w:rPr>
          <w:rFonts w:asciiTheme="majorHAnsi" w:hAnsiTheme="majorHAnsi"/>
          <w:b/>
          <w:sz w:val="24"/>
          <w:szCs w:val="24"/>
        </w:rPr>
        <w:t>Sharpe</w:t>
      </w:r>
      <w:r w:rsidRPr="00775C86">
        <w:rPr>
          <w:rFonts w:asciiTheme="majorHAnsi" w:hAnsiTheme="majorHAnsi" w:hint="eastAsia"/>
          <w:b/>
          <w:sz w:val="24"/>
          <w:szCs w:val="24"/>
        </w:rPr>
        <w:t xml:space="preserve"> and </w:t>
      </w:r>
      <w:r w:rsidR="00FF2FDD">
        <w:rPr>
          <w:rFonts w:asciiTheme="majorHAnsi" w:hAnsiTheme="majorHAnsi" w:hint="eastAsia"/>
          <w:b/>
          <w:sz w:val="24"/>
          <w:szCs w:val="24"/>
        </w:rPr>
        <w:t>T</w:t>
      </w:r>
      <w:r w:rsidRPr="00775C86">
        <w:rPr>
          <w:rFonts w:asciiTheme="majorHAnsi" w:hAnsiTheme="majorHAnsi" w:hint="eastAsia"/>
          <w:b/>
          <w:sz w:val="24"/>
          <w:szCs w:val="24"/>
        </w:rPr>
        <w:t xml:space="preserve">reynor ratios for </w:t>
      </w:r>
      <w:r>
        <w:rPr>
          <w:rFonts w:asciiTheme="majorHAnsi" w:hAnsiTheme="majorHAnsi" w:hint="eastAsia"/>
          <w:b/>
          <w:sz w:val="24"/>
          <w:szCs w:val="24"/>
        </w:rPr>
        <w:t>two different one year periods.</w:t>
      </w:r>
    </w:p>
    <w:p w:rsidR="00775C86" w:rsidRPr="00FF2FDD" w:rsidRDefault="00775C86" w:rsidP="00775C86">
      <w:pPr>
        <w:jc w:val="left"/>
        <w:rPr>
          <w:rFonts w:asciiTheme="majorHAnsi" w:hAnsiTheme="majorHAnsi"/>
          <w:sz w:val="24"/>
          <w:szCs w:val="24"/>
        </w:rPr>
      </w:pPr>
    </w:p>
    <w:p w:rsidR="002D6F51" w:rsidRPr="002D6F51" w:rsidRDefault="002D6F51" w:rsidP="002D6F51">
      <w:pPr>
        <w:jc w:val="left"/>
        <w:rPr>
          <w:rFonts w:asciiTheme="majorHAnsi" w:hAnsiTheme="majorHAnsi"/>
          <w:sz w:val="24"/>
          <w:szCs w:val="24"/>
        </w:rPr>
      </w:pPr>
      <w:r w:rsidRPr="002D6F51">
        <w:rPr>
          <w:rFonts w:asciiTheme="majorHAnsi" w:hAnsiTheme="majorHAnsi"/>
          <w:sz w:val="24"/>
          <w:szCs w:val="24"/>
        </w:rPr>
        <w:t>The Sharpe Ratio is an indicator used to measure the risk-adjusted return of a portfolio, helping investors to evaluate the additional return obtained per unit of risk, and is used to compare the performance of different portfolios (Arnold and Lewis, 2024, p.292). A higher Sharpe Ratio indicates that a portfolio has achieved higher returns for the amount of risk taken.</w:t>
      </w:r>
    </w:p>
    <w:p w:rsidR="002D6F51" w:rsidRDefault="002D6F51" w:rsidP="002D6F51">
      <w:pPr>
        <w:jc w:val="left"/>
        <w:rPr>
          <w:rFonts w:asciiTheme="majorHAnsi" w:hAnsiTheme="majorHAnsi"/>
          <w:sz w:val="24"/>
          <w:szCs w:val="24"/>
        </w:rPr>
      </w:pPr>
      <w:r w:rsidRPr="002D6F51">
        <w:rPr>
          <w:rFonts w:asciiTheme="majorHAnsi" w:hAnsiTheme="majorHAnsi"/>
          <w:sz w:val="24"/>
          <w:szCs w:val="24"/>
        </w:rPr>
        <w:t>Based on the calculation formula for the Sharpe Ratio (Appendix B), we can determine Uber's Sharpe Ratio as follows.</w:t>
      </w:r>
    </w:p>
    <w:p w:rsidR="00FE3E25" w:rsidRDefault="00FE3E25" w:rsidP="00775C86">
      <w:pPr>
        <w:jc w:val="left"/>
        <w:rPr>
          <w:rFonts w:asciiTheme="majorHAnsi" w:hAnsiTheme="majorHAnsi"/>
          <w:sz w:val="24"/>
          <w:szCs w:val="24"/>
        </w:rPr>
      </w:pPr>
    </w:p>
    <w:tbl>
      <w:tblPr>
        <w:tblW w:w="3531"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380"/>
        <w:gridCol w:w="1151"/>
      </w:tblGrid>
      <w:tr w:rsidR="00D26E4C" w:rsidRPr="00D26E4C" w:rsidTr="00D26E4C">
        <w:trPr>
          <w:trHeight w:val="300"/>
        </w:trPr>
        <w:tc>
          <w:tcPr>
            <w:tcW w:w="2380" w:type="dxa"/>
            <w:shd w:val="clear" w:color="auto" w:fill="auto"/>
            <w:noWrap/>
            <w:vAlign w:val="center"/>
            <w:hideMark/>
          </w:tcPr>
          <w:p w:rsidR="00D26E4C" w:rsidRPr="00D26E4C" w:rsidRDefault="00D26E4C" w:rsidP="00D26E4C">
            <w:pPr>
              <w:widowControl/>
              <w:jc w:val="left"/>
              <w:rPr>
                <w:rFonts w:ascii="Times New Roman" w:eastAsia="宋体" w:hAnsi="Times New Roman" w:cs="Times New Roman"/>
                <w:color w:val="000000"/>
                <w:kern w:val="0"/>
                <w:sz w:val="22"/>
              </w:rPr>
            </w:pPr>
            <w:r w:rsidRPr="00D26E4C">
              <w:rPr>
                <w:rFonts w:ascii="Times New Roman" w:eastAsia="宋体" w:hAnsi="Times New Roman" w:cs="Times New Roman"/>
                <w:color w:val="000000"/>
                <w:kern w:val="0"/>
                <w:sz w:val="22"/>
              </w:rPr>
              <w:t>rp-rf</w:t>
            </w:r>
          </w:p>
        </w:tc>
        <w:tc>
          <w:tcPr>
            <w:tcW w:w="1151" w:type="dxa"/>
            <w:shd w:val="clear" w:color="auto" w:fill="auto"/>
            <w:noWrap/>
            <w:vAlign w:val="center"/>
            <w:hideMark/>
          </w:tcPr>
          <w:p w:rsidR="00D26E4C" w:rsidRPr="00D26E4C" w:rsidRDefault="00D26E4C" w:rsidP="00D26E4C">
            <w:pPr>
              <w:widowControl/>
              <w:jc w:val="right"/>
              <w:rPr>
                <w:rFonts w:ascii="Times New Roman" w:eastAsia="宋体" w:hAnsi="Times New Roman" w:cs="Times New Roman"/>
                <w:color w:val="000000"/>
                <w:kern w:val="0"/>
                <w:sz w:val="22"/>
              </w:rPr>
            </w:pPr>
            <w:r w:rsidRPr="00D26E4C">
              <w:rPr>
                <w:rFonts w:ascii="Times New Roman" w:eastAsia="宋体" w:hAnsi="Times New Roman" w:cs="Times New Roman"/>
                <w:color w:val="000000"/>
                <w:kern w:val="0"/>
                <w:sz w:val="22"/>
              </w:rPr>
              <w:t>1.4169576</w:t>
            </w:r>
          </w:p>
        </w:tc>
      </w:tr>
      <w:tr w:rsidR="00D26E4C" w:rsidRPr="00D26E4C" w:rsidTr="00D26E4C">
        <w:trPr>
          <w:trHeight w:val="300"/>
        </w:trPr>
        <w:tc>
          <w:tcPr>
            <w:tcW w:w="2380" w:type="dxa"/>
            <w:shd w:val="clear" w:color="auto" w:fill="auto"/>
            <w:noWrap/>
            <w:vAlign w:val="center"/>
            <w:hideMark/>
          </w:tcPr>
          <w:p w:rsidR="00D26E4C" w:rsidRPr="00D26E4C" w:rsidRDefault="00D26E4C" w:rsidP="00D26E4C">
            <w:pPr>
              <w:widowControl/>
              <w:jc w:val="left"/>
              <w:rPr>
                <w:rFonts w:ascii="Times New Roman" w:eastAsia="宋体" w:hAnsi="Times New Roman" w:cs="Times New Roman"/>
                <w:color w:val="000000"/>
                <w:kern w:val="0"/>
                <w:sz w:val="22"/>
              </w:rPr>
            </w:pPr>
            <w:r w:rsidRPr="00D26E4C">
              <w:rPr>
                <w:rFonts w:ascii="Times New Roman" w:eastAsia="宋体" w:hAnsi="Times New Roman" w:cs="Times New Roman"/>
                <w:color w:val="000000"/>
                <w:kern w:val="0"/>
                <w:sz w:val="22"/>
              </w:rPr>
              <w:t>stanard deviation</w:t>
            </w:r>
          </w:p>
        </w:tc>
        <w:tc>
          <w:tcPr>
            <w:tcW w:w="1151" w:type="dxa"/>
            <w:shd w:val="clear" w:color="auto" w:fill="auto"/>
            <w:noWrap/>
            <w:vAlign w:val="center"/>
            <w:hideMark/>
          </w:tcPr>
          <w:p w:rsidR="00D26E4C" w:rsidRPr="00D26E4C" w:rsidRDefault="00D26E4C" w:rsidP="00D26E4C">
            <w:pPr>
              <w:widowControl/>
              <w:jc w:val="right"/>
              <w:rPr>
                <w:rFonts w:ascii="Times New Roman" w:eastAsia="宋体" w:hAnsi="Times New Roman" w:cs="Times New Roman"/>
                <w:color w:val="000000"/>
                <w:kern w:val="0"/>
                <w:sz w:val="22"/>
              </w:rPr>
            </w:pPr>
            <w:r w:rsidRPr="00D26E4C">
              <w:rPr>
                <w:rFonts w:ascii="Times New Roman" w:eastAsia="宋体" w:hAnsi="Times New Roman" w:cs="Times New Roman"/>
                <w:color w:val="000000"/>
                <w:kern w:val="0"/>
                <w:sz w:val="22"/>
              </w:rPr>
              <w:t>0.0226585</w:t>
            </w:r>
          </w:p>
        </w:tc>
      </w:tr>
      <w:tr w:rsidR="00D26E4C" w:rsidRPr="00D26E4C" w:rsidTr="00D26E4C">
        <w:trPr>
          <w:trHeight w:val="300"/>
        </w:trPr>
        <w:tc>
          <w:tcPr>
            <w:tcW w:w="2380" w:type="dxa"/>
            <w:shd w:val="clear" w:color="auto" w:fill="auto"/>
            <w:noWrap/>
            <w:vAlign w:val="center"/>
            <w:hideMark/>
          </w:tcPr>
          <w:p w:rsidR="00D26E4C" w:rsidRPr="00D26E4C" w:rsidRDefault="00D26E4C" w:rsidP="00D26E4C">
            <w:pPr>
              <w:widowControl/>
              <w:jc w:val="left"/>
              <w:rPr>
                <w:rFonts w:ascii="Times New Roman" w:eastAsia="宋体" w:hAnsi="Times New Roman" w:cs="Times New Roman"/>
                <w:color w:val="000000"/>
                <w:kern w:val="0"/>
                <w:sz w:val="22"/>
              </w:rPr>
            </w:pPr>
            <w:r w:rsidRPr="00D26E4C">
              <w:rPr>
                <w:rFonts w:ascii="Times New Roman" w:eastAsia="宋体" w:hAnsi="Times New Roman" w:cs="Times New Roman"/>
                <w:color w:val="000000"/>
                <w:kern w:val="0"/>
                <w:sz w:val="22"/>
              </w:rPr>
              <w:t>Sharpe</w:t>
            </w:r>
            <w:r>
              <w:rPr>
                <w:rFonts w:ascii="Times New Roman" w:eastAsia="宋体" w:hAnsi="Times New Roman" w:cs="Times New Roman" w:hint="eastAsia"/>
                <w:color w:val="000000"/>
                <w:kern w:val="0"/>
                <w:sz w:val="22"/>
              </w:rPr>
              <w:t xml:space="preserve"> ratio</w:t>
            </w:r>
          </w:p>
        </w:tc>
        <w:tc>
          <w:tcPr>
            <w:tcW w:w="1151" w:type="dxa"/>
            <w:shd w:val="clear" w:color="auto" w:fill="auto"/>
            <w:noWrap/>
            <w:vAlign w:val="center"/>
            <w:hideMark/>
          </w:tcPr>
          <w:p w:rsidR="00D26E4C" w:rsidRPr="00D26E4C" w:rsidRDefault="00D26E4C" w:rsidP="00D26E4C">
            <w:pPr>
              <w:widowControl/>
              <w:jc w:val="right"/>
              <w:rPr>
                <w:rFonts w:ascii="Times New Roman" w:eastAsia="宋体" w:hAnsi="Times New Roman" w:cs="Times New Roman"/>
                <w:color w:val="000000"/>
                <w:kern w:val="0"/>
                <w:sz w:val="22"/>
              </w:rPr>
            </w:pPr>
            <w:r w:rsidRPr="00D26E4C">
              <w:rPr>
                <w:rFonts w:ascii="Times New Roman" w:eastAsia="宋体" w:hAnsi="Times New Roman" w:cs="Times New Roman"/>
                <w:color w:val="000000"/>
                <w:kern w:val="0"/>
                <w:sz w:val="22"/>
              </w:rPr>
              <w:t>0.4723192</w:t>
            </w:r>
          </w:p>
        </w:tc>
      </w:tr>
    </w:tbl>
    <w:p w:rsidR="00FF2FDD" w:rsidRPr="002D6F51" w:rsidRDefault="002D6F51" w:rsidP="002D6F51">
      <w:pPr>
        <w:widowControl/>
        <w:jc w:val="left"/>
        <w:rPr>
          <w:rFonts w:ascii="Times New Roman" w:eastAsia="宋体" w:hAnsi="Times New Roman" w:cs="Times New Roman"/>
          <w:color w:val="000000"/>
          <w:kern w:val="0"/>
          <w:sz w:val="22"/>
        </w:rPr>
      </w:pPr>
      <w:r w:rsidRPr="002D6F51">
        <w:rPr>
          <w:rFonts w:ascii="Times New Roman" w:eastAsia="宋体" w:hAnsi="Times New Roman" w:cs="Times New Roman" w:hint="eastAsia"/>
          <w:color w:val="000000"/>
          <w:kern w:val="0"/>
          <w:sz w:val="22"/>
        </w:rPr>
        <w:t>Table 2.</w:t>
      </w:r>
    </w:p>
    <w:p w:rsidR="00183A36" w:rsidRDefault="00183A36" w:rsidP="002D6F51">
      <w:pPr>
        <w:jc w:val="left"/>
        <w:rPr>
          <w:rFonts w:asciiTheme="majorHAnsi" w:hAnsiTheme="majorHAnsi" w:hint="eastAsia"/>
          <w:sz w:val="24"/>
          <w:szCs w:val="24"/>
        </w:rPr>
      </w:pPr>
    </w:p>
    <w:p w:rsidR="002D6F51" w:rsidRPr="002D6F51" w:rsidRDefault="002D6F51" w:rsidP="002D6F51">
      <w:pPr>
        <w:jc w:val="left"/>
        <w:rPr>
          <w:rFonts w:asciiTheme="majorHAnsi" w:hAnsiTheme="majorHAnsi"/>
          <w:sz w:val="24"/>
          <w:szCs w:val="24"/>
        </w:rPr>
      </w:pPr>
      <w:r w:rsidRPr="002D6F51">
        <w:rPr>
          <w:rFonts w:asciiTheme="majorHAnsi" w:hAnsiTheme="majorHAnsi"/>
          <w:sz w:val="24"/>
          <w:szCs w:val="24"/>
        </w:rPr>
        <w:t>The Treynor Ratio measures the return in excess of the risk-free rate divided by the beta value, to observe the excess return generated per unit of market risk. The Sharpe Ratio is the return in excess of the risk-free rate divided by the standard deviation (</w:t>
      </w:r>
      <w:r w:rsidR="00183A36">
        <w:rPr>
          <w:rFonts w:asciiTheme="majorHAnsi" w:hAnsiTheme="majorHAnsi"/>
          <w:sz w:val="24"/>
          <w:szCs w:val="24"/>
        </w:rPr>
        <w:t>Arnold and Lewis, 2024, p.292).</w:t>
      </w:r>
    </w:p>
    <w:p w:rsidR="002D6F51" w:rsidRDefault="002D6F51" w:rsidP="002D6F51">
      <w:pPr>
        <w:jc w:val="left"/>
        <w:rPr>
          <w:rFonts w:asciiTheme="majorHAnsi" w:hAnsiTheme="majorHAnsi"/>
          <w:sz w:val="24"/>
          <w:szCs w:val="24"/>
        </w:rPr>
      </w:pPr>
      <w:r w:rsidRPr="002D6F51">
        <w:rPr>
          <w:rFonts w:asciiTheme="majorHAnsi" w:hAnsiTheme="majorHAnsi"/>
          <w:sz w:val="24"/>
          <w:szCs w:val="24"/>
        </w:rPr>
        <w:t>Based on the calculation formula for the Treynor Ratio (Appendix B), we can determine Uber's Treynor Ratio as follows.</w:t>
      </w:r>
    </w:p>
    <w:p w:rsidR="00FF2FDD" w:rsidRDefault="00FF2FDD" w:rsidP="004B630E">
      <w:pPr>
        <w:jc w:val="left"/>
        <w:rPr>
          <w:rFonts w:asciiTheme="majorHAnsi" w:hAnsiTheme="majorHAnsi"/>
          <w:sz w:val="24"/>
          <w:szCs w:val="24"/>
        </w:rPr>
      </w:pPr>
    </w:p>
    <w:tbl>
      <w:tblPr>
        <w:tblW w:w="3531"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380"/>
        <w:gridCol w:w="1151"/>
      </w:tblGrid>
      <w:tr w:rsidR="00FF2FDD" w:rsidRPr="00FF2FDD" w:rsidTr="00D26E4C">
        <w:trPr>
          <w:trHeight w:val="300"/>
        </w:trPr>
        <w:tc>
          <w:tcPr>
            <w:tcW w:w="2380" w:type="dxa"/>
            <w:shd w:val="clear" w:color="auto" w:fill="auto"/>
            <w:noWrap/>
            <w:vAlign w:val="center"/>
            <w:hideMark/>
          </w:tcPr>
          <w:p w:rsidR="00FF2FDD" w:rsidRPr="00FF2FDD" w:rsidRDefault="00FF2FDD" w:rsidP="00FF2FDD">
            <w:pPr>
              <w:widowControl/>
              <w:jc w:val="left"/>
              <w:rPr>
                <w:rFonts w:ascii="Times New Roman" w:eastAsia="宋体" w:hAnsi="Times New Roman" w:cs="Times New Roman"/>
                <w:color w:val="000000"/>
                <w:kern w:val="0"/>
                <w:sz w:val="22"/>
              </w:rPr>
            </w:pPr>
            <w:r w:rsidRPr="00FF2FDD">
              <w:rPr>
                <w:rFonts w:ascii="Times New Roman" w:eastAsia="宋体" w:hAnsi="Times New Roman" w:cs="Times New Roman"/>
                <w:color w:val="000000"/>
                <w:kern w:val="0"/>
                <w:sz w:val="22"/>
              </w:rPr>
              <w:t>rp-rf</w:t>
            </w:r>
          </w:p>
        </w:tc>
        <w:tc>
          <w:tcPr>
            <w:tcW w:w="1151" w:type="dxa"/>
            <w:shd w:val="clear" w:color="auto" w:fill="auto"/>
            <w:noWrap/>
            <w:vAlign w:val="center"/>
            <w:hideMark/>
          </w:tcPr>
          <w:p w:rsidR="00FF2FDD" w:rsidRPr="00FF2FDD" w:rsidRDefault="00FF2FDD" w:rsidP="00FF2FDD">
            <w:pPr>
              <w:widowControl/>
              <w:jc w:val="right"/>
              <w:rPr>
                <w:rFonts w:ascii="Times New Roman" w:eastAsia="宋体" w:hAnsi="Times New Roman" w:cs="Times New Roman"/>
                <w:color w:val="000000"/>
                <w:kern w:val="0"/>
                <w:sz w:val="22"/>
              </w:rPr>
            </w:pPr>
            <w:r w:rsidRPr="00FF2FDD">
              <w:rPr>
                <w:rFonts w:ascii="Times New Roman" w:eastAsia="宋体" w:hAnsi="Times New Roman" w:cs="Times New Roman"/>
                <w:color w:val="000000"/>
                <w:kern w:val="0"/>
                <w:sz w:val="22"/>
              </w:rPr>
              <w:t>1.4169576</w:t>
            </w:r>
          </w:p>
        </w:tc>
      </w:tr>
      <w:tr w:rsidR="00FF2FDD" w:rsidRPr="00FF2FDD" w:rsidTr="00D26E4C">
        <w:trPr>
          <w:trHeight w:val="300"/>
        </w:trPr>
        <w:tc>
          <w:tcPr>
            <w:tcW w:w="2380" w:type="dxa"/>
            <w:shd w:val="clear" w:color="auto" w:fill="auto"/>
            <w:noWrap/>
            <w:vAlign w:val="center"/>
            <w:hideMark/>
          </w:tcPr>
          <w:p w:rsidR="00FF2FDD" w:rsidRPr="00FF2FDD" w:rsidRDefault="00FF2FDD" w:rsidP="00FF2FDD">
            <w:pPr>
              <w:widowControl/>
              <w:jc w:val="left"/>
              <w:rPr>
                <w:rFonts w:ascii="Times New Roman" w:eastAsia="宋体" w:hAnsi="Times New Roman" w:cs="Times New Roman"/>
                <w:color w:val="000000"/>
                <w:kern w:val="0"/>
                <w:sz w:val="22"/>
              </w:rPr>
            </w:pPr>
            <w:r w:rsidRPr="00FF2FDD">
              <w:rPr>
                <w:rFonts w:ascii="Times New Roman" w:eastAsia="宋体" w:hAnsi="Times New Roman" w:cs="Times New Roman"/>
                <w:color w:val="000000"/>
                <w:kern w:val="0"/>
                <w:sz w:val="22"/>
              </w:rPr>
              <w:t>Beta</w:t>
            </w:r>
          </w:p>
        </w:tc>
        <w:tc>
          <w:tcPr>
            <w:tcW w:w="1151" w:type="dxa"/>
            <w:shd w:val="clear" w:color="auto" w:fill="auto"/>
            <w:noWrap/>
            <w:vAlign w:val="center"/>
            <w:hideMark/>
          </w:tcPr>
          <w:p w:rsidR="00FF2FDD" w:rsidRPr="00FF2FDD" w:rsidRDefault="00FF2FDD" w:rsidP="00FF2FDD">
            <w:pPr>
              <w:widowControl/>
              <w:jc w:val="right"/>
              <w:rPr>
                <w:rFonts w:ascii="Times New Roman" w:eastAsia="宋体" w:hAnsi="Times New Roman" w:cs="Times New Roman"/>
                <w:color w:val="000000"/>
                <w:kern w:val="0"/>
                <w:sz w:val="22"/>
              </w:rPr>
            </w:pPr>
            <w:r w:rsidRPr="00FF2FDD">
              <w:rPr>
                <w:rFonts w:ascii="Times New Roman" w:eastAsia="宋体" w:hAnsi="Times New Roman" w:cs="Times New Roman"/>
                <w:color w:val="000000"/>
                <w:kern w:val="0"/>
                <w:sz w:val="22"/>
              </w:rPr>
              <w:t>1.37</w:t>
            </w:r>
          </w:p>
        </w:tc>
      </w:tr>
      <w:tr w:rsidR="00FF2FDD" w:rsidRPr="00FF2FDD" w:rsidTr="00D26E4C">
        <w:trPr>
          <w:trHeight w:val="300"/>
        </w:trPr>
        <w:tc>
          <w:tcPr>
            <w:tcW w:w="2380" w:type="dxa"/>
            <w:shd w:val="clear" w:color="auto" w:fill="auto"/>
            <w:noWrap/>
            <w:vAlign w:val="center"/>
            <w:hideMark/>
          </w:tcPr>
          <w:p w:rsidR="00FF2FDD" w:rsidRPr="00FF2FDD" w:rsidRDefault="00FF2FDD" w:rsidP="00FF2FDD">
            <w:pPr>
              <w:widowControl/>
              <w:jc w:val="left"/>
              <w:rPr>
                <w:rFonts w:ascii="Times New Roman" w:eastAsia="宋体" w:hAnsi="Times New Roman" w:cs="Times New Roman"/>
                <w:color w:val="000000"/>
                <w:kern w:val="0"/>
                <w:sz w:val="22"/>
              </w:rPr>
            </w:pPr>
            <w:r w:rsidRPr="00FF2FDD">
              <w:rPr>
                <w:rFonts w:ascii="Times New Roman" w:eastAsia="宋体" w:hAnsi="Times New Roman" w:cs="Times New Roman"/>
                <w:color w:val="000000"/>
                <w:kern w:val="0"/>
                <w:sz w:val="22"/>
              </w:rPr>
              <w:t>Treynor</w:t>
            </w:r>
            <w:r w:rsidR="00D26E4C">
              <w:rPr>
                <w:rFonts w:ascii="Times New Roman" w:eastAsia="宋体" w:hAnsi="Times New Roman" w:cs="Times New Roman" w:hint="eastAsia"/>
                <w:color w:val="000000"/>
                <w:kern w:val="0"/>
                <w:sz w:val="22"/>
              </w:rPr>
              <w:t xml:space="preserve"> ratio</w:t>
            </w:r>
          </w:p>
        </w:tc>
        <w:tc>
          <w:tcPr>
            <w:tcW w:w="1151" w:type="dxa"/>
            <w:shd w:val="clear" w:color="auto" w:fill="auto"/>
            <w:noWrap/>
            <w:vAlign w:val="center"/>
            <w:hideMark/>
          </w:tcPr>
          <w:p w:rsidR="00FF2FDD" w:rsidRPr="00FF2FDD" w:rsidRDefault="00FF2FDD" w:rsidP="00FF2FDD">
            <w:pPr>
              <w:widowControl/>
              <w:jc w:val="right"/>
              <w:rPr>
                <w:rFonts w:ascii="Times New Roman" w:eastAsia="宋体" w:hAnsi="Times New Roman" w:cs="Times New Roman"/>
                <w:color w:val="000000"/>
                <w:kern w:val="0"/>
                <w:sz w:val="22"/>
              </w:rPr>
            </w:pPr>
            <w:r w:rsidRPr="00FF2FDD">
              <w:rPr>
                <w:rFonts w:ascii="Times New Roman" w:eastAsia="宋体" w:hAnsi="Times New Roman" w:cs="Times New Roman"/>
                <w:color w:val="000000"/>
                <w:kern w:val="0"/>
                <w:sz w:val="22"/>
              </w:rPr>
              <w:t>1.0342757</w:t>
            </w:r>
          </w:p>
        </w:tc>
      </w:tr>
    </w:tbl>
    <w:p w:rsidR="002D6F51" w:rsidRPr="002D6F51" w:rsidRDefault="002D6F51" w:rsidP="002D6F51">
      <w:pPr>
        <w:widowControl/>
        <w:jc w:val="left"/>
        <w:rPr>
          <w:rFonts w:ascii="Times New Roman" w:eastAsia="宋体" w:hAnsi="Times New Roman" w:cs="Times New Roman"/>
          <w:color w:val="000000"/>
          <w:kern w:val="0"/>
          <w:sz w:val="22"/>
        </w:rPr>
      </w:pPr>
      <w:r w:rsidRPr="002D6F51">
        <w:rPr>
          <w:rFonts w:ascii="Times New Roman" w:eastAsia="宋体" w:hAnsi="Times New Roman" w:cs="Times New Roman" w:hint="eastAsia"/>
          <w:color w:val="000000"/>
          <w:kern w:val="0"/>
          <w:sz w:val="22"/>
        </w:rPr>
        <w:t xml:space="preserve">Table </w:t>
      </w:r>
      <w:r>
        <w:rPr>
          <w:rFonts w:ascii="Times New Roman" w:eastAsia="宋体" w:hAnsi="Times New Roman" w:cs="Times New Roman" w:hint="eastAsia"/>
          <w:color w:val="000000"/>
          <w:kern w:val="0"/>
          <w:sz w:val="22"/>
        </w:rPr>
        <w:t>3</w:t>
      </w:r>
      <w:r w:rsidRPr="002D6F51">
        <w:rPr>
          <w:rFonts w:ascii="Times New Roman" w:eastAsia="宋体" w:hAnsi="Times New Roman" w:cs="Times New Roman" w:hint="eastAsia"/>
          <w:color w:val="000000"/>
          <w:kern w:val="0"/>
          <w:sz w:val="22"/>
        </w:rPr>
        <w:t>.</w:t>
      </w:r>
    </w:p>
    <w:p w:rsidR="00FF2FDD" w:rsidRPr="00FF2FDD" w:rsidRDefault="00FF2FDD" w:rsidP="004B630E">
      <w:pPr>
        <w:jc w:val="left"/>
        <w:rPr>
          <w:rFonts w:asciiTheme="majorHAnsi" w:hAnsiTheme="majorHAnsi"/>
          <w:sz w:val="24"/>
          <w:szCs w:val="24"/>
        </w:rPr>
      </w:pPr>
    </w:p>
    <w:p w:rsidR="00DB4824" w:rsidRPr="00183A36" w:rsidRDefault="00D26E4C" w:rsidP="00DB4824">
      <w:pPr>
        <w:jc w:val="left"/>
        <w:rPr>
          <w:rFonts w:asciiTheme="majorHAnsi" w:hAnsiTheme="majorHAnsi"/>
          <w:b/>
          <w:sz w:val="24"/>
          <w:szCs w:val="24"/>
        </w:rPr>
      </w:pPr>
      <w:r w:rsidRPr="00183A36">
        <w:rPr>
          <w:rFonts w:asciiTheme="majorHAnsi" w:hAnsiTheme="majorHAnsi" w:hint="eastAsia"/>
          <w:b/>
          <w:sz w:val="24"/>
          <w:szCs w:val="24"/>
        </w:rPr>
        <w:t>Reference</w:t>
      </w:r>
    </w:p>
    <w:p w:rsidR="00B85DCA" w:rsidRDefault="00B85DCA" w:rsidP="00B85DCA">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Alonso, T. (2023). </w:t>
      </w:r>
      <w:r>
        <w:rPr>
          <w:rFonts w:ascii="Times New Roman" w:hAnsi="Times New Roman" w:cs="Times New Roman"/>
          <w:i/>
          <w:iCs/>
        </w:rPr>
        <w:t>Strategy Study: How Uber Disrupted An Industry With An Explosive Approach</w:t>
      </w:r>
      <w:r>
        <w:rPr>
          <w:rFonts w:ascii="Times New Roman" w:hAnsi="Times New Roman" w:cs="Times New Roman"/>
        </w:rPr>
        <w:t>. [online] www.cascade.app. Available at: https://www.cascade.app/studies/uber-strategy-study [Accessed 3 Apr. 2024].</w:t>
      </w:r>
    </w:p>
    <w:p w:rsidR="00B85DCA" w:rsidRDefault="00B85DCA" w:rsidP="00B85DCA">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Arnold, G. and Lewis, D.S. (2024). </w:t>
      </w:r>
      <w:r>
        <w:rPr>
          <w:rFonts w:ascii="Times New Roman" w:hAnsi="Times New Roman" w:cs="Times New Roman"/>
          <w:i/>
          <w:iCs/>
        </w:rPr>
        <w:t>Corporate Financial Management</w:t>
      </w:r>
      <w:r>
        <w:rPr>
          <w:rFonts w:ascii="Times New Roman" w:hAnsi="Times New Roman" w:cs="Times New Roman"/>
        </w:rPr>
        <w:t>. 5th ed. Harlow, England: Pearson Education Limited, p.292.</w:t>
      </w:r>
    </w:p>
    <w:p w:rsidR="00B85DCA" w:rsidRDefault="00B85DCA" w:rsidP="00B85DCA">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CFI team (n.d.). </w:t>
      </w:r>
      <w:r>
        <w:rPr>
          <w:rFonts w:ascii="Times New Roman" w:hAnsi="Times New Roman" w:cs="Times New Roman"/>
          <w:i/>
          <w:iCs/>
        </w:rPr>
        <w:t>CAGR</w:t>
      </w:r>
      <w:r>
        <w:rPr>
          <w:rFonts w:ascii="Times New Roman" w:hAnsi="Times New Roman" w:cs="Times New Roman"/>
        </w:rPr>
        <w:t>. [online] Corporate Finance Institute. Available at: https://corporatefinanceinstitute.com/resources/valuation/what-is-cagr/ [Accessed 4 Apr. 2024].</w:t>
      </w:r>
    </w:p>
    <w:p w:rsidR="00B85DCA" w:rsidRDefault="00B85DCA" w:rsidP="00B85DCA">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lastRenderedPageBreak/>
        <w:t xml:space="preserve">finance.yahoo.com. (2024). </w:t>
      </w:r>
      <w:r>
        <w:rPr>
          <w:rFonts w:ascii="Times New Roman" w:hAnsi="Times New Roman" w:cs="Times New Roman"/>
          <w:i/>
          <w:iCs/>
        </w:rPr>
        <w:t>Uber Technologies, Inc. (UBER) Company Profile &amp; Facts - Yahoo Finance</w:t>
      </w:r>
      <w:r>
        <w:rPr>
          <w:rFonts w:ascii="Times New Roman" w:hAnsi="Times New Roman" w:cs="Times New Roman"/>
        </w:rPr>
        <w:t>. [online] Available at: https://finance.yahoo.com/quote/UBER/profile/ [Accessed 3 Apr. 2024].</w:t>
      </w:r>
    </w:p>
    <w:p w:rsidR="00B85DCA" w:rsidRDefault="00B85DCA" w:rsidP="00B85DCA">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Hung Tran (2024). </w:t>
      </w:r>
      <w:r>
        <w:rPr>
          <w:rFonts w:ascii="Times New Roman" w:hAnsi="Times New Roman" w:cs="Times New Roman"/>
          <w:i/>
          <w:iCs/>
        </w:rPr>
        <w:t>Uber’s Projected Growth Is Fully Reflected In Its Share Price</w:t>
      </w:r>
      <w:r>
        <w:rPr>
          <w:rFonts w:ascii="Times New Roman" w:hAnsi="Times New Roman" w:cs="Times New Roman"/>
        </w:rPr>
        <w:t>. [online] Forbes. Available at: https://www.forbes.com/sites/gurufocus/2024/03/01/ubers-projected-growth-is-fully-reflected-in-its-share-price/ [Accessed 4 Apr. 2024].</w:t>
      </w:r>
    </w:p>
    <w:p w:rsidR="00B85DCA" w:rsidRDefault="00B85DCA" w:rsidP="00B85DCA">
      <w:pPr>
        <w:pStyle w:val="a6"/>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markets.ft.com. (2024). </w:t>
      </w:r>
      <w:r>
        <w:rPr>
          <w:rFonts w:ascii="Times New Roman" w:hAnsi="Times New Roman" w:cs="Times New Roman"/>
          <w:i/>
          <w:iCs/>
        </w:rPr>
        <w:t>Uber Technologies Inc, UBER:NYQ profile - FT.com</w:t>
      </w:r>
      <w:r>
        <w:rPr>
          <w:rFonts w:ascii="Times New Roman" w:hAnsi="Times New Roman" w:cs="Times New Roman"/>
        </w:rPr>
        <w:t>. [online] Available at: https://markets.ft.com/data/equities/tearsheet/profile?s=UBER:NYQ [Accessed 2 Apr. 2024].</w:t>
      </w:r>
    </w:p>
    <w:p w:rsidR="00B85DCA" w:rsidRPr="00B85DCA" w:rsidRDefault="00B85DCA" w:rsidP="00DB4824">
      <w:pPr>
        <w:jc w:val="left"/>
        <w:rPr>
          <w:rFonts w:asciiTheme="majorHAnsi" w:hAnsiTheme="majorHAnsi"/>
          <w:sz w:val="24"/>
          <w:szCs w:val="24"/>
        </w:rPr>
      </w:pPr>
    </w:p>
    <w:p w:rsidR="004E69D9" w:rsidRPr="000B1D75" w:rsidRDefault="004E69D9" w:rsidP="00183A36">
      <w:pPr>
        <w:widowControl/>
        <w:jc w:val="left"/>
        <w:rPr>
          <w:rFonts w:asciiTheme="majorHAnsi" w:hAnsiTheme="majorHAnsi"/>
          <w:b/>
          <w:sz w:val="24"/>
          <w:szCs w:val="24"/>
        </w:rPr>
      </w:pPr>
      <w:r w:rsidRPr="000B1D75">
        <w:rPr>
          <w:rFonts w:asciiTheme="majorHAnsi" w:hAnsiTheme="majorHAnsi" w:hint="eastAsia"/>
          <w:b/>
          <w:sz w:val="24"/>
          <w:szCs w:val="24"/>
        </w:rPr>
        <w:t xml:space="preserve">Appendix </w:t>
      </w:r>
      <w:r w:rsidR="00B85DCA" w:rsidRPr="000B1D75">
        <w:rPr>
          <w:rFonts w:asciiTheme="majorHAnsi" w:hAnsiTheme="majorHAnsi" w:hint="eastAsia"/>
          <w:b/>
          <w:sz w:val="24"/>
          <w:szCs w:val="24"/>
        </w:rPr>
        <w:t>A</w:t>
      </w:r>
      <w:r w:rsidR="000B1D75">
        <w:rPr>
          <w:rFonts w:asciiTheme="majorHAnsi" w:hAnsiTheme="majorHAnsi" w:hint="eastAsia"/>
          <w:b/>
          <w:sz w:val="24"/>
          <w:szCs w:val="24"/>
        </w:rPr>
        <w:t>．</w:t>
      </w:r>
      <w:r w:rsidR="000B1D75" w:rsidRPr="000B1D75">
        <w:rPr>
          <w:rFonts w:asciiTheme="majorHAnsi" w:hAnsiTheme="majorHAnsi" w:hint="eastAsia"/>
          <w:b/>
          <w:sz w:val="24"/>
          <w:szCs w:val="24"/>
        </w:rPr>
        <w:t xml:space="preserve"> </w:t>
      </w:r>
      <w:r w:rsidR="00FE3E25">
        <w:rPr>
          <w:rFonts w:asciiTheme="majorHAnsi" w:hAnsiTheme="majorHAnsi" w:hint="eastAsia"/>
          <w:b/>
          <w:sz w:val="24"/>
          <w:szCs w:val="24"/>
        </w:rPr>
        <w:t>Uber</w:t>
      </w:r>
      <w:r w:rsidR="00FE3E25">
        <w:rPr>
          <w:rFonts w:asciiTheme="majorHAnsi" w:hAnsiTheme="majorHAnsi"/>
          <w:b/>
          <w:sz w:val="24"/>
          <w:szCs w:val="24"/>
        </w:rPr>
        <w:t>’</w:t>
      </w:r>
      <w:r w:rsidR="00FE3E25">
        <w:rPr>
          <w:rFonts w:asciiTheme="majorHAnsi" w:hAnsiTheme="majorHAnsi" w:hint="eastAsia"/>
          <w:b/>
          <w:sz w:val="24"/>
          <w:szCs w:val="24"/>
        </w:rPr>
        <w:t>s s</w:t>
      </w:r>
      <w:r w:rsidR="000B1D75" w:rsidRPr="000B1D75">
        <w:rPr>
          <w:rFonts w:asciiTheme="majorHAnsi" w:hAnsiTheme="majorHAnsi"/>
          <w:b/>
          <w:sz w:val="24"/>
          <w:szCs w:val="24"/>
        </w:rPr>
        <w:t>hare price performance over the past</w:t>
      </w:r>
      <w:r w:rsidR="000B1D75">
        <w:rPr>
          <w:rFonts w:asciiTheme="majorHAnsi" w:hAnsiTheme="majorHAnsi" w:hint="eastAsia"/>
          <w:b/>
          <w:sz w:val="24"/>
          <w:szCs w:val="24"/>
        </w:rPr>
        <w:t xml:space="preserve"> one</w:t>
      </w:r>
      <w:r w:rsidR="000B1D75" w:rsidRPr="000B1D75">
        <w:rPr>
          <w:rFonts w:asciiTheme="majorHAnsi" w:hAnsiTheme="majorHAnsi"/>
          <w:b/>
          <w:sz w:val="24"/>
          <w:szCs w:val="24"/>
        </w:rPr>
        <w:t xml:space="preserve"> year</w:t>
      </w:r>
    </w:p>
    <w:p w:rsidR="004E69D9" w:rsidRDefault="004E69D9" w:rsidP="00DB4824">
      <w:pPr>
        <w:jc w:val="left"/>
        <w:rPr>
          <w:rFonts w:asciiTheme="majorHAnsi" w:hAnsiTheme="majorHAnsi"/>
          <w:sz w:val="24"/>
          <w:szCs w:val="24"/>
        </w:rPr>
      </w:pPr>
    </w:p>
    <w:tbl>
      <w:tblPr>
        <w:tblW w:w="9936" w:type="dxa"/>
        <w:tblInd w:w="95" w:type="dxa"/>
        <w:tblLook w:val="04A0"/>
      </w:tblPr>
      <w:tblGrid>
        <w:gridCol w:w="1147"/>
        <w:gridCol w:w="851"/>
        <w:gridCol w:w="1134"/>
        <w:gridCol w:w="1134"/>
        <w:gridCol w:w="1134"/>
        <w:gridCol w:w="1134"/>
        <w:gridCol w:w="1134"/>
        <w:gridCol w:w="1134"/>
        <w:gridCol w:w="1134"/>
      </w:tblGrid>
      <w:tr w:rsidR="004E69D9" w:rsidRPr="00D26E4C" w:rsidTr="005944C9">
        <w:trPr>
          <w:trHeight w:val="300"/>
        </w:trPr>
        <w:tc>
          <w:tcPr>
            <w:tcW w:w="1147" w:type="dxa"/>
            <w:tcBorders>
              <w:top w:val="single" w:sz="4" w:space="0" w:color="auto"/>
              <w:left w:val="single" w:sz="4" w:space="0" w:color="auto"/>
              <w:bottom w:val="single" w:sz="4" w:space="0" w:color="auto"/>
            </w:tcBorders>
            <w:shd w:val="clear" w:color="auto" w:fill="auto"/>
            <w:noWrap/>
            <w:vAlign w:val="center"/>
            <w:hideMark/>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Date</w:t>
            </w:r>
          </w:p>
        </w:tc>
        <w:tc>
          <w:tcPr>
            <w:tcW w:w="851" w:type="dxa"/>
            <w:tcBorders>
              <w:top w:val="single" w:sz="4" w:space="0" w:color="auto"/>
              <w:bottom w:val="single" w:sz="4" w:space="0" w:color="auto"/>
            </w:tcBorders>
            <w:shd w:val="clear" w:color="auto" w:fill="auto"/>
            <w:noWrap/>
            <w:vAlign w:val="center"/>
            <w:hideMark/>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Close</w:t>
            </w:r>
          </w:p>
        </w:tc>
        <w:tc>
          <w:tcPr>
            <w:tcW w:w="1134" w:type="dxa"/>
            <w:tcBorders>
              <w:top w:val="single" w:sz="4" w:space="0" w:color="auto"/>
              <w:bottom w:val="single" w:sz="4" w:space="0" w:color="auto"/>
              <w:right w:val="single" w:sz="4" w:space="0" w:color="auto"/>
            </w:tcBorders>
            <w:shd w:val="clear" w:color="auto" w:fill="auto"/>
            <w:noWrap/>
            <w:vAlign w:val="center"/>
            <w:hideMark/>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RETURNS</w:t>
            </w:r>
          </w:p>
        </w:tc>
        <w:tc>
          <w:tcPr>
            <w:tcW w:w="1134" w:type="dxa"/>
            <w:tcBorders>
              <w:top w:val="single" w:sz="4" w:space="0" w:color="auto"/>
              <w:bottom w:val="single" w:sz="4" w:space="0" w:color="auto"/>
            </w:tcBorders>
            <w:vAlign w:val="center"/>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Date</w:t>
            </w:r>
          </w:p>
        </w:tc>
        <w:tc>
          <w:tcPr>
            <w:tcW w:w="1134" w:type="dxa"/>
            <w:tcBorders>
              <w:top w:val="single" w:sz="4" w:space="0" w:color="auto"/>
              <w:bottom w:val="single" w:sz="4" w:space="0" w:color="auto"/>
            </w:tcBorders>
            <w:vAlign w:val="center"/>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Close</w:t>
            </w:r>
          </w:p>
        </w:tc>
        <w:tc>
          <w:tcPr>
            <w:tcW w:w="1134" w:type="dxa"/>
            <w:tcBorders>
              <w:top w:val="single" w:sz="4" w:space="0" w:color="auto"/>
              <w:bottom w:val="single" w:sz="4" w:space="0" w:color="auto"/>
              <w:right w:val="single" w:sz="4" w:space="0" w:color="auto"/>
            </w:tcBorders>
            <w:vAlign w:val="center"/>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RETURNS</w:t>
            </w:r>
          </w:p>
        </w:tc>
        <w:tc>
          <w:tcPr>
            <w:tcW w:w="1134" w:type="dxa"/>
            <w:tcBorders>
              <w:top w:val="single" w:sz="4" w:space="0" w:color="auto"/>
              <w:left w:val="single" w:sz="4" w:space="0" w:color="auto"/>
              <w:bottom w:val="single" w:sz="4" w:space="0" w:color="auto"/>
            </w:tcBorders>
            <w:vAlign w:val="center"/>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Date</w:t>
            </w:r>
          </w:p>
        </w:tc>
        <w:tc>
          <w:tcPr>
            <w:tcW w:w="1134" w:type="dxa"/>
            <w:tcBorders>
              <w:top w:val="single" w:sz="4" w:space="0" w:color="auto"/>
              <w:bottom w:val="single" w:sz="4" w:space="0" w:color="auto"/>
            </w:tcBorders>
            <w:vAlign w:val="center"/>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Close</w:t>
            </w:r>
          </w:p>
        </w:tc>
        <w:tc>
          <w:tcPr>
            <w:tcW w:w="1134" w:type="dxa"/>
            <w:tcBorders>
              <w:top w:val="single" w:sz="4" w:space="0" w:color="auto"/>
              <w:bottom w:val="single" w:sz="4" w:space="0" w:color="auto"/>
              <w:right w:val="single" w:sz="4" w:space="0" w:color="auto"/>
            </w:tcBorders>
            <w:vAlign w:val="center"/>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RETURNS</w:t>
            </w:r>
          </w:p>
        </w:tc>
      </w:tr>
      <w:tr w:rsidR="004E69D9" w:rsidRPr="00D26E4C" w:rsidTr="005944C9">
        <w:trPr>
          <w:trHeight w:val="300"/>
        </w:trPr>
        <w:tc>
          <w:tcPr>
            <w:tcW w:w="1147" w:type="dxa"/>
            <w:tcBorders>
              <w:top w:val="single" w:sz="4" w:space="0" w:color="auto"/>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2023/4/4</w:t>
            </w:r>
          </w:p>
        </w:tc>
        <w:tc>
          <w:tcPr>
            <w:tcW w:w="851" w:type="dxa"/>
            <w:tcBorders>
              <w:top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31.39 </w:t>
            </w:r>
          </w:p>
        </w:tc>
        <w:tc>
          <w:tcPr>
            <w:tcW w:w="1134" w:type="dxa"/>
            <w:tcBorders>
              <w:top w:val="single" w:sz="4" w:space="0" w:color="auto"/>
              <w:right w:val="single" w:sz="4" w:space="0" w:color="auto"/>
            </w:tcBorders>
            <w:shd w:val="clear" w:color="auto" w:fill="auto"/>
            <w:noWrap/>
            <w:vAlign w:val="center"/>
            <w:hideMark/>
          </w:tcPr>
          <w:p w:rsidR="004E69D9" w:rsidRPr="00D26E4C" w:rsidRDefault="004E69D9" w:rsidP="005944C9">
            <w:pPr>
              <w:widowControl/>
              <w:jc w:val="lef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　</w:t>
            </w:r>
          </w:p>
        </w:tc>
        <w:tc>
          <w:tcPr>
            <w:tcW w:w="1134" w:type="dxa"/>
            <w:tcBorders>
              <w:top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2023/6/9</w:t>
            </w:r>
          </w:p>
        </w:tc>
        <w:tc>
          <w:tcPr>
            <w:tcW w:w="1134" w:type="dxa"/>
            <w:tcBorders>
              <w:top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40.99 </w:t>
            </w:r>
          </w:p>
        </w:tc>
        <w:tc>
          <w:tcPr>
            <w:tcW w:w="1134" w:type="dxa"/>
            <w:tcBorders>
              <w:top w:val="single" w:sz="4" w:space="0" w:color="auto"/>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1.81%</w:t>
            </w:r>
          </w:p>
        </w:tc>
        <w:tc>
          <w:tcPr>
            <w:tcW w:w="1134" w:type="dxa"/>
            <w:tcBorders>
              <w:top w:val="single" w:sz="4" w:space="0" w:color="auto"/>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2023/8/16</w:t>
            </w:r>
          </w:p>
        </w:tc>
        <w:tc>
          <w:tcPr>
            <w:tcW w:w="1134" w:type="dxa"/>
            <w:tcBorders>
              <w:top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43.65 </w:t>
            </w:r>
          </w:p>
        </w:tc>
        <w:tc>
          <w:tcPr>
            <w:tcW w:w="1134" w:type="dxa"/>
            <w:tcBorders>
              <w:top w:val="single" w:sz="4" w:space="0" w:color="auto"/>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-0.98%</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31.12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41.74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1.83%</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43.97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31.18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41.41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44.69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1.64%</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31.74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41.27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44.63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31.12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-1.95%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2023/6/15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43.36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5.06%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44.35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30.59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2023/6/16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43.52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45.14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1.78%</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2023/4/13</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31.44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2.78%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42.17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-3.10%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44.68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-1.02%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31.48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42.66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43.96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-1.61%</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32.08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1.91%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42.81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44.15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31.73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-1.09%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43.34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45.35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2.72%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2023/4/19</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32.04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44.42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2.49%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2023/8/30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46.51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2.56%</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31.50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-1.69%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43.83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-1.33%</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2023/8/31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47.23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1.55%</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30.83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44.24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47.04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-0.40%</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30.68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42.58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-3.75%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46.55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-1.04%</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29.59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-3.55%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2023/6/30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43.17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45.90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-1.40%</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29.68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43.09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46.27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0.81%</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29.70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43.66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47.24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2.10%</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2023/4/28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31.05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4.55%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42.11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-3.55%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48.94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3.60%</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32.74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5.44%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42.91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1.90%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47.92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-2.08%</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36.52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11.55%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42.78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48.16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0.50%</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2023/5/3</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37.84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3.61%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44.36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3.69%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48.32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37.49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44.52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47.52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-1.66%</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37.75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45.64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2.52%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46.51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38.83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2.86%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44.75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-1.95%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47.59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2.32%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2023/5/9</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38.19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-1.65%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45.51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46.55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-2.19%</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38.79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1.57%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4.17%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44.60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-4.19%</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38.42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47.12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-0.61%</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38.45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46.57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44.91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38.14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47.23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44.27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37.44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47.32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45.14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1.97%</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lastRenderedPageBreak/>
              <w:t>2023/5/17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37.84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1.07%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47.17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46.14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2.22%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39.25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3.73%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47.31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2023/9/29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45.99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2023/5/19</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39.18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46.61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-1.48%</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45.68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-0.67%</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2023/5/22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39.17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48.14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3.28%</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44.51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-2.56%</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2023/5/23</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38.66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2023/7/31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49.46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2.74%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44.94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0.97%</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2023/5/24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37.96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46.65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-5.68%</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44.61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2023/5/25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37.95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46.96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45.78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2.62%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2023/5/26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38.45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45.91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-2.24%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45.45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2023/5/30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37.56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-2.31%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45.20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-1.55%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46.63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2.60%</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2023/5/31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37.93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44.95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-0.55%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46.64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0.02%</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38.48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45.16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45.95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-1.48%</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39.73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44.11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-2.33%</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43.48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-5.38%</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40.42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44.60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1.11%</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44.71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2.83%</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40.25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43.71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44.38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-0.74%</w:t>
            </w:r>
          </w:p>
        </w:tc>
      </w:tr>
      <w:tr w:rsidR="004E69D9" w:rsidRPr="00D26E4C" w:rsidTr="005944C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38.99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44.85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2.61%</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43.00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-3.11%</w:t>
            </w:r>
          </w:p>
        </w:tc>
      </w:tr>
      <w:tr w:rsidR="004E69D9" w:rsidRPr="00D26E4C" w:rsidTr="004E69D9">
        <w:trPr>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2023/6/8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40.26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2023/8/15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44.08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42.72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-0.65%</w:t>
            </w:r>
          </w:p>
        </w:tc>
      </w:tr>
      <w:tr w:rsidR="004E69D9" w:rsidRPr="00D26E4C" w:rsidTr="004E69D9">
        <w:trPr>
          <w:trHeight w:val="300"/>
        </w:trPr>
        <w:tc>
          <w:tcPr>
            <w:tcW w:w="1147"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2023/10/24</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44.19 </w:t>
            </w:r>
          </w:p>
        </w:tc>
        <w:tc>
          <w:tcPr>
            <w:tcW w:w="1134"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2.67%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58.38 </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-5.18%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77.47 </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-1.56%</w:t>
            </w:r>
          </w:p>
        </w:tc>
      </w:tr>
      <w:tr w:rsidR="004E69D9" w:rsidRPr="00D26E4C" w:rsidTr="004E69D9">
        <w:trPr>
          <w:trHeight w:val="300"/>
        </w:trPr>
        <w:tc>
          <w:tcPr>
            <w:tcW w:w="1147"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2023/10/25</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42.35 </w:t>
            </w:r>
          </w:p>
        </w:tc>
        <w:tc>
          <w:tcPr>
            <w:tcW w:w="1134"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-4.16%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58.25 </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78.32 </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1.10%</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2023/10/26</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40.62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-4.09%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57.80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78.25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-0.09%</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2023/10/27</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41.23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1.50%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57.58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-0.38%</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77.65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-0.77%</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2023/10/30</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42.73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3.64%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59.01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2.48%</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76.07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-2.03%</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2023/10/31</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43.28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60.30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75.70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-0.49%</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43.83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62.41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3.50%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77.08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1.82%</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46.48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6.05%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63.47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78.64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2023/11/3</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47.75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2.73%</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63.20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-0.43%</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80.25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2.05%</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2023/11/6</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48.14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63.65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0.71%</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80.23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-0.02%</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2023/11/7</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49.92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3.70%</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63.12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-0.83%</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79.41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-1.02%</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2023/11/8</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49.50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64.88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2.79%</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77.91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-1.89%</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2023/11/9</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50.05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1.11%</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2024/1/19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65.11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0.35%</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78.11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0.26%</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2023/11/10</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51.58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3.06%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64.55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76.99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-1.43%</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2023/11/13</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52.24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1.28%</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64.32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-0.36%</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2024/4/1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76.40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-0.77%</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2023/11/14</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53.88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3.14%</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63.76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-0.87%</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2024/4/2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76.98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0.76%</w:t>
            </w:r>
          </w:p>
        </w:tc>
      </w:tr>
      <w:tr w:rsidR="004E69D9" w:rsidRPr="004E69D9" w:rsidTr="004E69D9">
        <w:trPr>
          <w:trHeight w:val="300"/>
        </w:trPr>
        <w:tc>
          <w:tcPr>
            <w:tcW w:w="1147" w:type="dxa"/>
            <w:tcBorders>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2023/11/15</w:t>
            </w:r>
          </w:p>
        </w:tc>
        <w:tc>
          <w:tcPr>
            <w:tcW w:w="851" w:type="dxa"/>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53.76 </w:t>
            </w:r>
          </w:p>
        </w:tc>
        <w:tc>
          <w:tcPr>
            <w:tcW w:w="1134" w:type="dxa"/>
            <w:tcBorders>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-0.22%</w:t>
            </w:r>
          </w:p>
        </w:tc>
        <w:tc>
          <w:tcPr>
            <w:tcW w:w="1134" w:type="dxa"/>
            <w:tcBorders>
              <w:lef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66.00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3.51%</w:t>
            </w:r>
          </w:p>
        </w:tc>
        <w:tc>
          <w:tcPr>
            <w:tcW w:w="1134" w:type="dxa"/>
            <w:tcBorders>
              <w:left w:val="single" w:sz="4" w:space="0" w:color="auto"/>
              <w:bottom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2024/4/3</w:t>
            </w:r>
          </w:p>
        </w:tc>
        <w:tc>
          <w:tcPr>
            <w:tcW w:w="1134" w:type="dxa"/>
            <w:tcBorders>
              <w:bottom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76.81 </w:t>
            </w:r>
          </w:p>
        </w:tc>
        <w:tc>
          <w:tcPr>
            <w:tcW w:w="1134" w:type="dxa"/>
            <w:tcBorders>
              <w:bottom w:val="single" w:sz="4" w:space="0" w:color="auto"/>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-0.22%</w:t>
            </w:r>
          </w:p>
        </w:tc>
      </w:tr>
      <w:tr w:rsidR="004E69D9" w:rsidRPr="004E69D9"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54.42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65.52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-0.73%</w:t>
            </w:r>
          </w:p>
        </w:tc>
      </w:tr>
      <w:tr w:rsidR="004E69D9" w:rsidRPr="004E69D9"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2023/11/17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54.44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66.98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2.23%</w:t>
            </w:r>
          </w:p>
        </w:tc>
      </w:tr>
      <w:tr w:rsidR="004E69D9" w:rsidRPr="004E69D9"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54.75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0.57%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2024/1/30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66.84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-0.21%</w:t>
            </w:r>
          </w:p>
        </w:tc>
      </w:tr>
      <w:tr w:rsidR="004E69D9" w:rsidRPr="004E69D9"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54.85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2024/1/31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65.27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-2.35%</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55.37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66.73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2.24%</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55.32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68.07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2.01%</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56.06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68.99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1.35%</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56.21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70.47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2.15%</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2023/11/29</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56.40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70.65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0.26%</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2023/11/30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56.38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-0.04%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71.61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1.36%</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57.35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1.72%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70.91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-0.98%</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58.63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2024/2/12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69.12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-2.52%</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57.97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2024/2/13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68.99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-0.19%</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59.75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3.07%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2024/2/14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79.15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14.73%</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60.98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2024/2/15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81.39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2.83%</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61.70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1.18%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2024/2/16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-3.66%</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lastRenderedPageBreak/>
              <w:t>2023/12/11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62.46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76.60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-2.31%</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62.72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76.44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-0.21%</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2023/12/13</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61.97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78.03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2.08%</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2023/12/14</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62.50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78.20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0.22%</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2023/12/15</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61.86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-1.02%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78.36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0.20%</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61.73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78.75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0.50%</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2023/12/19</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62.12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0.63%</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2024/2/28</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77.73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-1.30%</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2023/12/20</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60.68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-2.32%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2024/2/29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79.50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2.28%</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2023/12/21</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61.46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1.29%</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81.03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1.92%</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2023/12/22</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61.71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0.41%</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81.30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0.33%</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2023/12/26</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61.98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0.44%</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2024/3/5</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79.09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-2.72%</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2023/12/27</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63.28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2.10%</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2024/3/6</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78.64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-0.57%</w:t>
            </w:r>
          </w:p>
        </w:tc>
      </w:tr>
      <w:tr w:rsidR="004E69D9" w:rsidRPr="00D26E4C" w:rsidTr="005944C9">
        <w:trPr>
          <w:gridAfter w:val="3"/>
          <w:wAfter w:w="3402" w:type="dxa"/>
          <w:trHeight w:val="300"/>
        </w:trPr>
        <w:tc>
          <w:tcPr>
            <w:tcW w:w="1147" w:type="dxa"/>
            <w:tcBorders>
              <w:top w:val="nil"/>
              <w:lef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2023/12/28</w:t>
            </w:r>
          </w:p>
        </w:tc>
        <w:tc>
          <w:tcPr>
            <w:tcW w:w="851" w:type="dxa"/>
            <w:tcBorders>
              <w:top w:val="nil"/>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63.14 </w:t>
            </w:r>
          </w:p>
        </w:tc>
        <w:tc>
          <w:tcPr>
            <w:tcW w:w="1134" w:type="dxa"/>
            <w:tcBorders>
              <w:top w:val="nil"/>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-0.22%</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2024/3/7</w:t>
            </w:r>
          </w:p>
        </w:tc>
        <w:tc>
          <w:tcPr>
            <w:tcW w:w="1134" w:type="dxa"/>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79.41 </w:t>
            </w:r>
          </w:p>
        </w:tc>
        <w:tc>
          <w:tcPr>
            <w:tcW w:w="1134" w:type="dxa"/>
            <w:tcBorders>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0.98%</w:t>
            </w:r>
          </w:p>
        </w:tc>
      </w:tr>
      <w:tr w:rsidR="004E69D9" w:rsidRPr="00D26E4C" w:rsidTr="005944C9">
        <w:trPr>
          <w:gridAfter w:val="3"/>
          <w:wAfter w:w="3402" w:type="dxa"/>
          <w:trHeight w:val="300"/>
        </w:trPr>
        <w:tc>
          <w:tcPr>
            <w:tcW w:w="1147" w:type="dxa"/>
            <w:tcBorders>
              <w:top w:val="nil"/>
              <w:left w:val="single" w:sz="4" w:space="0" w:color="auto"/>
              <w:bottom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2023/12/29</w:t>
            </w:r>
          </w:p>
        </w:tc>
        <w:tc>
          <w:tcPr>
            <w:tcW w:w="851" w:type="dxa"/>
            <w:tcBorders>
              <w:top w:val="nil"/>
              <w:bottom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61.57 </w:t>
            </w:r>
          </w:p>
        </w:tc>
        <w:tc>
          <w:tcPr>
            <w:tcW w:w="1134" w:type="dxa"/>
            <w:tcBorders>
              <w:top w:val="nil"/>
              <w:bottom w:val="single" w:sz="4" w:space="0" w:color="auto"/>
              <w:right w:val="single" w:sz="4" w:space="0" w:color="auto"/>
            </w:tcBorders>
            <w:shd w:val="clear" w:color="auto" w:fill="auto"/>
            <w:noWrap/>
            <w:vAlign w:val="center"/>
            <w:hideMark/>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-2.49%</w:t>
            </w:r>
          </w:p>
        </w:tc>
        <w:tc>
          <w:tcPr>
            <w:tcW w:w="1134" w:type="dxa"/>
            <w:tcBorders>
              <w:bottom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2024/3/8</w:t>
            </w:r>
          </w:p>
        </w:tc>
        <w:tc>
          <w:tcPr>
            <w:tcW w:w="1134" w:type="dxa"/>
            <w:tcBorders>
              <w:bottom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 xml:space="preserve">78.70 </w:t>
            </w:r>
          </w:p>
        </w:tc>
        <w:tc>
          <w:tcPr>
            <w:tcW w:w="1134" w:type="dxa"/>
            <w:tcBorders>
              <w:bottom w:val="single" w:sz="4" w:space="0" w:color="auto"/>
              <w:right w:val="single" w:sz="4" w:space="0" w:color="auto"/>
            </w:tcBorders>
            <w:vAlign w:val="center"/>
          </w:tcPr>
          <w:p w:rsidR="004E69D9" w:rsidRPr="00D26E4C" w:rsidRDefault="004E69D9" w:rsidP="005944C9">
            <w:pPr>
              <w:widowControl/>
              <w:jc w:val="right"/>
              <w:rPr>
                <w:rFonts w:ascii="Times New Roman" w:eastAsia="宋体" w:hAnsi="Times New Roman" w:cs="Times New Roman"/>
                <w:color w:val="000000"/>
                <w:kern w:val="0"/>
                <w:sz w:val="15"/>
                <w:szCs w:val="15"/>
              </w:rPr>
            </w:pPr>
            <w:r w:rsidRPr="00D26E4C">
              <w:rPr>
                <w:rFonts w:ascii="Times New Roman" w:eastAsia="宋体" w:hAnsi="Times New Roman" w:cs="Times New Roman"/>
                <w:color w:val="000000"/>
                <w:kern w:val="0"/>
                <w:sz w:val="15"/>
                <w:szCs w:val="15"/>
              </w:rPr>
              <w:t>-0.89%</w:t>
            </w:r>
          </w:p>
        </w:tc>
      </w:tr>
    </w:tbl>
    <w:p w:rsidR="00B85DCA" w:rsidRDefault="00B85DCA" w:rsidP="00DB4824">
      <w:pPr>
        <w:jc w:val="left"/>
        <w:rPr>
          <w:rFonts w:asciiTheme="majorHAnsi" w:hAnsiTheme="majorHAnsi"/>
          <w:sz w:val="24"/>
          <w:szCs w:val="24"/>
        </w:rPr>
      </w:pPr>
    </w:p>
    <w:p w:rsidR="00B85DCA" w:rsidRPr="00183A36" w:rsidRDefault="00B85DCA" w:rsidP="00183A36">
      <w:pPr>
        <w:widowControl/>
        <w:jc w:val="left"/>
        <w:rPr>
          <w:rFonts w:asciiTheme="majorHAnsi" w:hAnsiTheme="majorHAnsi"/>
          <w:sz w:val="24"/>
          <w:szCs w:val="24"/>
        </w:rPr>
      </w:pPr>
      <w:r w:rsidRPr="000B1D75">
        <w:rPr>
          <w:rFonts w:asciiTheme="majorHAnsi" w:hAnsiTheme="majorHAnsi" w:hint="eastAsia"/>
          <w:b/>
          <w:sz w:val="24"/>
          <w:szCs w:val="24"/>
        </w:rPr>
        <w:t>Appendix B</w:t>
      </w:r>
      <w:r w:rsidR="000B1D75">
        <w:rPr>
          <w:rFonts w:asciiTheme="majorHAnsi" w:hAnsiTheme="majorHAnsi" w:hint="eastAsia"/>
          <w:b/>
          <w:sz w:val="24"/>
          <w:szCs w:val="24"/>
        </w:rPr>
        <w:t>．</w:t>
      </w:r>
      <w:r w:rsidRPr="000B1D75">
        <w:rPr>
          <w:rFonts w:asciiTheme="majorHAnsi" w:hAnsiTheme="majorHAnsi" w:hint="eastAsia"/>
          <w:b/>
          <w:sz w:val="24"/>
          <w:szCs w:val="24"/>
        </w:rPr>
        <w:t xml:space="preserve"> Equations</w:t>
      </w:r>
    </w:p>
    <w:p w:rsidR="00B45D2B" w:rsidRDefault="00B45D2B" w:rsidP="00B85DCA">
      <w:pPr>
        <w:rPr>
          <w:kern w:val="0"/>
          <w:sz w:val="24"/>
          <w:szCs w:val="24"/>
        </w:rPr>
      </w:pPr>
    </w:p>
    <w:tbl>
      <w:tblPr>
        <w:tblStyle w:val="ab"/>
        <w:tblW w:w="0" w:type="auto"/>
        <w:tblInd w:w="108" w:type="dxa"/>
        <w:tblLook w:val="04A0"/>
      </w:tblPr>
      <w:tblGrid>
        <w:gridCol w:w="2376"/>
        <w:gridCol w:w="3828"/>
      </w:tblGrid>
      <w:tr w:rsidR="00B85DCA" w:rsidTr="000B1D75">
        <w:tc>
          <w:tcPr>
            <w:tcW w:w="2376" w:type="dxa"/>
            <w:vAlign w:val="center"/>
          </w:tcPr>
          <w:p w:rsidR="00B85DCA" w:rsidRPr="000B1D75" w:rsidRDefault="00B85DCA" w:rsidP="000B1D75">
            <w:pPr>
              <w:rPr>
                <w:rFonts w:asciiTheme="majorHAnsi" w:hAnsiTheme="majorHAnsi"/>
                <w:szCs w:val="21"/>
              </w:rPr>
            </w:pPr>
            <w:r w:rsidRPr="000B1D75">
              <w:rPr>
                <w:rFonts w:asciiTheme="majorHAnsi" w:hAnsiTheme="majorHAnsi" w:hint="eastAsia"/>
                <w:szCs w:val="21"/>
              </w:rPr>
              <w:t>CAGR</w:t>
            </w:r>
          </w:p>
        </w:tc>
        <w:tc>
          <w:tcPr>
            <w:tcW w:w="3828" w:type="dxa"/>
          </w:tcPr>
          <w:p w:rsidR="00B85DCA" w:rsidRPr="000B1D75" w:rsidRDefault="00B45D2B" w:rsidP="00B45D2B">
            <w:pPr>
              <w:jc w:val="left"/>
              <w:rPr>
                <w:rFonts w:asciiTheme="majorHAnsi" w:hAnsiTheme="majorHAnsi"/>
                <w:szCs w:val="21"/>
              </w:rPr>
            </w:pPr>
            <m:oMathPara>
              <m:oMathParaPr>
                <m:jc m:val="left"/>
              </m:oMathParaPr>
              <m:oMath>
                <m:r>
                  <m:rPr>
                    <m:sty m:val="p"/>
                  </m:rPr>
                  <w:rPr>
                    <w:rFonts w:ascii="Cambria Math" w:hAnsi="Cambria Math"/>
                    <w:szCs w:val="21"/>
                  </w:rPr>
                  <m:t xml:space="preserve">       </m:t>
                </m:r>
                <m:sSup>
                  <m:sSupPr>
                    <m:ctrlPr>
                      <w:rPr>
                        <w:rFonts w:ascii="Cambria Math" w:hAnsi="Cambria Math"/>
                        <w:szCs w:val="21"/>
                      </w:rPr>
                    </m:ctrlPr>
                  </m:sSupPr>
                  <m:e>
                    <m:r>
                      <m:rPr>
                        <m:sty m:val="p"/>
                      </m:rPr>
                      <w:rPr>
                        <w:rFonts w:ascii="Cambria Math" w:hAnsi="Cambria Math"/>
                        <w:szCs w:val="21"/>
                      </w:rPr>
                      <m:t xml:space="preserve">( </m:t>
                    </m:r>
                    <m:f>
                      <m:fPr>
                        <m:ctrlPr>
                          <w:rPr>
                            <w:rFonts w:ascii="Cambria Math" w:hAnsi="Cambria Math"/>
                            <w:szCs w:val="21"/>
                          </w:rPr>
                        </m:ctrlPr>
                      </m:fPr>
                      <m:num>
                        <m:r>
                          <m:rPr>
                            <m:sty m:val="p"/>
                          </m:rPr>
                          <w:rPr>
                            <w:rFonts w:ascii="Cambria Math" w:hAnsi="Cambria Math"/>
                            <w:szCs w:val="21"/>
                          </w:rPr>
                          <m:t>vfinal</m:t>
                        </m:r>
                      </m:num>
                      <m:den>
                        <m:r>
                          <m:rPr>
                            <m:sty m:val="p"/>
                          </m:rPr>
                          <w:rPr>
                            <w:rFonts w:ascii="Cambria Math" w:hAnsi="Cambria Math"/>
                            <w:szCs w:val="21"/>
                          </w:rPr>
                          <m:t>vbegin</m:t>
                        </m:r>
                      </m:den>
                    </m:f>
                    <m:r>
                      <m:rPr>
                        <m:sty m:val="p"/>
                      </m:rPr>
                      <w:rPr>
                        <w:rFonts w:ascii="Cambria Math" w:hAnsi="Cambria Math"/>
                        <w:szCs w:val="21"/>
                      </w:rPr>
                      <m:t xml:space="preserve"> )</m:t>
                    </m:r>
                  </m:e>
                  <m:sup>
                    <m:f>
                      <m:fPr>
                        <m:ctrlPr>
                          <w:rPr>
                            <w:rFonts w:ascii="Cambria Math" w:hAnsi="Cambria Math"/>
                            <w:szCs w:val="21"/>
                          </w:rPr>
                        </m:ctrlPr>
                      </m:fPr>
                      <m:num>
                        <m:r>
                          <m:rPr>
                            <m:sty m:val="p"/>
                          </m:rPr>
                          <w:rPr>
                            <w:rFonts w:ascii="Cambria Math" w:hAnsi="Cambria Math"/>
                            <w:szCs w:val="21"/>
                          </w:rPr>
                          <m:t>1</m:t>
                        </m:r>
                      </m:num>
                      <m:den>
                        <m:r>
                          <m:rPr>
                            <m:sty m:val="p"/>
                          </m:rPr>
                          <w:rPr>
                            <w:rFonts w:ascii="Cambria Math" w:hAnsi="Cambria Math"/>
                            <w:szCs w:val="21"/>
                          </w:rPr>
                          <m:t>t</m:t>
                        </m:r>
                      </m:den>
                    </m:f>
                  </m:sup>
                </m:sSup>
                <m:r>
                  <m:rPr>
                    <m:sty m:val="p"/>
                  </m:rPr>
                  <w:rPr>
                    <w:rFonts w:ascii="Cambria Math" w:hAnsi="Cambria Math"/>
                    <w:szCs w:val="21"/>
                  </w:rPr>
                  <m:t>-1</m:t>
                </m:r>
              </m:oMath>
            </m:oMathPara>
          </w:p>
        </w:tc>
      </w:tr>
      <w:tr w:rsidR="00B85DCA" w:rsidTr="000B1D75">
        <w:tc>
          <w:tcPr>
            <w:tcW w:w="2376" w:type="dxa"/>
            <w:vAlign w:val="center"/>
          </w:tcPr>
          <w:p w:rsidR="00B85DCA" w:rsidRPr="000B1D75" w:rsidRDefault="00B85DCA" w:rsidP="000B1D75">
            <w:pPr>
              <w:rPr>
                <w:rFonts w:asciiTheme="majorHAnsi" w:hAnsiTheme="majorHAnsi"/>
                <w:szCs w:val="21"/>
              </w:rPr>
            </w:pPr>
            <w:r w:rsidRPr="000B1D75">
              <w:rPr>
                <w:rFonts w:asciiTheme="majorHAnsi" w:hAnsiTheme="majorHAnsi"/>
                <w:szCs w:val="21"/>
              </w:rPr>
              <w:t>Sharpe Ratio</w:t>
            </w:r>
          </w:p>
        </w:tc>
        <w:tc>
          <w:tcPr>
            <w:tcW w:w="3828" w:type="dxa"/>
          </w:tcPr>
          <w:p w:rsidR="00B85DCA" w:rsidRPr="000B1D75" w:rsidRDefault="00B45D2B" w:rsidP="00DB4824">
            <w:pPr>
              <w:jc w:val="left"/>
              <w:rPr>
                <w:rFonts w:asciiTheme="majorHAnsi" w:hAnsiTheme="majorHAnsi"/>
                <w:szCs w:val="21"/>
              </w:rPr>
            </w:pPr>
            <m:oMathPara>
              <m:oMathParaPr>
                <m:jc m:val="left"/>
              </m:oMathParaPr>
              <m:oMath>
                <m:r>
                  <m:rPr>
                    <m:sty m:val="p"/>
                  </m:rPr>
                  <w:rPr>
                    <w:rFonts w:ascii="Cambria Math" w:hAnsi="Cambria Math"/>
                    <w:szCs w:val="21"/>
                  </w:rPr>
                  <m:t xml:space="preserve">       </m:t>
                </m:r>
                <m:f>
                  <m:fPr>
                    <m:ctrlPr>
                      <w:rPr>
                        <w:rFonts w:ascii="Cambria Math" w:hAnsi="Cambria Math"/>
                        <w:szCs w:val="21"/>
                      </w:rPr>
                    </m:ctrlPr>
                  </m:fPr>
                  <m:num>
                    <m:r>
                      <m:rPr>
                        <m:sty m:val="p"/>
                      </m:rPr>
                      <w:rPr>
                        <w:rFonts w:ascii="Cambria Math" w:hAnsi="Cambria Math"/>
                        <w:szCs w:val="21"/>
                      </w:rPr>
                      <m:t>rp-rf</m:t>
                    </m:r>
                  </m:num>
                  <m:den>
                    <m:r>
                      <m:rPr>
                        <m:sty m:val="p"/>
                      </m:rPr>
                      <w:rPr>
                        <w:rFonts w:ascii="Cambria Math" w:hAnsi="Cambria Math"/>
                        <w:szCs w:val="21"/>
                      </w:rPr>
                      <m:t>σp</m:t>
                    </m:r>
                  </m:den>
                </m:f>
              </m:oMath>
            </m:oMathPara>
          </w:p>
        </w:tc>
      </w:tr>
      <w:tr w:rsidR="00B85DCA" w:rsidTr="000B1D75">
        <w:tc>
          <w:tcPr>
            <w:tcW w:w="2376" w:type="dxa"/>
            <w:vAlign w:val="center"/>
          </w:tcPr>
          <w:p w:rsidR="00B85DCA" w:rsidRPr="000B1D75" w:rsidRDefault="00B85DCA" w:rsidP="000B1D75">
            <w:pPr>
              <w:rPr>
                <w:rFonts w:asciiTheme="majorHAnsi" w:hAnsiTheme="majorHAnsi"/>
                <w:szCs w:val="21"/>
              </w:rPr>
            </w:pPr>
            <w:r w:rsidRPr="000B1D75">
              <w:rPr>
                <w:rFonts w:asciiTheme="majorHAnsi" w:hAnsiTheme="majorHAnsi"/>
                <w:szCs w:val="21"/>
              </w:rPr>
              <w:t>Treynor Ratio</w:t>
            </w:r>
          </w:p>
        </w:tc>
        <w:tc>
          <w:tcPr>
            <w:tcW w:w="3828" w:type="dxa"/>
          </w:tcPr>
          <w:p w:rsidR="00B85DCA" w:rsidRPr="000B1D75" w:rsidRDefault="00B45D2B" w:rsidP="00B85DCA">
            <w:pPr>
              <w:jc w:val="left"/>
              <w:rPr>
                <w:rFonts w:asciiTheme="majorHAnsi" w:hAnsiTheme="majorHAnsi"/>
                <w:szCs w:val="21"/>
              </w:rPr>
            </w:pPr>
            <m:oMathPara>
              <m:oMathParaPr>
                <m:jc m:val="left"/>
              </m:oMathParaPr>
              <m:oMath>
                <m:r>
                  <m:rPr>
                    <m:sty m:val="p"/>
                  </m:rPr>
                  <w:rPr>
                    <w:rFonts w:ascii="Cambria Math" w:hAnsi="Cambria Math"/>
                    <w:szCs w:val="21"/>
                  </w:rPr>
                  <m:t xml:space="preserve">       </m:t>
                </m:r>
                <m:f>
                  <m:fPr>
                    <m:ctrlPr>
                      <w:rPr>
                        <w:rFonts w:ascii="Cambria Math" w:hAnsi="Cambria Math"/>
                        <w:szCs w:val="21"/>
                      </w:rPr>
                    </m:ctrlPr>
                  </m:fPr>
                  <m:num>
                    <m:r>
                      <m:rPr>
                        <m:sty m:val="p"/>
                      </m:rPr>
                      <w:rPr>
                        <w:rFonts w:ascii="Cambria Math" w:hAnsi="Cambria Math"/>
                        <w:szCs w:val="21"/>
                      </w:rPr>
                      <m:t>rp-rf</m:t>
                    </m:r>
                  </m:num>
                  <m:den>
                    <m:r>
                      <m:rPr>
                        <m:sty m:val="p"/>
                      </m:rPr>
                      <w:rPr>
                        <w:rFonts w:ascii="Cambria Math" w:hAnsi="Cambria Math"/>
                        <w:szCs w:val="21"/>
                      </w:rPr>
                      <m:t>βp</m:t>
                    </m:r>
                  </m:den>
                </m:f>
              </m:oMath>
            </m:oMathPara>
          </w:p>
        </w:tc>
      </w:tr>
    </w:tbl>
    <w:p w:rsidR="00B85DCA" w:rsidRPr="00AE74AE" w:rsidRDefault="00B85DCA" w:rsidP="00DB4824">
      <w:pPr>
        <w:jc w:val="left"/>
        <w:rPr>
          <w:rFonts w:asciiTheme="majorHAnsi" w:hAnsiTheme="majorHAnsi"/>
          <w:sz w:val="24"/>
          <w:szCs w:val="24"/>
        </w:rPr>
      </w:pPr>
    </w:p>
    <w:sectPr w:rsidR="00B85DCA" w:rsidRPr="00AE74AE" w:rsidSect="004B630E">
      <w:pgSz w:w="11906" w:h="16838"/>
      <w:pgMar w:top="720" w:right="720" w:bottom="720" w:left="72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6C0A" w:rsidRDefault="000D6C0A" w:rsidP="0022693A">
      <w:r>
        <w:separator/>
      </w:r>
    </w:p>
  </w:endnote>
  <w:endnote w:type="continuationSeparator" w:id="1">
    <w:p w:rsidR="000D6C0A" w:rsidRDefault="000D6C0A" w:rsidP="0022693A">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6C0A" w:rsidRDefault="000D6C0A" w:rsidP="0022693A">
      <w:r>
        <w:separator/>
      </w:r>
    </w:p>
  </w:footnote>
  <w:footnote w:type="continuationSeparator" w:id="1">
    <w:p w:rsidR="000D6C0A" w:rsidRDefault="000D6C0A" w:rsidP="0022693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E6308C"/>
    <w:multiLevelType w:val="hybridMultilevel"/>
    <w:tmpl w:val="2F6C8E5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1A776FAA"/>
    <w:multiLevelType w:val="multilevel"/>
    <w:tmpl w:val="54420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071CE3"/>
    <w:multiLevelType w:val="multilevel"/>
    <w:tmpl w:val="F4BA3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01E5D0D"/>
    <w:multiLevelType w:val="multilevel"/>
    <w:tmpl w:val="FF3C3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D6701C3"/>
    <w:multiLevelType w:val="multilevel"/>
    <w:tmpl w:val="6A1A0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4CE0231"/>
    <w:multiLevelType w:val="multilevel"/>
    <w:tmpl w:val="97CAA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BD941D0"/>
    <w:multiLevelType w:val="hybridMultilevel"/>
    <w:tmpl w:val="F588F23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nsid w:val="5FDF4144"/>
    <w:multiLevelType w:val="multilevel"/>
    <w:tmpl w:val="FFA4E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5C3440D"/>
    <w:multiLevelType w:val="multilevel"/>
    <w:tmpl w:val="E9AAB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5E007A0"/>
    <w:multiLevelType w:val="multilevel"/>
    <w:tmpl w:val="8EAC0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9"/>
  </w:num>
  <w:num w:numId="4">
    <w:abstractNumId w:val="4"/>
  </w:num>
  <w:num w:numId="5">
    <w:abstractNumId w:val="5"/>
  </w:num>
  <w:num w:numId="6">
    <w:abstractNumId w:val="3"/>
  </w:num>
  <w:num w:numId="7">
    <w:abstractNumId w:val="7"/>
  </w:num>
  <w:num w:numId="8">
    <w:abstractNumId w:val="8"/>
  </w:num>
  <w:num w:numId="9">
    <w:abstractNumId w:val="6"/>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37890"/>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4B630E"/>
    <w:rsid w:val="000000BB"/>
    <w:rsid w:val="000103A7"/>
    <w:rsid w:val="000777AC"/>
    <w:rsid w:val="000B1D75"/>
    <w:rsid w:val="000D6C0A"/>
    <w:rsid w:val="0010649F"/>
    <w:rsid w:val="001613FB"/>
    <w:rsid w:val="00165D8E"/>
    <w:rsid w:val="00174998"/>
    <w:rsid w:val="00183A36"/>
    <w:rsid w:val="001A1C08"/>
    <w:rsid w:val="001B39C3"/>
    <w:rsid w:val="001F6C5A"/>
    <w:rsid w:val="00206F42"/>
    <w:rsid w:val="0022518C"/>
    <w:rsid w:val="0022693A"/>
    <w:rsid w:val="00255F4D"/>
    <w:rsid w:val="00280DD3"/>
    <w:rsid w:val="002D2B6C"/>
    <w:rsid w:val="002D6F51"/>
    <w:rsid w:val="002E21EE"/>
    <w:rsid w:val="002F06B2"/>
    <w:rsid w:val="00363032"/>
    <w:rsid w:val="003709C5"/>
    <w:rsid w:val="003C4A18"/>
    <w:rsid w:val="00425BFE"/>
    <w:rsid w:val="00480DF7"/>
    <w:rsid w:val="004B295E"/>
    <w:rsid w:val="004B630E"/>
    <w:rsid w:val="004D722F"/>
    <w:rsid w:val="004E69D9"/>
    <w:rsid w:val="00536579"/>
    <w:rsid w:val="00544A49"/>
    <w:rsid w:val="00553657"/>
    <w:rsid w:val="005F51B4"/>
    <w:rsid w:val="0063462C"/>
    <w:rsid w:val="00652C58"/>
    <w:rsid w:val="006677E6"/>
    <w:rsid w:val="00681AED"/>
    <w:rsid w:val="00696A42"/>
    <w:rsid w:val="007147B9"/>
    <w:rsid w:val="00721935"/>
    <w:rsid w:val="00744793"/>
    <w:rsid w:val="00775C86"/>
    <w:rsid w:val="007A7C01"/>
    <w:rsid w:val="007D3A9A"/>
    <w:rsid w:val="008432E4"/>
    <w:rsid w:val="0085507B"/>
    <w:rsid w:val="008575D7"/>
    <w:rsid w:val="008D451A"/>
    <w:rsid w:val="008F361D"/>
    <w:rsid w:val="008F3F0B"/>
    <w:rsid w:val="00960891"/>
    <w:rsid w:val="009C4CC1"/>
    <w:rsid w:val="009C54A7"/>
    <w:rsid w:val="00A34A9E"/>
    <w:rsid w:val="00A51282"/>
    <w:rsid w:val="00A875C4"/>
    <w:rsid w:val="00A93EC8"/>
    <w:rsid w:val="00A93ECE"/>
    <w:rsid w:val="00AA5474"/>
    <w:rsid w:val="00AB0A95"/>
    <w:rsid w:val="00AE74AE"/>
    <w:rsid w:val="00B45D2B"/>
    <w:rsid w:val="00B50F14"/>
    <w:rsid w:val="00B73099"/>
    <w:rsid w:val="00B82335"/>
    <w:rsid w:val="00B85DCA"/>
    <w:rsid w:val="00B97DFC"/>
    <w:rsid w:val="00BD7A87"/>
    <w:rsid w:val="00BE295F"/>
    <w:rsid w:val="00C375EA"/>
    <w:rsid w:val="00C44A43"/>
    <w:rsid w:val="00C512A6"/>
    <w:rsid w:val="00C826CF"/>
    <w:rsid w:val="00C83FA5"/>
    <w:rsid w:val="00CB5DDB"/>
    <w:rsid w:val="00CE755D"/>
    <w:rsid w:val="00CF0ED5"/>
    <w:rsid w:val="00D26E4C"/>
    <w:rsid w:val="00D525D2"/>
    <w:rsid w:val="00D60E8E"/>
    <w:rsid w:val="00D827C9"/>
    <w:rsid w:val="00D84C61"/>
    <w:rsid w:val="00DA0C96"/>
    <w:rsid w:val="00DB4824"/>
    <w:rsid w:val="00DE36AF"/>
    <w:rsid w:val="00DE6BB4"/>
    <w:rsid w:val="00E36EEE"/>
    <w:rsid w:val="00E41A08"/>
    <w:rsid w:val="00E60676"/>
    <w:rsid w:val="00EE3418"/>
    <w:rsid w:val="00F74CCE"/>
    <w:rsid w:val="00FE3E25"/>
    <w:rsid w:val="00FF2FD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78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36EEE"/>
    <w:pPr>
      <w:widowControl w:val="0"/>
      <w:jc w:val="both"/>
    </w:pPr>
  </w:style>
  <w:style w:type="paragraph" w:styleId="1">
    <w:name w:val="heading 1"/>
    <w:basedOn w:val="a"/>
    <w:next w:val="a"/>
    <w:link w:val="1Char"/>
    <w:uiPriority w:val="9"/>
    <w:qFormat/>
    <w:rsid w:val="002E21EE"/>
    <w:pPr>
      <w:keepNext/>
      <w:keepLines/>
      <w:spacing w:before="340" w:after="330" w:line="578" w:lineRule="auto"/>
      <w:outlineLvl w:val="0"/>
    </w:pPr>
    <w:rPr>
      <w:b/>
      <w:bCs/>
      <w:kern w:val="44"/>
      <w:sz w:val="44"/>
      <w:szCs w:val="44"/>
    </w:rPr>
  </w:style>
  <w:style w:type="paragraph" w:styleId="2">
    <w:name w:val="heading 2"/>
    <w:basedOn w:val="a"/>
    <w:next w:val="a"/>
    <w:link w:val="2Char"/>
    <w:uiPriority w:val="9"/>
    <w:semiHidden/>
    <w:unhideWhenUsed/>
    <w:qFormat/>
    <w:rsid w:val="00A34A9E"/>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Char"/>
    <w:uiPriority w:val="9"/>
    <w:qFormat/>
    <w:rsid w:val="00480DF7"/>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2E21EE"/>
    <w:rPr>
      <w:b/>
      <w:bCs/>
      <w:kern w:val="44"/>
      <w:sz w:val="44"/>
      <w:szCs w:val="44"/>
    </w:rPr>
  </w:style>
  <w:style w:type="character" w:customStyle="1" w:styleId="2Char">
    <w:name w:val="标题 2 Char"/>
    <w:basedOn w:val="a0"/>
    <w:link w:val="2"/>
    <w:uiPriority w:val="9"/>
    <w:semiHidden/>
    <w:rsid w:val="00A34A9E"/>
    <w:rPr>
      <w:rFonts w:asciiTheme="majorHAnsi" w:eastAsiaTheme="majorEastAsia" w:hAnsiTheme="majorHAnsi" w:cstheme="majorBidi"/>
      <w:b/>
      <w:bCs/>
      <w:sz w:val="32"/>
      <w:szCs w:val="32"/>
    </w:rPr>
  </w:style>
  <w:style w:type="character" w:customStyle="1" w:styleId="3Char">
    <w:name w:val="标题 3 Char"/>
    <w:basedOn w:val="a0"/>
    <w:link w:val="3"/>
    <w:uiPriority w:val="9"/>
    <w:rsid w:val="00480DF7"/>
    <w:rPr>
      <w:rFonts w:ascii="宋体" w:eastAsia="宋体" w:hAnsi="宋体" w:cs="宋体"/>
      <w:b/>
      <w:bCs/>
      <w:kern w:val="0"/>
      <w:sz w:val="27"/>
      <w:szCs w:val="27"/>
    </w:rPr>
  </w:style>
  <w:style w:type="paragraph" w:styleId="a3">
    <w:name w:val="header"/>
    <w:basedOn w:val="a"/>
    <w:link w:val="Char"/>
    <w:uiPriority w:val="99"/>
    <w:semiHidden/>
    <w:unhideWhenUsed/>
    <w:rsid w:val="0022693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22693A"/>
    <w:rPr>
      <w:sz w:val="18"/>
      <w:szCs w:val="18"/>
    </w:rPr>
  </w:style>
  <w:style w:type="paragraph" w:styleId="a4">
    <w:name w:val="footer"/>
    <w:basedOn w:val="a"/>
    <w:link w:val="Char0"/>
    <w:uiPriority w:val="99"/>
    <w:semiHidden/>
    <w:unhideWhenUsed/>
    <w:rsid w:val="0022693A"/>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22693A"/>
    <w:rPr>
      <w:sz w:val="18"/>
      <w:szCs w:val="18"/>
    </w:rPr>
  </w:style>
  <w:style w:type="character" w:styleId="a5">
    <w:name w:val="Hyperlink"/>
    <w:basedOn w:val="a0"/>
    <w:uiPriority w:val="99"/>
    <w:unhideWhenUsed/>
    <w:rsid w:val="00D827C9"/>
    <w:rPr>
      <w:color w:val="0000FF"/>
      <w:u w:val="single"/>
    </w:rPr>
  </w:style>
  <w:style w:type="paragraph" w:customStyle="1" w:styleId="comp">
    <w:name w:val="comp"/>
    <w:basedOn w:val="a"/>
    <w:rsid w:val="00480DF7"/>
    <w:pPr>
      <w:widowControl/>
      <w:spacing w:before="100" w:beforeAutospacing="1" w:after="100" w:afterAutospacing="1"/>
      <w:jc w:val="left"/>
    </w:pPr>
    <w:rPr>
      <w:rFonts w:ascii="宋体" w:eastAsia="宋体" w:hAnsi="宋体" w:cs="宋体"/>
      <w:kern w:val="0"/>
      <w:sz w:val="24"/>
      <w:szCs w:val="24"/>
    </w:rPr>
  </w:style>
  <w:style w:type="character" w:customStyle="1" w:styleId="mntl-inline-citation">
    <w:name w:val="mntl-inline-citation"/>
    <w:basedOn w:val="a0"/>
    <w:rsid w:val="00480DF7"/>
  </w:style>
  <w:style w:type="paragraph" w:styleId="a6">
    <w:name w:val="Normal (Web)"/>
    <w:basedOn w:val="a"/>
    <w:uiPriority w:val="99"/>
    <w:unhideWhenUsed/>
    <w:rsid w:val="00480DF7"/>
    <w:pPr>
      <w:widowControl/>
      <w:spacing w:before="100" w:beforeAutospacing="1" w:after="100" w:afterAutospacing="1"/>
      <w:jc w:val="left"/>
    </w:pPr>
    <w:rPr>
      <w:rFonts w:ascii="宋体" w:eastAsia="宋体" w:hAnsi="宋体" w:cs="宋体"/>
      <w:kern w:val="0"/>
      <w:sz w:val="24"/>
      <w:szCs w:val="24"/>
    </w:rPr>
  </w:style>
  <w:style w:type="character" w:customStyle="1" w:styleId="mntl-sc-block-subheadingtext">
    <w:name w:val="mntl-sc-block-subheading__text"/>
    <w:basedOn w:val="a0"/>
    <w:rsid w:val="00480DF7"/>
  </w:style>
  <w:style w:type="character" w:styleId="a7">
    <w:name w:val="Strong"/>
    <w:basedOn w:val="a0"/>
    <w:uiPriority w:val="22"/>
    <w:qFormat/>
    <w:rsid w:val="00A34A9E"/>
    <w:rPr>
      <w:b/>
      <w:bCs/>
    </w:rPr>
  </w:style>
  <w:style w:type="character" w:styleId="a8">
    <w:name w:val="Emphasis"/>
    <w:basedOn w:val="a0"/>
    <w:uiPriority w:val="20"/>
    <w:qFormat/>
    <w:rsid w:val="00A34A9E"/>
    <w:rPr>
      <w:i/>
      <w:iCs/>
    </w:rPr>
  </w:style>
  <w:style w:type="paragraph" w:customStyle="1" w:styleId="or-h4">
    <w:name w:val="or-h4"/>
    <w:basedOn w:val="a"/>
    <w:rsid w:val="00721935"/>
    <w:pPr>
      <w:widowControl/>
      <w:spacing w:before="100" w:beforeAutospacing="1" w:after="100" w:afterAutospacing="1"/>
      <w:jc w:val="left"/>
    </w:pPr>
    <w:rPr>
      <w:rFonts w:ascii="宋体" w:eastAsia="宋体" w:hAnsi="宋体" w:cs="宋体"/>
      <w:kern w:val="0"/>
      <w:sz w:val="24"/>
      <w:szCs w:val="24"/>
    </w:rPr>
  </w:style>
  <w:style w:type="character" w:customStyle="1" w:styleId="mntl-sc-block-headingtext">
    <w:name w:val="mntl-sc-block-heading__text"/>
    <w:basedOn w:val="a0"/>
    <w:rsid w:val="007A7C01"/>
  </w:style>
  <w:style w:type="character" w:customStyle="1" w:styleId="mntl-attributionitem-descriptor">
    <w:name w:val="mntl-attribution__item-descriptor"/>
    <w:basedOn w:val="a0"/>
    <w:rsid w:val="002E21EE"/>
  </w:style>
  <w:style w:type="character" w:customStyle="1" w:styleId="linkwrapper">
    <w:name w:val="link__wrapper"/>
    <w:basedOn w:val="a0"/>
    <w:rsid w:val="002E21EE"/>
  </w:style>
  <w:style w:type="character" w:customStyle="1" w:styleId="mntl-author-tooltiplearn-more-text">
    <w:name w:val="mntl-author-tooltip__learn-more-text"/>
    <w:basedOn w:val="a0"/>
    <w:rsid w:val="002E21EE"/>
  </w:style>
  <w:style w:type="character" w:customStyle="1" w:styleId="quoteinbody-quotenamecontainer">
    <w:name w:val="quoteinbody-quotenamecontainer"/>
    <w:basedOn w:val="a0"/>
    <w:rsid w:val="00363032"/>
  </w:style>
  <w:style w:type="paragraph" w:customStyle="1" w:styleId="css-at9mc1">
    <w:name w:val="css-at9mc1"/>
    <w:basedOn w:val="a"/>
    <w:rsid w:val="00363032"/>
    <w:pPr>
      <w:widowControl/>
      <w:spacing w:before="100" w:beforeAutospacing="1" w:after="100" w:afterAutospacing="1"/>
      <w:jc w:val="left"/>
    </w:pPr>
    <w:rPr>
      <w:rFonts w:ascii="宋体" w:eastAsia="宋体" w:hAnsi="宋体" w:cs="宋体"/>
      <w:kern w:val="0"/>
      <w:sz w:val="24"/>
      <w:szCs w:val="24"/>
    </w:rPr>
  </w:style>
  <w:style w:type="character" w:customStyle="1" w:styleId="css-8l6xbc">
    <w:name w:val="css-8l6xbc"/>
    <w:basedOn w:val="a0"/>
    <w:rsid w:val="00363032"/>
  </w:style>
  <w:style w:type="paragraph" w:styleId="a9">
    <w:name w:val="Balloon Text"/>
    <w:basedOn w:val="a"/>
    <w:link w:val="Char1"/>
    <w:uiPriority w:val="99"/>
    <w:semiHidden/>
    <w:unhideWhenUsed/>
    <w:rsid w:val="00363032"/>
    <w:rPr>
      <w:sz w:val="18"/>
      <w:szCs w:val="18"/>
    </w:rPr>
  </w:style>
  <w:style w:type="character" w:customStyle="1" w:styleId="Char1">
    <w:name w:val="批注框文本 Char"/>
    <w:basedOn w:val="a0"/>
    <w:link w:val="a9"/>
    <w:uiPriority w:val="99"/>
    <w:semiHidden/>
    <w:rsid w:val="00363032"/>
    <w:rPr>
      <w:sz w:val="18"/>
      <w:szCs w:val="18"/>
    </w:rPr>
  </w:style>
  <w:style w:type="paragraph" w:styleId="aa">
    <w:name w:val="List Paragraph"/>
    <w:basedOn w:val="a"/>
    <w:uiPriority w:val="34"/>
    <w:qFormat/>
    <w:rsid w:val="00DE6BB4"/>
    <w:pPr>
      <w:ind w:firstLineChars="200" w:firstLine="420"/>
    </w:pPr>
  </w:style>
  <w:style w:type="table" w:styleId="ab">
    <w:name w:val="Table Grid"/>
    <w:basedOn w:val="a1"/>
    <w:uiPriority w:val="59"/>
    <w:rsid w:val="00FF2FDD"/>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mord">
    <w:name w:val="mord"/>
    <w:basedOn w:val="a0"/>
    <w:rsid w:val="00B85DCA"/>
  </w:style>
  <w:style w:type="character" w:customStyle="1" w:styleId="mrel">
    <w:name w:val="mrel"/>
    <w:basedOn w:val="a0"/>
    <w:rsid w:val="00B85DCA"/>
  </w:style>
  <w:style w:type="character" w:customStyle="1" w:styleId="vlist-s">
    <w:name w:val="vlist-s"/>
    <w:basedOn w:val="a0"/>
    <w:rsid w:val="00B85DCA"/>
  </w:style>
  <w:style w:type="character" w:customStyle="1" w:styleId="mbin">
    <w:name w:val="mbin"/>
    <w:basedOn w:val="a0"/>
    <w:rsid w:val="00B85DCA"/>
  </w:style>
  <w:style w:type="character" w:styleId="ac">
    <w:name w:val="Placeholder Text"/>
    <w:basedOn w:val="a0"/>
    <w:uiPriority w:val="99"/>
    <w:semiHidden/>
    <w:rsid w:val="00B85DCA"/>
    <w:rPr>
      <w:color w:val="808080"/>
    </w:rPr>
  </w:style>
</w:styles>
</file>

<file path=word/webSettings.xml><?xml version="1.0" encoding="utf-8"?>
<w:webSettings xmlns:r="http://schemas.openxmlformats.org/officeDocument/2006/relationships" xmlns:w="http://schemas.openxmlformats.org/wordprocessingml/2006/main">
  <w:divs>
    <w:div w:id="21790223">
      <w:bodyDiv w:val="1"/>
      <w:marLeft w:val="0"/>
      <w:marRight w:val="0"/>
      <w:marTop w:val="0"/>
      <w:marBottom w:val="0"/>
      <w:divBdr>
        <w:top w:val="none" w:sz="0" w:space="0" w:color="auto"/>
        <w:left w:val="none" w:sz="0" w:space="0" w:color="auto"/>
        <w:bottom w:val="none" w:sz="0" w:space="0" w:color="auto"/>
        <w:right w:val="none" w:sz="0" w:space="0" w:color="auto"/>
      </w:divBdr>
    </w:div>
    <w:div w:id="95447654">
      <w:bodyDiv w:val="1"/>
      <w:marLeft w:val="0"/>
      <w:marRight w:val="0"/>
      <w:marTop w:val="0"/>
      <w:marBottom w:val="0"/>
      <w:divBdr>
        <w:top w:val="none" w:sz="0" w:space="0" w:color="auto"/>
        <w:left w:val="none" w:sz="0" w:space="0" w:color="auto"/>
        <w:bottom w:val="none" w:sz="0" w:space="0" w:color="auto"/>
        <w:right w:val="none" w:sz="0" w:space="0" w:color="auto"/>
      </w:divBdr>
      <w:divsChild>
        <w:div w:id="1347247209">
          <w:marLeft w:val="0"/>
          <w:marRight w:val="0"/>
          <w:marTop w:val="0"/>
          <w:marBottom w:val="0"/>
          <w:divBdr>
            <w:top w:val="none" w:sz="0" w:space="0" w:color="auto"/>
            <w:left w:val="none" w:sz="0" w:space="0" w:color="auto"/>
            <w:bottom w:val="none" w:sz="0" w:space="0" w:color="auto"/>
            <w:right w:val="none" w:sz="0" w:space="0" w:color="auto"/>
          </w:divBdr>
          <w:divsChild>
            <w:div w:id="2002273477">
              <w:marLeft w:val="0"/>
              <w:marRight w:val="0"/>
              <w:marTop w:val="0"/>
              <w:marBottom w:val="0"/>
              <w:divBdr>
                <w:top w:val="none" w:sz="0" w:space="0" w:color="auto"/>
                <w:left w:val="none" w:sz="0" w:space="0" w:color="auto"/>
                <w:bottom w:val="none" w:sz="0" w:space="0" w:color="auto"/>
                <w:right w:val="none" w:sz="0" w:space="0" w:color="auto"/>
              </w:divBdr>
            </w:div>
            <w:div w:id="481629131">
              <w:marLeft w:val="0"/>
              <w:marRight w:val="0"/>
              <w:marTop w:val="0"/>
              <w:marBottom w:val="0"/>
              <w:divBdr>
                <w:top w:val="none" w:sz="0" w:space="0" w:color="auto"/>
                <w:left w:val="none" w:sz="0" w:space="0" w:color="auto"/>
                <w:bottom w:val="none" w:sz="0" w:space="0" w:color="auto"/>
                <w:right w:val="none" w:sz="0" w:space="0" w:color="auto"/>
              </w:divBdr>
              <w:divsChild>
                <w:div w:id="1283659160">
                  <w:marLeft w:val="0"/>
                  <w:marRight w:val="0"/>
                  <w:marTop w:val="0"/>
                  <w:marBottom w:val="0"/>
                  <w:divBdr>
                    <w:top w:val="none" w:sz="0" w:space="0" w:color="auto"/>
                    <w:left w:val="none" w:sz="0" w:space="0" w:color="auto"/>
                    <w:bottom w:val="none" w:sz="0" w:space="0" w:color="auto"/>
                    <w:right w:val="none" w:sz="0" w:space="0" w:color="auto"/>
                  </w:divBdr>
                </w:div>
                <w:div w:id="2080518769">
                  <w:marLeft w:val="0"/>
                  <w:marRight w:val="0"/>
                  <w:marTop w:val="0"/>
                  <w:marBottom w:val="0"/>
                  <w:divBdr>
                    <w:top w:val="none" w:sz="0" w:space="0" w:color="auto"/>
                    <w:left w:val="none" w:sz="0" w:space="0" w:color="auto"/>
                    <w:bottom w:val="none" w:sz="0" w:space="0" w:color="auto"/>
                    <w:right w:val="none" w:sz="0" w:space="0" w:color="auto"/>
                  </w:divBdr>
                </w:div>
                <w:div w:id="66100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70791">
          <w:marLeft w:val="0"/>
          <w:marRight w:val="0"/>
          <w:marTop w:val="0"/>
          <w:marBottom w:val="0"/>
          <w:divBdr>
            <w:top w:val="none" w:sz="0" w:space="0" w:color="auto"/>
            <w:left w:val="none" w:sz="0" w:space="0" w:color="auto"/>
            <w:bottom w:val="none" w:sz="0" w:space="0" w:color="auto"/>
            <w:right w:val="none" w:sz="0" w:space="0" w:color="auto"/>
          </w:divBdr>
          <w:divsChild>
            <w:div w:id="134061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920">
      <w:bodyDiv w:val="1"/>
      <w:marLeft w:val="0"/>
      <w:marRight w:val="0"/>
      <w:marTop w:val="0"/>
      <w:marBottom w:val="0"/>
      <w:divBdr>
        <w:top w:val="none" w:sz="0" w:space="0" w:color="auto"/>
        <w:left w:val="none" w:sz="0" w:space="0" w:color="auto"/>
        <w:bottom w:val="none" w:sz="0" w:space="0" w:color="auto"/>
        <w:right w:val="none" w:sz="0" w:space="0" w:color="auto"/>
      </w:divBdr>
    </w:div>
    <w:div w:id="123164404">
      <w:bodyDiv w:val="1"/>
      <w:marLeft w:val="0"/>
      <w:marRight w:val="0"/>
      <w:marTop w:val="0"/>
      <w:marBottom w:val="0"/>
      <w:divBdr>
        <w:top w:val="none" w:sz="0" w:space="0" w:color="auto"/>
        <w:left w:val="none" w:sz="0" w:space="0" w:color="auto"/>
        <w:bottom w:val="none" w:sz="0" w:space="0" w:color="auto"/>
        <w:right w:val="none" w:sz="0" w:space="0" w:color="auto"/>
      </w:divBdr>
    </w:div>
    <w:div w:id="128934456">
      <w:bodyDiv w:val="1"/>
      <w:marLeft w:val="0"/>
      <w:marRight w:val="0"/>
      <w:marTop w:val="0"/>
      <w:marBottom w:val="0"/>
      <w:divBdr>
        <w:top w:val="none" w:sz="0" w:space="0" w:color="auto"/>
        <w:left w:val="none" w:sz="0" w:space="0" w:color="auto"/>
        <w:bottom w:val="none" w:sz="0" w:space="0" w:color="auto"/>
        <w:right w:val="none" w:sz="0" w:space="0" w:color="auto"/>
      </w:divBdr>
    </w:div>
    <w:div w:id="184713051">
      <w:bodyDiv w:val="1"/>
      <w:marLeft w:val="0"/>
      <w:marRight w:val="0"/>
      <w:marTop w:val="0"/>
      <w:marBottom w:val="0"/>
      <w:divBdr>
        <w:top w:val="none" w:sz="0" w:space="0" w:color="auto"/>
        <w:left w:val="none" w:sz="0" w:space="0" w:color="auto"/>
        <w:bottom w:val="none" w:sz="0" w:space="0" w:color="auto"/>
        <w:right w:val="none" w:sz="0" w:space="0" w:color="auto"/>
      </w:divBdr>
    </w:div>
    <w:div w:id="223836253">
      <w:bodyDiv w:val="1"/>
      <w:marLeft w:val="0"/>
      <w:marRight w:val="0"/>
      <w:marTop w:val="0"/>
      <w:marBottom w:val="0"/>
      <w:divBdr>
        <w:top w:val="none" w:sz="0" w:space="0" w:color="auto"/>
        <w:left w:val="none" w:sz="0" w:space="0" w:color="auto"/>
        <w:bottom w:val="none" w:sz="0" w:space="0" w:color="auto"/>
        <w:right w:val="none" w:sz="0" w:space="0" w:color="auto"/>
      </w:divBdr>
    </w:div>
    <w:div w:id="238563443">
      <w:bodyDiv w:val="1"/>
      <w:marLeft w:val="0"/>
      <w:marRight w:val="0"/>
      <w:marTop w:val="0"/>
      <w:marBottom w:val="0"/>
      <w:divBdr>
        <w:top w:val="none" w:sz="0" w:space="0" w:color="auto"/>
        <w:left w:val="none" w:sz="0" w:space="0" w:color="auto"/>
        <w:bottom w:val="none" w:sz="0" w:space="0" w:color="auto"/>
        <w:right w:val="none" w:sz="0" w:space="0" w:color="auto"/>
      </w:divBdr>
    </w:div>
    <w:div w:id="266696244">
      <w:bodyDiv w:val="1"/>
      <w:marLeft w:val="0"/>
      <w:marRight w:val="0"/>
      <w:marTop w:val="0"/>
      <w:marBottom w:val="0"/>
      <w:divBdr>
        <w:top w:val="none" w:sz="0" w:space="0" w:color="auto"/>
        <w:left w:val="none" w:sz="0" w:space="0" w:color="auto"/>
        <w:bottom w:val="none" w:sz="0" w:space="0" w:color="auto"/>
        <w:right w:val="none" w:sz="0" w:space="0" w:color="auto"/>
      </w:divBdr>
    </w:div>
    <w:div w:id="301153772">
      <w:bodyDiv w:val="1"/>
      <w:marLeft w:val="0"/>
      <w:marRight w:val="0"/>
      <w:marTop w:val="0"/>
      <w:marBottom w:val="0"/>
      <w:divBdr>
        <w:top w:val="none" w:sz="0" w:space="0" w:color="auto"/>
        <w:left w:val="none" w:sz="0" w:space="0" w:color="auto"/>
        <w:bottom w:val="none" w:sz="0" w:space="0" w:color="auto"/>
        <w:right w:val="none" w:sz="0" w:space="0" w:color="auto"/>
      </w:divBdr>
      <w:divsChild>
        <w:div w:id="1741755914">
          <w:marLeft w:val="0"/>
          <w:marRight w:val="0"/>
          <w:marTop w:val="0"/>
          <w:marBottom w:val="0"/>
          <w:divBdr>
            <w:top w:val="none" w:sz="0" w:space="0" w:color="auto"/>
            <w:left w:val="none" w:sz="0" w:space="0" w:color="auto"/>
            <w:bottom w:val="none" w:sz="0" w:space="0" w:color="auto"/>
            <w:right w:val="none" w:sz="0" w:space="0" w:color="auto"/>
          </w:divBdr>
        </w:div>
      </w:divsChild>
    </w:div>
    <w:div w:id="314146554">
      <w:bodyDiv w:val="1"/>
      <w:marLeft w:val="0"/>
      <w:marRight w:val="0"/>
      <w:marTop w:val="0"/>
      <w:marBottom w:val="0"/>
      <w:divBdr>
        <w:top w:val="none" w:sz="0" w:space="0" w:color="auto"/>
        <w:left w:val="none" w:sz="0" w:space="0" w:color="auto"/>
        <w:bottom w:val="none" w:sz="0" w:space="0" w:color="auto"/>
        <w:right w:val="none" w:sz="0" w:space="0" w:color="auto"/>
      </w:divBdr>
      <w:divsChild>
        <w:div w:id="314377590">
          <w:marLeft w:val="0"/>
          <w:marRight w:val="0"/>
          <w:marTop w:val="0"/>
          <w:marBottom w:val="0"/>
          <w:divBdr>
            <w:top w:val="none" w:sz="0" w:space="0" w:color="auto"/>
            <w:left w:val="none" w:sz="0" w:space="0" w:color="auto"/>
            <w:bottom w:val="none" w:sz="0" w:space="0" w:color="auto"/>
            <w:right w:val="none" w:sz="0" w:space="0" w:color="auto"/>
          </w:divBdr>
        </w:div>
      </w:divsChild>
    </w:div>
    <w:div w:id="314913380">
      <w:bodyDiv w:val="1"/>
      <w:marLeft w:val="0"/>
      <w:marRight w:val="0"/>
      <w:marTop w:val="0"/>
      <w:marBottom w:val="0"/>
      <w:divBdr>
        <w:top w:val="none" w:sz="0" w:space="0" w:color="auto"/>
        <w:left w:val="none" w:sz="0" w:space="0" w:color="auto"/>
        <w:bottom w:val="none" w:sz="0" w:space="0" w:color="auto"/>
        <w:right w:val="none" w:sz="0" w:space="0" w:color="auto"/>
      </w:divBdr>
    </w:div>
    <w:div w:id="370619811">
      <w:bodyDiv w:val="1"/>
      <w:marLeft w:val="0"/>
      <w:marRight w:val="0"/>
      <w:marTop w:val="0"/>
      <w:marBottom w:val="0"/>
      <w:divBdr>
        <w:top w:val="none" w:sz="0" w:space="0" w:color="auto"/>
        <w:left w:val="none" w:sz="0" w:space="0" w:color="auto"/>
        <w:bottom w:val="none" w:sz="0" w:space="0" w:color="auto"/>
        <w:right w:val="none" w:sz="0" w:space="0" w:color="auto"/>
      </w:divBdr>
    </w:div>
    <w:div w:id="390929260">
      <w:bodyDiv w:val="1"/>
      <w:marLeft w:val="0"/>
      <w:marRight w:val="0"/>
      <w:marTop w:val="0"/>
      <w:marBottom w:val="0"/>
      <w:divBdr>
        <w:top w:val="none" w:sz="0" w:space="0" w:color="auto"/>
        <w:left w:val="none" w:sz="0" w:space="0" w:color="auto"/>
        <w:bottom w:val="none" w:sz="0" w:space="0" w:color="auto"/>
        <w:right w:val="none" w:sz="0" w:space="0" w:color="auto"/>
      </w:divBdr>
    </w:div>
    <w:div w:id="401342668">
      <w:bodyDiv w:val="1"/>
      <w:marLeft w:val="0"/>
      <w:marRight w:val="0"/>
      <w:marTop w:val="0"/>
      <w:marBottom w:val="0"/>
      <w:divBdr>
        <w:top w:val="none" w:sz="0" w:space="0" w:color="auto"/>
        <w:left w:val="none" w:sz="0" w:space="0" w:color="auto"/>
        <w:bottom w:val="none" w:sz="0" w:space="0" w:color="auto"/>
        <w:right w:val="none" w:sz="0" w:space="0" w:color="auto"/>
      </w:divBdr>
    </w:div>
    <w:div w:id="426191103">
      <w:bodyDiv w:val="1"/>
      <w:marLeft w:val="0"/>
      <w:marRight w:val="0"/>
      <w:marTop w:val="0"/>
      <w:marBottom w:val="0"/>
      <w:divBdr>
        <w:top w:val="none" w:sz="0" w:space="0" w:color="auto"/>
        <w:left w:val="none" w:sz="0" w:space="0" w:color="auto"/>
        <w:bottom w:val="none" w:sz="0" w:space="0" w:color="auto"/>
        <w:right w:val="none" w:sz="0" w:space="0" w:color="auto"/>
      </w:divBdr>
    </w:div>
    <w:div w:id="439835923">
      <w:bodyDiv w:val="1"/>
      <w:marLeft w:val="0"/>
      <w:marRight w:val="0"/>
      <w:marTop w:val="0"/>
      <w:marBottom w:val="0"/>
      <w:divBdr>
        <w:top w:val="none" w:sz="0" w:space="0" w:color="auto"/>
        <w:left w:val="none" w:sz="0" w:space="0" w:color="auto"/>
        <w:bottom w:val="none" w:sz="0" w:space="0" w:color="auto"/>
        <w:right w:val="none" w:sz="0" w:space="0" w:color="auto"/>
      </w:divBdr>
    </w:div>
    <w:div w:id="450900693">
      <w:bodyDiv w:val="1"/>
      <w:marLeft w:val="0"/>
      <w:marRight w:val="0"/>
      <w:marTop w:val="0"/>
      <w:marBottom w:val="0"/>
      <w:divBdr>
        <w:top w:val="none" w:sz="0" w:space="0" w:color="auto"/>
        <w:left w:val="none" w:sz="0" w:space="0" w:color="auto"/>
        <w:bottom w:val="none" w:sz="0" w:space="0" w:color="auto"/>
        <w:right w:val="none" w:sz="0" w:space="0" w:color="auto"/>
      </w:divBdr>
    </w:div>
    <w:div w:id="471866296">
      <w:bodyDiv w:val="1"/>
      <w:marLeft w:val="0"/>
      <w:marRight w:val="0"/>
      <w:marTop w:val="0"/>
      <w:marBottom w:val="0"/>
      <w:divBdr>
        <w:top w:val="none" w:sz="0" w:space="0" w:color="auto"/>
        <w:left w:val="none" w:sz="0" w:space="0" w:color="auto"/>
        <w:bottom w:val="none" w:sz="0" w:space="0" w:color="auto"/>
        <w:right w:val="none" w:sz="0" w:space="0" w:color="auto"/>
      </w:divBdr>
    </w:div>
    <w:div w:id="474226299">
      <w:bodyDiv w:val="1"/>
      <w:marLeft w:val="0"/>
      <w:marRight w:val="0"/>
      <w:marTop w:val="0"/>
      <w:marBottom w:val="0"/>
      <w:divBdr>
        <w:top w:val="none" w:sz="0" w:space="0" w:color="auto"/>
        <w:left w:val="none" w:sz="0" w:space="0" w:color="auto"/>
        <w:bottom w:val="none" w:sz="0" w:space="0" w:color="auto"/>
        <w:right w:val="none" w:sz="0" w:space="0" w:color="auto"/>
      </w:divBdr>
      <w:divsChild>
        <w:div w:id="240726273">
          <w:marLeft w:val="0"/>
          <w:marRight w:val="0"/>
          <w:marTop w:val="0"/>
          <w:marBottom w:val="0"/>
          <w:divBdr>
            <w:top w:val="none" w:sz="0" w:space="0" w:color="auto"/>
            <w:left w:val="none" w:sz="0" w:space="0" w:color="auto"/>
            <w:bottom w:val="none" w:sz="0" w:space="0" w:color="auto"/>
            <w:right w:val="none" w:sz="0" w:space="0" w:color="auto"/>
          </w:divBdr>
        </w:div>
      </w:divsChild>
    </w:div>
    <w:div w:id="482896447">
      <w:bodyDiv w:val="1"/>
      <w:marLeft w:val="0"/>
      <w:marRight w:val="0"/>
      <w:marTop w:val="0"/>
      <w:marBottom w:val="0"/>
      <w:divBdr>
        <w:top w:val="none" w:sz="0" w:space="0" w:color="auto"/>
        <w:left w:val="none" w:sz="0" w:space="0" w:color="auto"/>
        <w:bottom w:val="none" w:sz="0" w:space="0" w:color="auto"/>
        <w:right w:val="none" w:sz="0" w:space="0" w:color="auto"/>
      </w:divBdr>
    </w:div>
    <w:div w:id="519438381">
      <w:bodyDiv w:val="1"/>
      <w:marLeft w:val="0"/>
      <w:marRight w:val="0"/>
      <w:marTop w:val="0"/>
      <w:marBottom w:val="0"/>
      <w:divBdr>
        <w:top w:val="none" w:sz="0" w:space="0" w:color="auto"/>
        <w:left w:val="none" w:sz="0" w:space="0" w:color="auto"/>
        <w:bottom w:val="none" w:sz="0" w:space="0" w:color="auto"/>
        <w:right w:val="none" w:sz="0" w:space="0" w:color="auto"/>
      </w:divBdr>
    </w:div>
    <w:div w:id="647855892">
      <w:bodyDiv w:val="1"/>
      <w:marLeft w:val="0"/>
      <w:marRight w:val="0"/>
      <w:marTop w:val="0"/>
      <w:marBottom w:val="0"/>
      <w:divBdr>
        <w:top w:val="none" w:sz="0" w:space="0" w:color="auto"/>
        <w:left w:val="none" w:sz="0" w:space="0" w:color="auto"/>
        <w:bottom w:val="none" w:sz="0" w:space="0" w:color="auto"/>
        <w:right w:val="none" w:sz="0" w:space="0" w:color="auto"/>
      </w:divBdr>
    </w:div>
    <w:div w:id="713581176">
      <w:bodyDiv w:val="1"/>
      <w:marLeft w:val="0"/>
      <w:marRight w:val="0"/>
      <w:marTop w:val="0"/>
      <w:marBottom w:val="0"/>
      <w:divBdr>
        <w:top w:val="none" w:sz="0" w:space="0" w:color="auto"/>
        <w:left w:val="none" w:sz="0" w:space="0" w:color="auto"/>
        <w:bottom w:val="none" w:sz="0" w:space="0" w:color="auto"/>
        <w:right w:val="none" w:sz="0" w:space="0" w:color="auto"/>
      </w:divBdr>
      <w:divsChild>
        <w:div w:id="1042482172">
          <w:marLeft w:val="0"/>
          <w:marRight w:val="0"/>
          <w:marTop w:val="0"/>
          <w:marBottom w:val="0"/>
          <w:divBdr>
            <w:top w:val="none" w:sz="0" w:space="0" w:color="auto"/>
            <w:left w:val="none" w:sz="0" w:space="0" w:color="auto"/>
            <w:bottom w:val="none" w:sz="0" w:space="0" w:color="auto"/>
            <w:right w:val="none" w:sz="0" w:space="0" w:color="auto"/>
          </w:divBdr>
          <w:divsChild>
            <w:div w:id="614797935">
              <w:marLeft w:val="0"/>
              <w:marRight w:val="0"/>
              <w:marTop w:val="0"/>
              <w:marBottom w:val="0"/>
              <w:divBdr>
                <w:top w:val="none" w:sz="0" w:space="0" w:color="auto"/>
                <w:left w:val="none" w:sz="0" w:space="0" w:color="auto"/>
                <w:bottom w:val="none" w:sz="0" w:space="0" w:color="auto"/>
                <w:right w:val="none" w:sz="0" w:space="0" w:color="auto"/>
              </w:divBdr>
              <w:divsChild>
                <w:div w:id="1776057223">
                  <w:marLeft w:val="0"/>
                  <w:marRight w:val="0"/>
                  <w:marTop w:val="0"/>
                  <w:marBottom w:val="0"/>
                  <w:divBdr>
                    <w:top w:val="none" w:sz="0" w:space="0" w:color="auto"/>
                    <w:left w:val="none" w:sz="0" w:space="0" w:color="auto"/>
                    <w:bottom w:val="none" w:sz="0" w:space="0" w:color="auto"/>
                    <w:right w:val="none" w:sz="0" w:space="0" w:color="auto"/>
                  </w:divBdr>
                  <w:divsChild>
                    <w:div w:id="73479581">
                      <w:marLeft w:val="0"/>
                      <w:marRight w:val="0"/>
                      <w:marTop w:val="0"/>
                      <w:marBottom w:val="0"/>
                      <w:divBdr>
                        <w:top w:val="none" w:sz="0" w:space="0" w:color="auto"/>
                        <w:left w:val="none" w:sz="0" w:space="0" w:color="auto"/>
                        <w:bottom w:val="none" w:sz="0" w:space="0" w:color="auto"/>
                        <w:right w:val="none" w:sz="0" w:space="0" w:color="auto"/>
                      </w:divBdr>
                      <w:divsChild>
                        <w:div w:id="600339206">
                          <w:marLeft w:val="0"/>
                          <w:marRight w:val="0"/>
                          <w:marTop w:val="0"/>
                          <w:marBottom w:val="0"/>
                          <w:divBdr>
                            <w:top w:val="none" w:sz="0" w:space="0" w:color="auto"/>
                            <w:left w:val="none" w:sz="0" w:space="0" w:color="auto"/>
                            <w:bottom w:val="none" w:sz="0" w:space="0" w:color="auto"/>
                            <w:right w:val="none" w:sz="0" w:space="0" w:color="auto"/>
                          </w:divBdr>
                          <w:divsChild>
                            <w:div w:id="1847402682">
                              <w:marLeft w:val="0"/>
                              <w:marRight w:val="0"/>
                              <w:marTop w:val="0"/>
                              <w:marBottom w:val="0"/>
                              <w:divBdr>
                                <w:top w:val="none" w:sz="0" w:space="0" w:color="auto"/>
                                <w:left w:val="none" w:sz="0" w:space="0" w:color="auto"/>
                                <w:bottom w:val="none" w:sz="0" w:space="0" w:color="auto"/>
                                <w:right w:val="none" w:sz="0" w:space="0" w:color="auto"/>
                              </w:divBdr>
                              <w:divsChild>
                                <w:div w:id="1328942320">
                                  <w:marLeft w:val="0"/>
                                  <w:marRight w:val="0"/>
                                  <w:marTop w:val="0"/>
                                  <w:marBottom w:val="0"/>
                                  <w:divBdr>
                                    <w:top w:val="none" w:sz="0" w:space="0" w:color="auto"/>
                                    <w:left w:val="none" w:sz="0" w:space="0" w:color="auto"/>
                                    <w:bottom w:val="none" w:sz="0" w:space="0" w:color="auto"/>
                                    <w:right w:val="none" w:sz="0" w:space="0" w:color="auto"/>
                                  </w:divBdr>
                                  <w:divsChild>
                                    <w:div w:id="490024705">
                                      <w:marLeft w:val="0"/>
                                      <w:marRight w:val="0"/>
                                      <w:marTop w:val="33"/>
                                      <w:marBottom w:val="0"/>
                                      <w:divBdr>
                                        <w:top w:val="single" w:sz="2" w:space="0" w:color="BBBBBB"/>
                                        <w:left w:val="single" w:sz="2" w:space="0" w:color="BBBBBB"/>
                                        <w:bottom w:val="single" w:sz="2" w:space="0" w:color="BBBBBB"/>
                                        <w:right w:val="single" w:sz="2" w:space="0" w:color="BBBBBB"/>
                                      </w:divBdr>
                                      <w:divsChild>
                                        <w:div w:id="40711521">
                                          <w:marLeft w:val="0"/>
                                          <w:marRight w:val="0"/>
                                          <w:marTop w:val="0"/>
                                          <w:marBottom w:val="0"/>
                                          <w:divBdr>
                                            <w:top w:val="none" w:sz="0" w:space="0" w:color="auto"/>
                                            <w:left w:val="none" w:sz="0" w:space="0" w:color="auto"/>
                                            <w:bottom w:val="none" w:sz="0" w:space="0" w:color="auto"/>
                                            <w:right w:val="none" w:sz="0" w:space="0" w:color="auto"/>
                                          </w:divBdr>
                                          <w:divsChild>
                                            <w:div w:id="1389721477">
                                              <w:marLeft w:val="0"/>
                                              <w:marRight w:val="0"/>
                                              <w:marTop w:val="0"/>
                                              <w:marBottom w:val="0"/>
                                              <w:divBdr>
                                                <w:top w:val="none" w:sz="0" w:space="0" w:color="auto"/>
                                                <w:left w:val="none" w:sz="0" w:space="0" w:color="auto"/>
                                                <w:bottom w:val="none" w:sz="0" w:space="0" w:color="auto"/>
                                                <w:right w:val="none" w:sz="0" w:space="0" w:color="auto"/>
                                              </w:divBdr>
                                              <w:divsChild>
                                                <w:div w:id="2128616135">
                                                  <w:marLeft w:val="0"/>
                                                  <w:marRight w:val="0"/>
                                                  <w:marTop w:val="0"/>
                                                  <w:marBottom w:val="0"/>
                                                  <w:divBdr>
                                                    <w:top w:val="none" w:sz="0" w:space="0" w:color="auto"/>
                                                    <w:left w:val="none" w:sz="0" w:space="0" w:color="auto"/>
                                                    <w:bottom w:val="none" w:sz="0" w:space="0" w:color="auto"/>
                                                    <w:right w:val="none" w:sz="0" w:space="0" w:color="auto"/>
                                                  </w:divBdr>
                                                </w:div>
                                              </w:divsChild>
                                            </w:div>
                                            <w:div w:id="1788156312">
                                              <w:marLeft w:val="0"/>
                                              <w:marRight w:val="0"/>
                                              <w:marTop w:val="0"/>
                                              <w:marBottom w:val="0"/>
                                              <w:divBdr>
                                                <w:top w:val="none" w:sz="0" w:space="0" w:color="auto"/>
                                                <w:left w:val="none" w:sz="0" w:space="0" w:color="auto"/>
                                                <w:bottom w:val="none" w:sz="0" w:space="0" w:color="auto"/>
                                                <w:right w:val="none" w:sz="0" w:space="0" w:color="auto"/>
                                              </w:divBdr>
                                            </w:div>
                                            <w:div w:id="2107073890">
                                              <w:marLeft w:val="0"/>
                                              <w:marRight w:val="0"/>
                                              <w:marTop w:val="0"/>
                                              <w:marBottom w:val="87"/>
                                              <w:divBdr>
                                                <w:top w:val="none" w:sz="0" w:space="0" w:color="auto"/>
                                                <w:left w:val="none" w:sz="0" w:space="0" w:color="auto"/>
                                                <w:bottom w:val="none" w:sz="0" w:space="0" w:color="auto"/>
                                                <w:right w:val="none" w:sz="0" w:space="0" w:color="auto"/>
                                              </w:divBdr>
                                            </w:div>
                                          </w:divsChild>
                                        </w:div>
                                        <w:div w:id="170197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31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525011">
          <w:marLeft w:val="0"/>
          <w:marRight w:val="0"/>
          <w:marTop w:val="0"/>
          <w:marBottom w:val="0"/>
          <w:divBdr>
            <w:top w:val="none" w:sz="0" w:space="0" w:color="auto"/>
            <w:left w:val="none" w:sz="0" w:space="0" w:color="auto"/>
            <w:bottom w:val="none" w:sz="0" w:space="0" w:color="auto"/>
            <w:right w:val="none" w:sz="0" w:space="0" w:color="auto"/>
          </w:divBdr>
          <w:divsChild>
            <w:div w:id="656809002">
              <w:marLeft w:val="0"/>
              <w:marRight w:val="0"/>
              <w:marTop w:val="0"/>
              <w:marBottom w:val="0"/>
              <w:divBdr>
                <w:top w:val="none" w:sz="0" w:space="0" w:color="auto"/>
                <w:left w:val="none" w:sz="0" w:space="0" w:color="auto"/>
                <w:bottom w:val="none" w:sz="0" w:space="0" w:color="auto"/>
                <w:right w:val="none" w:sz="0" w:space="0" w:color="auto"/>
              </w:divBdr>
              <w:divsChild>
                <w:div w:id="167152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359625">
      <w:bodyDiv w:val="1"/>
      <w:marLeft w:val="0"/>
      <w:marRight w:val="0"/>
      <w:marTop w:val="0"/>
      <w:marBottom w:val="0"/>
      <w:divBdr>
        <w:top w:val="none" w:sz="0" w:space="0" w:color="auto"/>
        <w:left w:val="none" w:sz="0" w:space="0" w:color="auto"/>
        <w:bottom w:val="none" w:sz="0" w:space="0" w:color="auto"/>
        <w:right w:val="none" w:sz="0" w:space="0" w:color="auto"/>
      </w:divBdr>
    </w:div>
    <w:div w:id="736242413">
      <w:bodyDiv w:val="1"/>
      <w:marLeft w:val="0"/>
      <w:marRight w:val="0"/>
      <w:marTop w:val="0"/>
      <w:marBottom w:val="0"/>
      <w:divBdr>
        <w:top w:val="none" w:sz="0" w:space="0" w:color="auto"/>
        <w:left w:val="none" w:sz="0" w:space="0" w:color="auto"/>
        <w:bottom w:val="none" w:sz="0" w:space="0" w:color="auto"/>
        <w:right w:val="none" w:sz="0" w:space="0" w:color="auto"/>
      </w:divBdr>
    </w:div>
    <w:div w:id="758327431">
      <w:bodyDiv w:val="1"/>
      <w:marLeft w:val="0"/>
      <w:marRight w:val="0"/>
      <w:marTop w:val="0"/>
      <w:marBottom w:val="0"/>
      <w:divBdr>
        <w:top w:val="none" w:sz="0" w:space="0" w:color="auto"/>
        <w:left w:val="none" w:sz="0" w:space="0" w:color="auto"/>
        <w:bottom w:val="none" w:sz="0" w:space="0" w:color="auto"/>
        <w:right w:val="none" w:sz="0" w:space="0" w:color="auto"/>
      </w:divBdr>
    </w:div>
    <w:div w:id="770245801">
      <w:bodyDiv w:val="1"/>
      <w:marLeft w:val="0"/>
      <w:marRight w:val="0"/>
      <w:marTop w:val="0"/>
      <w:marBottom w:val="0"/>
      <w:divBdr>
        <w:top w:val="none" w:sz="0" w:space="0" w:color="auto"/>
        <w:left w:val="none" w:sz="0" w:space="0" w:color="auto"/>
        <w:bottom w:val="none" w:sz="0" w:space="0" w:color="auto"/>
        <w:right w:val="none" w:sz="0" w:space="0" w:color="auto"/>
      </w:divBdr>
    </w:div>
    <w:div w:id="774326966">
      <w:bodyDiv w:val="1"/>
      <w:marLeft w:val="0"/>
      <w:marRight w:val="0"/>
      <w:marTop w:val="0"/>
      <w:marBottom w:val="0"/>
      <w:divBdr>
        <w:top w:val="none" w:sz="0" w:space="0" w:color="auto"/>
        <w:left w:val="none" w:sz="0" w:space="0" w:color="auto"/>
        <w:bottom w:val="none" w:sz="0" w:space="0" w:color="auto"/>
        <w:right w:val="none" w:sz="0" w:space="0" w:color="auto"/>
      </w:divBdr>
    </w:div>
    <w:div w:id="783383137">
      <w:bodyDiv w:val="1"/>
      <w:marLeft w:val="0"/>
      <w:marRight w:val="0"/>
      <w:marTop w:val="0"/>
      <w:marBottom w:val="0"/>
      <w:divBdr>
        <w:top w:val="none" w:sz="0" w:space="0" w:color="auto"/>
        <w:left w:val="none" w:sz="0" w:space="0" w:color="auto"/>
        <w:bottom w:val="none" w:sz="0" w:space="0" w:color="auto"/>
        <w:right w:val="none" w:sz="0" w:space="0" w:color="auto"/>
      </w:divBdr>
    </w:div>
    <w:div w:id="853347180">
      <w:bodyDiv w:val="1"/>
      <w:marLeft w:val="0"/>
      <w:marRight w:val="0"/>
      <w:marTop w:val="0"/>
      <w:marBottom w:val="0"/>
      <w:divBdr>
        <w:top w:val="none" w:sz="0" w:space="0" w:color="auto"/>
        <w:left w:val="none" w:sz="0" w:space="0" w:color="auto"/>
        <w:bottom w:val="none" w:sz="0" w:space="0" w:color="auto"/>
        <w:right w:val="none" w:sz="0" w:space="0" w:color="auto"/>
      </w:divBdr>
    </w:div>
    <w:div w:id="860124078">
      <w:bodyDiv w:val="1"/>
      <w:marLeft w:val="0"/>
      <w:marRight w:val="0"/>
      <w:marTop w:val="0"/>
      <w:marBottom w:val="0"/>
      <w:divBdr>
        <w:top w:val="none" w:sz="0" w:space="0" w:color="auto"/>
        <w:left w:val="none" w:sz="0" w:space="0" w:color="auto"/>
        <w:bottom w:val="none" w:sz="0" w:space="0" w:color="auto"/>
        <w:right w:val="none" w:sz="0" w:space="0" w:color="auto"/>
      </w:divBdr>
    </w:div>
    <w:div w:id="912550855">
      <w:bodyDiv w:val="1"/>
      <w:marLeft w:val="0"/>
      <w:marRight w:val="0"/>
      <w:marTop w:val="0"/>
      <w:marBottom w:val="0"/>
      <w:divBdr>
        <w:top w:val="none" w:sz="0" w:space="0" w:color="auto"/>
        <w:left w:val="none" w:sz="0" w:space="0" w:color="auto"/>
        <w:bottom w:val="none" w:sz="0" w:space="0" w:color="auto"/>
        <w:right w:val="none" w:sz="0" w:space="0" w:color="auto"/>
      </w:divBdr>
    </w:div>
    <w:div w:id="959847121">
      <w:bodyDiv w:val="1"/>
      <w:marLeft w:val="0"/>
      <w:marRight w:val="0"/>
      <w:marTop w:val="0"/>
      <w:marBottom w:val="0"/>
      <w:divBdr>
        <w:top w:val="none" w:sz="0" w:space="0" w:color="auto"/>
        <w:left w:val="none" w:sz="0" w:space="0" w:color="auto"/>
        <w:bottom w:val="none" w:sz="0" w:space="0" w:color="auto"/>
        <w:right w:val="none" w:sz="0" w:space="0" w:color="auto"/>
      </w:divBdr>
    </w:div>
    <w:div w:id="966398331">
      <w:bodyDiv w:val="1"/>
      <w:marLeft w:val="0"/>
      <w:marRight w:val="0"/>
      <w:marTop w:val="0"/>
      <w:marBottom w:val="0"/>
      <w:divBdr>
        <w:top w:val="none" w:sz="0" w:space="0" w:color="auto"/>
        <w:left w:val="none" w:sz="0" w:space="0" w:color="auto"/>
        <w:bottom w:val="none" w:sz="0" w:space="0" w:color="auto"/>
        <w:right w:val="none" w:sz="0" w:space="0" w:color="auto"/>
      </w:divBdr>
      <w:divsChild>
        <w:div w:id="1355495773">
          <w:marLeft w:val="-720"/>
          <w:marRight w:val="0"/>
          <w:marTop w:val="0"/>
          <w:marBottom w:val="0"/>
          <w:divBdr>
            <w:top w:val="none" w:sz="0" w:space="0" w:color="auto"/>
            <w:left w:val="none" w:sz="0" w:space="0" w:color="auto"/>
            <w:bottom w:val="none" w:sz="0" w:space="0" w:color="auto"/>
            <w:right w:val="none" w:sz="0" w:space="0" w:color="auto"/>
          </w:divBdr>
        </w:div>
      </w:divsChild>
    </w:div>
    <w:div w:id="1037239974">
      <w:bodyDiv w:val="1"/>
      <w:marLeft w:val="0"/>
      <w:marRight w:val="0"/>
      <w:marTop w:val="0"/>
      <w:marBottom w:val="0"/>
      <w:divBdr>
        <w:top w:val="none" w:sz="0" w:space="0" w:color="auto"/>
        <w:left w:val="none" w:sz="0" w:space="0" w:color="auto"/>
        <w:bottom w:val="none" w:sz="0" w:space="0" w:color="auto"/>
        <w:right w:val="none" w:sz="0" w:space="0" w:color="auto"/>
      </w:divBdr>
      <w:divsChild>
        <w:div w:id="173150444">
          <w:marLeft w:val="0"/>
          <w:marRight w:val="0"/>
          <w:marTop w:val="0"/>
          <w:marBottom w:val="0"/>
          <w:divBdr>
            <w:top w:val="none" w:sz="0" w:space="0" w:color="auto"/>
            <w:left w:val="none" w:sz="0" w:space="0" w:color="auto"/>
            <w:bottom w:val="none" w:sz="0" w:space="0" w:color="auto"/>
            <w:right w:val="none" w:sz="0" w:space="0" w:color="auto"/>
          </w:divBdr>
          <w:divsChild>
            <w:div w:id="1989629364">
              <w:marLeft w:val="0"/>
              <w:marRight w:val="0"/>
              <w:marTop w:val="33"/>
              <w:marBottom w:val="0"/>
              <w:divBdr>
                <w:top w:val="single" w:sz="2" w:space="0" w:color="BBBBBB"/>
                <w:left w:val="single" w:sz="2" w:space="0" w:color="BBBBBB"/>
                <w:bottom w:val="single" w:sz="2" w:space="0" w:color="BBBBBB"/>
                <w:right w:val="single" w:sz="2" w:space="0" w:color="BBBBBB"/>
              </w:divBdr>
            </w:div>
          </w:divsChild>
        </w:div>
      </w:divsChild>
    </w:div>
    <w:div w:id="1048608611">
      <w:bodyDiv w:val="1"/>
      <w:marLeft w:val="0"/>
      <w:marRight w:val="0"/>
      <w:marTop w:val="0"/>
      <w:marBottom w:val="0"/>
      <w:divBdr>
        <w:top w:val="none" w:sz="0" w:space="0" w:color="auto"/>
        <w:left w:val="none" w:sz="0" w:space="0" w:color="auto"/>
        <w:bottom w:val="none" w:sz="0" w:space="0" w:color="auto"/>
        <w:right w:val="none" w:sz="0" w:space="0" w:color="auto"/>
      </w:divBdr>
    </w:div>
    <w:div w:id="1060591134">
      <w:bodyDiv w:val="1"/>
      <w:marLeft w:val="0"/>
      <w:marRight w:val="0"/>
      <w:marTop w:val="0"/>
      <w:marBottom w:val="0"/>
      <w:divBdr>
        <w:top w:val="none" w:sz="0" w:space="0" w:color="auto"/>
        <w:left w:val="none" w:sz="0" w:space="0" w:color="auto"/>
        <w:bottom w:val="none" w:sz="0" w:space="0" w:color="auto"/>
        <w:right w:val="none" w:sz="0" w:space="0" w:color="auto"/>
      </w:divBdr>
    </w:div>
    <w:div w:id="1090009223">
      <w:bodyDiv w:val="1"/>
      <w:marLeft w:val="0"/>
      <w:marRight w:val="0"/>
      <w:marTop w:val="0"/>
      <w:marBottom w:val="0"/>
      <w:divBdr>
        <w:top w:val="none" w:sz="0" w:space="0" w:color="auto"/>
        <w:left w:val="none" w:sz="0" w:space="0" w:color="auto"/>
        <w:bottom w:val="none" w:sz="0" w:space="0" w:color="auto"/>
        <w:right w:val="none" w:sz="0" w:space="0" w:color="auto"/>
      </w:divBdr>
    </w:div>
    <w:div w:id="1090616093">
      <w:bodyDiv w:val="1"/>
      <w:marLeft w:val="0"/>
      <w:marRight w:val="0"/>
      <w:marTop w:val="0"/>
      <w:marBottom w:val="0"/>
      <w:divBdr>
        <w:top w:val="none" w:sz="0" w:space="0" w:color="auto"/>
        <w:left w:val="none" w:sz="0" w:space="0" w:color="auto"/>
        <w:bottom w:val="none" w:sz="0" w:space="0" w:color="auto"/>
        <w:right w:val="none" w:sz="0" w:space="0" w:color="auto"/>
      </w:divBdr>
    </w:div>
    <w:div w:id="1251544154">
      <w:bodyDiv w:val="1"/>
      <w:marLeft w:val="0"/>
      <w:marRight w:val="0"/>
      <w:marTop w:val="0"/>
      <w:marBottom w:val="0"/>
      <w:divBdr>
        <w:top w:val="none" w:sz="0" w:space="0" w:color="auto"/>
        <w:left w:val="none" w:sz="0" w:space="0" w:color="auto"/>
        <w:bottom w:val="none" w:sz="0" w:space="0" w:color="auto"/>
        <w:right w:val="none" w:sz="0" w:space="0" w:color="auto"/>
      </w:divBdr>
    </w:div>
    <w:div w:id="1272057548">
      <w:bodyDiv w:val="1"/>
      <w:marLeft w:val="0"/>
      <w:marRight w:val="0"/>
      <w:marTop w:val="0"/>
      <w:marBottom w:val="0"/>
      <w:divBdr>
        <w:top w:val="none" w:sz="0" w:space="0" w:color="auto"/>
        <w:left w:val="none" w:sz="0" w:space="0" w:color="auto"/>
        <w:bottom w:val="none" w:sz="0" w:space="0" w:color="auto"/>
        <w:right w:val="none" w:sz="0" w:space="0" w:color="auto"/>
      </w:divBdr>
    </w:div>
    <w:div w:id="1305348844">
      <w:bodyDiv w:val="1"/>
      <w:marLeft w:val="0"/>
      <w:marRight w:val="0"/>
      <w:marTop w:val="0"/>
      <w:marBottom w:val="0"/>
      <w:divBdr>
        <w:top w:val="none" w:sz="0" w:space="0" w:color="auto"/>
        <w:left w:val="none" w:sz="0" w:space="0" w:color="auto"/>
        <w:bottom w:val="none" w:sz="0" w:space="0" w:color="auto"/>
        <w:right w:val="none" w:sz="0" w:space="0" w:color="auto"/>
      </w:divBdr>
    </w:div>
    <w:div w:id="1314455583">
      <w:bodyDiv w:val="1"/>
      <w:marLeft w:val="0"/>
      <w:marRight w:val="0"/>
      <w:marTop w:val="0"/>
      <w:marBottom w:val="0"/>
      <w:divBdr>
        <w:top w:val="none" w:sz="0" w:space="0" w:color="auto"/>
        <w:left w:val="none" w:sz="0" w:space="0" w:color="auto"/>
        <w:bottom w:val="none" w:sz="0" w:space="0" w:color="auto"/>
        <w:right w:val="none" w:sz="0" w:space="0" w:color="auto"/>
      </w:divBdr>
    </w:div>
    <w:div w:id="1324554504">
      <w:bodyDiv w:val="1"/>
      <w:marLeft w:val="0"/>
      <w:marRight w:val="0"/>
      <w:marTop w:val="0"/>
      <w:marBottom w:val="0"/>
      <w:divBdr>
        <w:top w:val="none" w:sz="0" w:space="0" w:color="auto"/>
        <w:left w:val="none" w:sz="0" w:space="0" w:color="auto"/>
        <w:bottom w:val="none" w:sz="0" w:space="0" w:color="auto"/>
        <w:right w:val="none" w:sz="0" w:space="0" w:color="auto"/>
      </w:divBdr>
    </w:div>
    <w:div w:id="1327053138">
      <w:bodyDiv w:val="1"/>
      <w:marLeft w:val="0"/>
      <w:marRight w:val="0"/>
      <w:marTop w:val="0"/>
      <w:marBottom w:val="0"/>
      <w:divBdr>
        <w:top w:val="none" w:sz="0" w:space="0" w:color="auto"/>
        <w:left w:val="none" w:sz="0" w:space="0" w:color="auto"/>
        <w:bottom w:val="none" w:sz="0" w:space="0" w:color="auto"/>
        <w:right w:val="none" w:sz="0" w:space="0" w:color="auto"/>
      </w:divBdr>
    </w:div>
    <w:div w:id="1329558224">
      <w:bodyDiv w:val="1"/>
      <w:marLeft w:val="0"/>
      <w:marRight w:val="0"/>
      <w:marTop w:val="0"/>
      <w:marBottom w:val="0"/>
      <w:divBdr>
        <w:top w:val="none" w:sz="0" w:space="0" w:color="auto"/>
        <w:left w:val="none" w:sz="0" w:space="0" w:color="auto"/>
        <w:bottom w:val="none" w:sz="0" w:space="0" w:color="auto"/>
        <w:right w:val="none" w:sz="0" w:space="0" w:color="auto"/>
      </w:divBdr>
      <w:divsChild>
        <w:div w:id="422458887">
          <w:marLeft w:val="0"/>
          <w:marRight w:val="0"/>
          <w:marTop w:val="0"/>
          <w:marBottom w:val="0"/>
          <w:divBdr>
            <w:top w:val="none" w:sz="0" w:space="0" w:color="auto"/>
            <w:left w:val="none" w:sz="0" w:space="0" w:color="auto"/>
            <w:bottom w:val="none" w:sz="0" w:space="0" w:color="auto"/>
            <w:right w:val="none" w:sz="0" w:space="0" w:color="auto"/>
          </w:divBdr>
        </w:div>
      </w:divsChild>
    </w:div>
    <w:div w:id="1370644776">
      <w:bodyDiv w:val="1"/>
      <w:marLeft w:val="0"/>
      <w:marRight w:val="0"/>
      <w:marTop w:val="0"/>
      <w:marBottom w:val="0"/>
      <w:divBdr>
        <w:top w:val="none" w:sz="0" w:space="0" w:color="auto"/>
        <w:left w:val="none" w:sz="0" w:space="0" w:color="auto"/>
        <w:bottom w:val="none" w:sz="0" w:space="0" w:color="auto"/>
        <w:right w:val="none" w:sz="0" w:space="0" w:color="auto"/>
      </w:divBdr>
    </w:div>
    <w:div w:id="1385370838">
      <w:bodyDiv w:val="1"/>
      <w:marLeft w:val="0"/>
      <w:marRight w:val="0"/>
      <w:marTop w:val="0"/>
      <w:marBottom w:val="0"/>
      <w:divBdr>
        <w:top w:val="none" w:sz="0" w:space="0" w:color="auto"/>
        <w:left w:val="none" w:sz="0" w:space="0" w:color="auto"/>
        <w:bottom w:val="none" w:sz="0" w:space="0" w:color="auto"/>
        <w:right w:val="none" w:sz="0" w:space="0" w:color="auto"/>
      </w:divBdr>
    </w:div>
    <w:div w:id="1401440319">
      <w:bodyDiv w:val="1"/>
      <w:marLeft w:val="0"/>
      <w:marRight w:val="0"/>
      <w:marTop w:val="0"/>
      <w:marBottom w:val="0"/>
      <w:divBdr>
        <w:top w:val="none" w:sz="0" w:space="0" w:color="auto"/>
        <w:left w:val="none" w:sz="0" w:space="0" w:color="auto"/>
        <w:bottom w:val="none" w:sz="0" w:space="0" w:color="auto"/>
        <w:right w:val="none" w:sz="0" w:space="0" w:color="auto"/>
      </w:divBdr>
    </w:div>
    <w:div w:id="1425111666">
      <w:bodyDiv w:val="1"/>
      <w:marLeft w:val="0"/>
      <w:marRight w:val="0"/>
      <w:marTop w:val="0"/>
      <w:marBottom w:val="0"/>
      <w:divBdr>
        <w:top w:val="none" w:sz="0" w:space="0" w:color="auto"/>
        <w:left w:val="none" w:sz="0" w:space="0" w:color="auto"/>
        <w:bottom w:val="none" w:sz="0" w:space="0" w:color="auto"/>
        <w:right w:val="none" w:sz="0" w:space="0" w:color="auto"/>
      </w:divBdr>
    </w:div>
    <w:div w:id="1470636606">
      <w:bodyDiv w:val="1"/>
      <w:marLeft w:val="0"/>
      <w:marRight w:val="0"/>
      <w:marTop w:val="0"/>
      <w:marBottom w:val="0"/>
      <w:divBdr>
        <w:top w:val="none" w:sz="0" w:space="0" w:color="auto"/>
        <w:left w:val="none" w:sz="0" w:space="0" w:color="auto"/>
        <w:bottom w:val="none" w:sz="0" w:space="0" w:color="auto"/>
        <w:right w:val="none" w:sz="0" w:space="0" w:color="auto"/>
      </w:divBdr>
    </w:div>
    <w:div w:id="1490442110">
      <w:bodyDiv w:val="1"/>
      <w:marLeft w:val="0"/>
      <w:marRight w:val="0"/>
      <w:marTop w:val="0"/>
      <w:marBottom w:val="0"/>
      <w:divBdr>
        <w:top w:val="none" w:sz="0" w:space="0" w:color="auto"/>
        <w:left w:val="none" w:sz="0" w:space="0" w:color="auto"/>
        <w:bottom w:val="none" w:sz="0" w:space="0" w:color="auto"/>
        <w:right w:val="none" w:sz="0" w:space="0" w:color="auto"/>
      </w:divBdr>
      <w:divsChild>
        <w:div w:id="1378895048">
          <w:marLeft w:val="0"/>
          <w:marRight w:val="0"/>
          <w:marTop w:val="0"/>
          <w:marBottom w:val="0"/>
          <w:divBdr>
            <w:top w:val="none" w:sz="0" w:space="0" w:color="auto"/>
            <w:left w:val="none" w:sz="0" w:space="0" w:color="auto"/>
            <w:bottom w:val="none" w:sz="0" w:space="0" w:color="auto"/>
            <w:right w:val="none" w:sz="0" w:space="0" w:color="auto"/>
          </w:divBdr>
        </w:div>
      </w:divsChild>
    </w:div>
    <w:div w:id="1524368140">
      <w:bodyDiv w:val="1"/>
      <w:marLeft w:val="0"/>
      <w:marRight w:val="0"/>
      <w:marTop w:val="0"/>
      <w:marBottom w:val="0"/>
      <w:divBdr>
        <w:top w:val="none" w:sz="0" w:space="0" w:color="auto"/>
        <w:left w:val="none" w:sz="0" w:space="0" w:color="auto"/>
        <w:bottom w:val="none" w:sz="0" w:space="0" w:color="auto"/>
        <w:right w:val="none" w:sz="0" w:space="0" w:color="auto"/>
      </w:divBdr>
    </w:div>
    <w:div w:id="1565138419">
      <w:bodyDiv w:val="1"/>
      <w:marLeft w:val="0"/>
      <w:marRight w:val="0"/>
      <w:marTop w:val="0"/>
      <w:marBottom w:val="0"/>
      <w:divBdr>
        <w:top w:val="none" w:sz="0" w:space="0" w:color="auto"/>
        <w:left w:val="none" w:sz="0" w:space="0" w:color="auto"/>
        <w:bottom w:val="none" w:sz="0" w:space="0" w:color="auto"/>
        <w:right w:val="none" w:sz="0" w:space="0" w:color="auto"/>
      </w:divBdr>
    </w:div>
    <w:div w:id="1581062921">
      <w:bodyDiv w:val="1"/>
      <w:marLeft w:val="0"/>
      <w:marRight w:val="0"/>
      <w:marTop w:val="0"/>
      <w:marBottom w:val="0"/>
      <w:divBdr>
        <w:top w:val="none" w:sz="0" w:space="0" w:color="auto"/>
        <w:left w:val="none" w:sz="0" w:space="0" w:color="auto"/>
        <w:bottom w:val="none" w:sz="0" w:space="0" w:color="auto"/>
        <w:right w:val="none" w:sz="0" w:space="0" w:color="auto"/>
      </w:divBdr>
    </w:div>
    <w:div w:id="1617247271">
      <w:bodyDiv w:val="1"/>
      <w:marLeft w:val="0"/>
      <w:marRight w:val="0"/>
      <w:marTop w:val="0"/>
      <w:marBottom w:val="0"/>
      <w:divBdr>
        <w:top w:val="none" w:sz="0" w:space="0" w:color="auto"/>
        <w:left w:val="none" w:sz="0" w:space="0" w:color="auto"/>
        <w:bottom w:val="none" w:sz="0" w:space="0" w:color="auto"/>
        <w:right w:val="none" w:sz="0" w:space="0" w:color="auto"/>
      </w:divBdr>
    </w:div>
    <w:div w:id="1718355811">
      <w:bodyDiv w:val="1"/>
      <w:marLeft w:val="0"/>
      <w:marRight w:val="0"/>
      <w:marTop w:val="0"/>
      <w:marBottom w:val="0"/>
      <w:divBdr>
        <w:top w:val="none" w:sz="0" w:space="0" w:color="auto"/>
        <w:left w:val="none" w:sz="0" w:space="0" w:color="auto"/>
        <w:bottom w:val="none" w:sz="0" w:space="0" w:color="auto"/>
        <w:right w:val="none" w:sz="0" w:space="0" w:color="auto"/>
      </w:divBdr>
    </w:div>
    <w:div w:id="1773738758">
      <w:bodyDiv w:val="1"/>
      <w:marLeft w:val="0"/>
      <w:marRight w:val="0"/>
      <w:marTop w:val="0"/>
      <w:marBottom w:val="0"/>
      <w:divBdr>
        <w:top w:val="none" w:sz="0" w:space="0" w:color="auto"/>
        <w:left w:val="none" w:sz="0" w:space="0" w:color="auto"/>
        <w:bottom w:val="none" w:sz="0" w:space="0" w:color="auto"/>
        <w:right w:val="none" w:sz="0" w:space="0" w:color="auto"/>
      </w:divBdr>
    </w:div>
    <w:div w:id="1816798153">
      <w:bodyDiv w:val="1"/>
      <w:marLeft w:val="0"/>
      <w:marRight w:val="0"/>
      <w:marTop w:val="0"/>
      <w:marBottom w:val="0"/>
      <w:divBdr>
        <w:top w:val="none" w:sz="0" w:space="0" w:color="auto"/>
        <w:left w:val="none" w:sz="0" w:space="0" w:color="auto"/>
        <w:bottom w:val="none" w:sz="0" w:space="0" w:color="auto"/>
        <w:right w:val="none" w:sz="0" w:space="0" w:color="auto"/>
      </w:divBdr>
    </w:div>
    <w:div w:id="1816871329">
      <w:bodyDiv w:val="1"/>
      <w:marLeft w:val="0"/>
      <w:marRight w:val="0"/>
      <w:marTop w:val="0"/>
      <w:marBottom w:val="0"/>
      <w:divBdr>
        <w:top w:val="none" w:sz="0" w:space="0" w:color="auto"/>
        <w:left w:val="none" w:sz="0" w:space="0" w:color="auto"/>
        <w:bottom w:val="none" w:sz="0" w:space="0" w:color="auto"/>
        <w:right w:val="none" w:sz="0" w:space="0" w:color="auto"/>
      </w:divBdr>
      <w:divsChild>
        <w:div w:id="493184794">
          <w:marLeft w:val="0"/>
          <w:marRight w:val="0"/>
          <w:marTop w:val="0"/>
          <w:marBottom w:val="0"/>
          <w:divBdr>
            <w:top w:val="none" w:sz="0" w:space="0" w:color="auto"/>
            <w:left w:val="none" w:sz="0" w:space="0" w:color="auto"/>
            <w:bottom w:val="none" w:sz="0" w:space="0" w:color="auto"/>
            <w:right w:val="none" w:sz="0" w:space="0" w:color="auto"/>
          </w:divBdr>
        </w:div>
      </w:divsChild>
    </w:div>
    <w:div w:id="1892224945">
      <w:bodyDiv w:val="1"/>
      <w:marLeft w:val="0"/>
      <w:marRight w:val="0"/>
      <w:marTop w:val="0"/>
      <w:marBottom w:val="0"/>
      <w:divBdr>
        <w:top w:val="none" w:sz="0" w:space="0" w:color="auto"/>
        <w:left w:val="none" w:sz="0" w:space="0" w:color="auto"/>
        <w:bottom w:val="none" w:sz="0" w:space="0" w:color="auto"/>
        <w:right w:val="none" w:sz="0" w:space="0" w:color="auto"/>
      </w:divBdr>
      <w:divsChild>
        <w:div w:id="1437747278">
          <w:marLeft w:val="0"/>
          <w:marRight w:val="0"/>
          <w:marTop w:val="0"/>
          <w:marBottom w:val="0"/>
          <w:divBdr>
            <w:top w:val="none" w:sz="0" w:space="0" w:color="auto"/>
            <w:left w:val="none" w:sz="0" w:space="0" w:color="auto"/>
            <w:bottom w:val="none" w:sz="0" w:space="0" w:color="auto"/>
            <w:right w:val="none" w:sz="0" w:space="0" w:color="auto"/>
          </w:divBdr>
        </w:div>
      </w:divsChild>
    </w:div>
    <w:div w:id="1965110638">
      <w:bodyDiv w:val="1"/>
      <w:marLeft w:val="0"/>
      <w:marRight w:val="0"/>
      <w:marTop w:val="0"/>
      <w:marBottom w:val="0"/>
      <w:divBdr>
        <w:top w:val="none" w:sz="0" w:space="0" w:color="auto"/>
        <w:left w:val="none" w:sz="0" w:space="0" w:color="auto"/>
        <w:bottom w:val="none" w:sz="0" w:space="0" w:color="auto"/>
        <w:right w:val="none" w:sz="0" w:space="0" w:color="auto"/>
      </w:divBdr>
      <w:divsChild>
        <w:div w:id="542525538">
          <w:marLeft w:val="0"/>
          <w:marRight w:val="0"/>
          <w:marTop w:val="0"/>
          <w:marBottom w:val="0"/>
          <w:divBdr>
            <w:top w:val="none" w:sz="0" w:space="0" w:color="auto"/>
            <w:left w:val="none" w:sz="0" w:space="0" w:color="auto"/>
            <w:bottom w:val="none" w:sz="0" w:space="0" w:color="auto"/>
            <w:right w:val="none" w:sz="0" w:space="0" w:color="auto"/>
          </w:divBdr>
          <w:divsChild>
            <w:div w:id="1412775794">
              <w:marLeft w:val="0"/>
              <w:marRight w:val="0"/>
              <w:marTop w:val="0"/>
              <w:marBottom w:val="0"/>
              <w:divBdr>
                <w:top w:val="none" w:sz="0" w:space="0" w:color="auto"/>
                <w:left w:val="none" w:sz="0" w:space="0" w:color="auto"/>
                <w:bottom w:val="none" w:sz="0" w:space="0" w:color="auto"/>
                <w:right w:val="none" w:sz="0" w:space="0" w:color="auto"/>
              </w:divBdr>
              <w:divsChild>
                <w:div w:id="130693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651969">
      <w:bodyDiv w:val="1"/>
      <w:marLeft w:val="0"/>
      <w:marRight w:val="0"/>
      <w:marTop w:val="0"/>
      <w:marBottom w:val="0"/>
      <w:divBdr>
        <w:top w:val="none" w:sz="0" w:space="0" w:color="auto"/>
        <w:left w:val="none" w:sz="0" w:space="0" w:color="auto"/>
        <w:bottom w:val="none" w:sz="0" w:space="0" w:color="auto"/>
        <w:right w:val="none" w:sz="0" w:space="0" w:color="auto"/>
      </w:divBdr>
    </w:div>
    <w:div w:id="2006201487">
      <w:bodyDiv w:val="1"/>
      <w:marLeft w:val="0"/>
      <w:marRight w:val="0"/>
      <w:marTop w:val="0"/>
      <w:marBottom w:val="0"/>
      <w:divBdr>
        <w:top w:val="none" w:sz="0" w:space="0" w:color="auto"/>
        <w:left w:val="none" w:sz="0" w:space="0" w:color="auto"/>
        <w:bottom w:val="none" w:sz="0" w:space="0" w:color="auto"/>
        <w:right w:val="none" w:sz="0" w:space="0" w:color="auto"/>
      </w:divBdr>
    </w:div>
    <w:div w:id="2016227436">
      <w:bodyDiv w:val="1"/>
      <w:marLeft w:val="0"/>
      <w:marRight w:val="0"/>
      <w:marTop w:val="0"/>
      <w:marBottom w:val="0"/>
      <w:divBdr>
        <w:top w:val="none" w:sz="0" w:space="0" w:color="auto"/>
        <w:left w:val="none" w:sz="0" w:space="0" w:color="auto"/>
        <w:bottom w:val="none" w:sz="0" w:space="0" w:color="auto"/>
        <w:right w:val="none" w:sz="0" w:space="0" w:color="auto"/>
      </w:divBdr>
    </w:div>
    <w:div w:id="2017950930">
      <w:bodyDiv w:val="1"/>
      <w:marLeft w:val="0"/>
      <w:marRight w:val="0"/>
      <w:marTop w:val="0"/>
      <w:marBottom w:val="0"/>
      <w:divBdr>
        <w:top w:val="none" w:sz="0" w:space="0" w:color="auto"/>
        <w:left w:val="none" w:sz="0" w:space="0" w:color="auto"/>
        <w:bottom w:val="none" w:sz="0" w:space="0" w:color="auto"/>
        <w:right w:val="none" w:sz="0" w:space="0" w:color="auto"/>
      </w:divBdr>
    </w:div>
    <w:div w:id="202008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uk.finance.yahoo.com/quote/UBER" TargetMode="External"/><Relationship Id="rId4" Type="http://schemas.openxmlformats.org/officeDocument/2006/relationships/webSettings" Target="webSettings.xml"/><Relationship Id="rId9" Type="http://schemas.openxmlformats.org/officeDocument/2006/relationships/hyperlink" Target="https://uk.finance.yahoo.com/quote/UBER"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1767</Words>
  <Characters>10072</Characters>
  <Application>Microsoft Office Word</Application>
  <DocSecurity>0</DocSecurity>
  <Lines>83</Lines>
  <Paragraphs>23</Paragraphs>
  <ScaleCrop>false</ScaleCrop>
  <Company/>
  <LinksUpToDate>false</LinksUpToDate>
  <CharactersWithSpaces>11816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dc:creator>
  <cp:lastModifiedBy>Jie L</cp:lastModifiedBy>
  <cp:revision>3</cp:revision>
  <dcterms:created xsi:type="dcterms:W3CDTF">2024-04-10T08:53:00Z</dcterms:created>
  <dcterms:modified xsi:type="dcterms:W3CDTF">2024-04-10T08:55:00Z</dcterms:modified>
</cp:coreProperties>
</file>