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449EB2" w14:textId="77777777" w:rsidR="00C64F6A" w:rsidRPr="00E7301D" w:rsidRDefault="00C64F6A" w:rsidP="00C64F6A">
      <w:pPr>
        <w:spacing w:before="120" w:after="120" w:line="240" w:lineRule="auto"/>
        <w:jc w:val="center"/>
        <w:rPr>
          <w:rFonts w:eastAsia="Aptos" w:cs="Arial"/>
          <w:color w:val="000000"/>
        </w:rPr>
      </w:pPr>
      <w:r w:rsidRPr="00E7301D">
        <w:rPr>
          <w:rFonts w:eastAsia="Aptos" w:cs="Arial"/>
          <w:noProof/>
          <w:color w:val="000000"/>
        </w:rPr>
        <w:drawing>
          <wp:inline distT="0" distB="0" distL="0" distR="0" wp14:anchorId="2A833A80" wp14:editId="0767FF72">
            <wp:extent cx="3383280" cy="1356360"/>
            <wp:effectExtent l="0" t="0" r="7620" b="0"/>
            <wp:docPr id="3"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5288E90E" w14:textId="77777777" w:rsidR="00C64F6A" w:rsidRPr="00E7301D" w:rsidRDefault="00C64F6A" w:rsidP="00C64F6A">
      <w:pPr>
        <w:spacing w:before="120" w:after="120" w:line="240" w:lineRule="auto"/>
        <w:rPr>
          <w:rFonts w:eastAsia="Aptos" w:cs="Arial"/>
          <w:color w:val="000000"/>
        </w:rPr>
      </w:pPr>
    </w:p>
    <w:p w14:paraId="6961A87B" w14:textId="77777777" w:rsidR="00C64F6A" w:rsidRPr="00E7301D" w:rsidRDefault="00C64F6A" w:rsidP="00C64F6A">
      <w:pPr>
        <w:spacing w:before="120" w:after="120" w:line="240" w:lineRule="auto"/>
        <w:rPr>
          <w:rFonts w:eastAsia="Aptos" w:cs="Arial"/>
          <w:color w:val="000000"/>
        </w:rPr>
      </w:pPr>
    </w:p>
    <w:p w14:paraId="62897430" w14:textId="7D233E51" w:rsidR="00C64F6A" w:rsidRDefault="00C64F6A" w:rsidP="00C64F6A">
      <w:pPr>
        <w:spacing w:before="120" w:after="120" w:line="240" w:lineRule="auto"/>
        <w:jc w:val="center"/>
        <w:rPr>
          <w:rFonts w:eastAsia="Aptos" w:cs="Arial"/>
          <w:b/>
          <w:bCs/>
          <w:color w:val="000000"/>
        </w:rPr>
      </w:pPr>
      <w:r w:rsidRPr="00E7301D">
        <w:rPr>
          <w:rFonts w:eastAsia="Aptos" w:cs="Arial"/>
          <w:b/>
          <w:bCs/>
          <w:color w:val="000000"/>
        </w:rPr>
        <w:t>Student Name:</w:t>
      </w:r>
      <w:r>
        <w:rPr>
          <w:rFonts w:eastAsia="Aptos" w:cs="Arial"/>
          <w:b/>
          <w:bCs/>
          <w:color w:val="000000"/>
        </w:rPr>
        <w:t xml:space="preserve"> </w:t>
      </w:r>
      <w:r w:rsidR="008F118B">
        <w:rPr>
          <w:rFonts w:eastAsia="Aptos" w:cs="Arial"/>
          <w:b/>
          <w:bCs/>
          <w:color w:val="000000"/>
        </w:rPr>
        <w:t>DHRUMILKUMAR KETANKUMAR PATEL</w:t>
      </w:r>
    </w:p>
    <w:p w14:paraId="1EBCAB1B" w14:textId="77777777" w:rsidR="003210AB" w:rsidRPr="00E7301D" w:rsidRDefault="003210AB" w:rsidP="00C64F6A">
      <w:pPr>
        <w:spacing w:before="120" w:after="120" w:line="240" w:lineRule="auto"/>
        <w:jc w:val="center"/>
        <w:rPr>
          <w:rFonts w:eastAsia="Aptos" w:cs="Arial"/>
          <w:b/>
          <w:bCs/>
          <w:color w:val="000000"/>
        </w:rPr>
      </w:pPr>
    </w:p>
    <w:p w14:paraId="4E3B38CB" w14:textId="77777777" w:rsidR="00C64F6A" w:rsidRPr="00E7301D" w:rsidRDefault="00C64F6A" w:rsidP="00C64F6A">
      <w:pPr>
        <w:spacing w:before="120" w:after="120" w:line="240" w:lineRule="auto"/>
        <w:jc w:val="center"/>
        <w:rPr>
          <w:rFonts w:eastAsia="Aptos" w:cs="Arial"/>
          <w:b/>
          <w:bCs/>
          <w:color w:val="000000"/>
        </w:rPr>
      </w:pPr>
    </w:p>
    <w:p w14:paraId="50FE980A" w14:textId="3CA28832" w:rsidR="00C64F6A" w:rsidRPr="00E7301D" w:rsidRDefault="00C64F6A" w:rsidP="00C64F6A">
      <w:pPr>
        <w:spacing w:before="120" w:after="120" w:line="240" w:lineRule="auto"/>
        <w:jc w:val="center"/>
        <w:rPr>
          <w:rFonts w:eastAsia="Aptos" w:cs="Arial"/>
          <w:b/>
          <w:bCs/>
          <w:color w:val="000000"/>
        </w:rPr>
      </w:pPr>
      <w:r w:rsidRPr="00E7301D">
        <w:rPr>
          <w:rFonts w:eastAsia="Aptos" w:cs="Arial"/>
          <w:b/>
          <w:bCs/>
          <w:color w:val="000000"/>
        </w:rPr>
        <w:t>Student ID:</w:t>
      </w:r>
      <w:r w:rsidR="008F118B">
        <w:rPr>
          <w:rFonts w:eastAsia="Aptos" w:cs="Arial"/>
          <w:b/>
          <w:bCs/>
          <w:color w:val="000000"/>
        </w:rPr>
        <w:t xml:space="preserve"> 2510610</w:t>
      </w:r>
    </w:p>
    <w:p w14:paraId="521B9EBC" w14:textId="77777777" w:rsidR="00C64F6A" w:rsidRPr="00E7301D" w:rsidRDefault="00C64F6A" w:rsidP="00C64F6A">
      <w:pPr>
        <w:spacing w:before="120" w:after="120" w:line="240" w:lineRule="auto"/>
        <w:jc w:val="center"/>
        <w:rPr>
          <w:rFonts w:eastAsia="Aptos" w:cs="Arial"/>
          <w:color w:val="000000"/>
        </w:rPr>
      </w:pPr>
    </w:p>
    <w:p w14:paraId="08A569BE" w14:textId="77777777" w:rsidR="00C64F6A" w:rsidRPr="00E7301D" w:rsidRDefault="00C64F6A" w:rsidP="00C64F6A">
      <w:pPr>
        <w:spacing w:before="120" w:after="120" w:line="240" w:lineRule="auto"/>
        <w:jc w:val="center"/>
        <w:rPr>
          <w:rFonts w:eastAsia="Aptos" w:cs="Arial"/>
          <w:color w:val="000000"/>
        </w:rPr>
      </w:pPr>
    </w:p>
    <w:p w14:paraId="4CD65086" w14:textId="1DA0F2F0" w:rsidR="00C64F6A" w:rsidRDefault="00C64F6A" w:rsidP="00C64F6A">
      <w:pPr>
        <w:spacing w:before="120" w:after="120" w:line="240" w:lineRule="auto"/>
        <w:jc w:val="center"/>
        <w:rPr>
          <w:rFonts w:eastAsia="Aptos" w:cs="Arial"/>
          <w:b/>
          <w:bCs/>
          <w:color w:val="000000"/>
        </w:rPr>
      </w:pPr>
      <w:r w:rsidRPr="00E7301D">
        <w:rPr>
          <w:rFonts w:eastAsia="Aptos" w:cs="Arial"/>
          <w:b/>
          <w:bCs/>
          <w:color w:val="000000"/>
        </w:rPr>
        <w:t>Module Name</w:t>
      </w:r>
      <w:r>
        <w:rPr>
          <w:rFonts w:eastAsia="Aptos" w:cs="Arial"/>
          <w:b/>
          <w:bCs/>
          <w:color w:val="000000"/>
        </w:rPr>
        <w:t>:</w:t>
      </w:r>
      <w:r w:rsidR="008F118B">
        <w:rPr>
          <w:rFonts w:eastAsia="Aptos" w:cs="Arial"/>
          <w:b/>
          <w:bCs/>
          <w:color w:val="000000"/>
        </w:rPr>
        <w:t xml:space="preserve"> FINANCIAL MANAGEMENT</w:t>
      </w:r>
    </w:p>
    <w:p w14:paraId="551360B7" w14:textId="77777777" w:rsidR="009F5214" w:rsidRDefault="009F5214" w:rsidP="00C64F6A">
      <w:pPr>
        <w:spacing w:before="120" w:after="120" w:line="240" w:lineRule="auto"/>
        <w:jc w:val="center"/>
        <w:rPr>
          <w:rFonts w:eastAsia="Aptos" w:cs="Arial"/>
          <w:b/>
          <w:bCs/>
          <w:color w:val="000000"/>
        </w:rPr>
      </w:pPr>
    </w:p>
    <w:p w14:paraId="2E03E027" w14:textId="77777777" w:rsidR="009F5214" w:rsidRDefault="009F5214" w:rsidP="00C64F6A">
      <w:pPr>
        <w:spacing w:before="120" w:after="120" w:line="240" w:lineRule="auto"/>
        <w:jc w:val="center"/>
        <w:rPr>
          <w:rFonts w:eastAsia="Aptos" w:cs="Arial"/>
          <w:b/>
          <w:bCs/>
          <w:color w:val="000000"/>
        </w:rPr>
      </w:pPr>
    </w:p>
    <w:p w14:paraId="506499CD" w14:textId="3E6D2836" w:rsidR="009F5214" w:rsidRDefault="009F5214" w:rsidP="00C64F6A">
      <w:pPr>
        <w:spacing w:before="120" w:after="120" w:line="240" w:lineRule="auto"/>
        <w:jc w:val="center"/>
        <w:rPr>
          <w:rFonts w:eastAsia="Aptos" w:cs="Arial"/>
          <w:b/>
          <w:bCs/>
          <w:color w:val="000000"/>
        </w:rPr>
      </w:pPr>
      <w:r w:rsidRPr="00E7301D">
        <w:rPr>
          <w:rFonts w:eastAsia="Aptos" w:cs="Arial"/>
          <w:b/>
          <w:bCs/>
          <w:color w:val="000000"/>
        </w:rPr>
        <w:t xml:space="preserve">Module Code: </w:t>
      </w:r>
      <w:r>
        <w:rPr>
          <w:rFonts w:eastAsia="Aptos" w:cs="Arial"/>
          <w:b/>
          <w:bCs/>
          <w:color w:val="000000"/>
        </w:rPr>
        <w:t>LCMB7002</w:t>
      </w:r>
    </w:p>
    <w:p w14:paraId="500771C1" w14:textId="77777777" w:rsidR="006B5BE0" w:rsidRDefault="006B5BE0" w:rsidP="00C64F6A">
      <w:pPr>
        <w:spacing w:before="120" w:after="120" w:line="240" w:lineRule="auto"/>
        <w:jc w:val="center"/>
        <w:rPr>
          <w:rFonts w:eastAsia="Aptos" w:cs="Arial"/>
          <w:b/>
          <w:bCs/>
          <w:color w:val="000000"/>
        </w:rPr>
      </w:pPr>
    </w:p>
    <w:p w14:paraId="56776292" w14:textId="77777777" w:rsidR="006B5BE0" w:rsidRDefault="006B5BE0" w:rsidP="00C64F6A">
      <w:pPr>
        <w:spacing w:before="120" w:after="120" w:line="240" w:lineRule="auto"/>
        <w:jc w:val="center"/>
        <w:rPr>
          <w:rFonts w:eastAsia="Aptos" w:cs="Arial"/>
          <w:b/>
          <w:bCs/>
          <w:color w:val="000000"/>
        </w:rPr>
      </w:pPr>
    </w:p>
    <w:p w14:paraId="42EB7402" w14:textId="271FE7AF" w:rsidR="006B5BE0" w:rsidRDefault="006B5BE0" w:rsidP="00C64F6A">
      <w:pPr>
        <w:spacing w:before="120" w:after="120" w:line="240" w:lineRule="auto"/>
        <w:jc w:val="center"/>
        <w:rPr>
          <w:rFonts w:eastAsia="Aptos" w:cs="Arial"/>
          <w:b/>
          <w:bCs/>
          <w:color w:val="000000"/>
        </w:rPr>
      </w:pPr>
      <w:r w:rsidRPr="006B5BE0">
        <w:rPr>
          <w:rFonts w:eastAsia="Aptos" w:cs="Arial"/>
          <w:b/>
          <w:bCs/>
          <w:color w:val="000000"/>
        </w:rPr>
        <w:t xml:space="preserve">Assignment Title: Assessment component: Financial </w:t>
      </w:r>
      <w:r>
        <w:rPr>
          <w:rFonts w:eastAsia="Aptos" w:cs="Arial"/>
          <w:b/>
          <w:bCs/>
          <w:color w:val="000000"/>
        </w:rPr>
        <w:t>P</w:t>
      </w:r>
      <w:r w:rsidRPr="006B5BE0">
        <w:rPr>
          <w:rFonts w:eastAsia="Aptos" w:cs="Arial"/>
          <w:b/>
          <w:bCs/>
          <w:color w:val="000000"/>
        </w:rPr>
        <w:t>erformance and management</w:t>
      </w:r>
    </w:p>
    <w:p w14:paraId="2FEC6867" w14:textId="77777777" w:rsidR="00C64F6A" w:rsidRPr="00E7301D" w:rsidRDefault="00C64F6A" w:rsidP="00C64F6A">
      <w:pPr>
        <w:spacing w:before="120" w:after="120" w:line="240" w:lineRule="auto"/>
        <w:rPr>
          <w:rFonts w:eastAsia="Aptos" w:cs="Arial"/>
          <w:b/>
          <w:bCs/>
          <w:color w:val="000000"/>
        </w:rPr>
      </w:pPr>
    </w:p>
    <w:p w14:paraId="1B6E02B9" w14:textId="77777777" w:rsidR="00C64F6A" w:rsidRPr="00E7301D" w:rsidRDefault="00C64F6A" w:rsidP="00C64F6A">
      <w:pPr>
        <w:spacing w:before="120" w:after="120" w:line="240" w:lineRule="auto"/>
        <w:jc w:val="center"/>
        <w:rPr>
          <w:rFonts w:eastAsia="Aptos" w:cs="Arial"/>
          <w:b/>
          <w:bCs/>
          <w:color w:val="000000"/>
        </w:rPr>
      </w:pPr>
    </w:p>
    <w:p w14:paraId="666B3BBC" w14:textId="652C59F1" w:rsidR="00C64F6A" w:rsidRDefault="00C64F6A" w:rsidP="00C64F6A">
      <w:pPr>
        <w:spacing w:before="120" w:after="120" w:line="240" w:lineRule="auto"/>
        <w:jc w:val="center"/>
        <w:rPr>
          <w:b/>
          <w:bCs/>
        </w:rPr>
      </w:pPr>
      <w:r w:rsidRPr="00914098">
        <w:rPr>
          <w:rFonts w:eastAsia="Aptos" w:cs="Arial"/>
          <w:b/>
          <w:bCs/>
          <w:color w:val="000000"/>
        </w:rPr>
        <w:t>Lecturer’s Name:</w:t>
      </w:r>
      <w:r w:rsidRPr="00914098">
        <w:rPr>
          <w:b/>
          <w:bCs/>
        </w:rPr>
        <w:t xml:space="preserve"> </w:t>
      </w:r>
      <w:proofErr w:type="spellStart"/>
      <w:r w:rsidR="005945F9" w:rsidRPr="005945F9">
        <w:rPr>
          <w:b/>
          <w:bCs/>
        </w:rPr>
        <w:t>Shengfeng</w:t>
      </w:r>
      <w:proofErr w:type="spellEnd"/>
      <w:r w:rsidR="005945F9" w:rsidRPr="005945F9">
        <w:rPr>
          <w:b/>
          <w:bCs/>
        </w:rPr>
        <w:t xml:space="preserve"> Mei (London)</w:t>
      </w:r>
    </w:p>
    <w:p w14:paraId="1D281E00" w14:textId="77777777" w:rsidR="005945F9" w:rsidRPr="00914098" w:rsidRDefault="005945F9" w:rsidP="00C64F6A">
      <w:pPr>
        <w:spacing w:before="120" w:after="120" w:line="240" w:lineRule="auto"/>
        <w:jc w:val="center"/>
        <w:rPr>
          <w:rFonts w:eastAsia="Aptos" w:cs="Arial"/>
          <w:b/>
          <w:bCs/>
          <w:color w:val="000000"/>
        </w:rPr>
      </w:pPr>
    </w:p>
    <w:p w14:paraId="3ADF94E8" w14:textId="77777777" w:rsidR="00C64F6A" w:rsidRPr="00E7301D" w:rsidRDefault="00C64F6A" w:rsidP="00C64F6A">
      <w:pPr>
        <w:spacing w:before="120" w:after="120" w:line="240" w:lineRule="auto"/>
        <w:jc w:val="center"/>
        <w:rPr>
          <w:rFonts w:eastAsia="Aptos" w:cs="Arial"/>
          <w:b/>
          <w:bCs/>
          <w:color w:val="000000"/>
        </w:rPr>
      </w:pPr>
      <w:r w:rsidRPr="00E7301D">
        <w:rPr>
          <w:rFonts w:eastAsia="Aptos" w:cs="Arial"/>
          <w:b/>
          <w:bCs/>
          <w:color w:val="000000"/>
        </w:rPr>
        <w:t xml:space="preserve"> </w:t>
      </w:r>
    </w:p>
    <w:p w14:paraId="2E605A8E" w14:textId="786E36B4" w:rsidR="00C64F6A" w:rsidRDefault="005945F9" w:rsidP="00C64F6A">
      <w:pPr>
        <w:spacing w:before="120" w:after="120" w:line="240" w:lineRule="auto"/>
        <w:jc w:val="center"/>
        <w:rPr>
          <w:rFonts w:eastAsia="Aptos" w:cs="Arial"/>
          <w:b/>
          <w:bCs/>
          <w:color w:val="000000"/>
        </w:rPr>
      </w:pPr>
      <w:r>
        <w:rPr>
          <w:rFonts w:eastAsia="Aptos" w:cs="Arial"/>
          <w:b/>
          <w:bCs/>
          <w:color w:val="000000"/>
        </w:rPr>
        <w:t xml:space="preserve">Topic: </w:t>
      </w:r>
      <w:r w:rsidRPr="005945F9">
        <w:rPr>
          <w:rFonts w:eastAsia="Aptos" w:cs="Arial"/>
          <w:b/>
          <w:bCs/>
          <w:color w:val="000000"/>
        </w:rPr>
        <w:t>Strategic CFO Challenge: Saving a Failing Global Firm</w:t>
      </w:r>
      <w:r w:rsidR="00C64F6A">
        <w:rPr>
          <w:rFonts w:eastAsia="Aptos" w:cs="Arial"/>
          <w:b/>
          <w:bCs/>
          <w:color w:val="000000"/>
        </w:rPr>
        <w:t xml:space="preserve">  </w:t>
      </w:r>
    </w:p>
    <w:p w14:paraId="6B7D33CC" w14:textId="77777777" w:rsidR="005945F9" w:rsidRPr="00E7301D" w:rsidRDefault="005945F9" w:rsidP="00C64F6A">
      <w:pPr>
        <w:spacing w:before="120" w:after="120" w:line="240" w:lineRule="auto"/>
        <w:jc w:val="center"/>
        <w:rPr>
          <w:rFonts w:eastAsia="Aptos" w:cs="Arial"/>
          <w:b/>
          <w:bCs/>
          <w:color w:val="000000"/>
        </w:rPr>
      </w:pPr>
    </w:p>
    <w:p w14:paraId="417EBDFF" w14:textId="77777777" w:rsidR="00C64F6A" w:rsidRPr="00E7301D" w:rsidRDefault="00C64F6A" w:rsidP="00C64F6A">
      <w:pPr>
        <w:spacing w:before="120" w:after="120" w:line="240" w:lineRule="auto"/>
        <w:rPr>
          <w:rFonts w:eastAsia="Aptos" w:cs="Arial"/>
          <w:b/>
          <w:bCs/>
          <w:color w:val="000000"/>
        </w:rPr>
      </w:pPr>
    </w:p>
    <w:p w14:paraId="364BB342" w14:textId="1572DCC0" w:rsidR="00C64F6A" w:rsidRPr="00E7301D" w:rsidRDefault="00C64F6A" w:rsidP="00C64F6A">
      <w:pPr>
        <w:spacing w:before="120" w:after="120" w:line="240" w:lineRule="auto"/>
        <w:jc w:val="center"/>
        <w:rPr>
          <w:rFonts w:eastAsia="Aptos" w:cs="Arial"/>
          <w:b/>
          <w:bCs/>
          <w:color w:val="000000"/>
        </w:rPr>
      </w:pPr>
      <w:r w:rsidRPr="00E7301D">
        <w:rPr>
          <w:rFonts w:eastAsia="Aptos" w:cs="Arial"/>
          <w:b/>
          <w:bCs/>
          <w:color w:val="000000"/>
        </w:rPr>
        <w:t xml:space="preserve">Work Count: </w:t>
      </w:r>
      <w:r w:rsidR="005945F9">
        <w:rPr>
          <w:rFonts w:eastAsia="Aptos" w:cs="Arial"/>
          <w:b/>
          <w:bCs/>
          <w:color w:val="000000"/>
        </w:rPr>
        <w:t>5150</w:t>
      </w:r>
    </w:p>
    <w:p w14:paraId="1128B9BB" w14:textId="77777777" w:rsidR="00C64F6A" w:rsidRPr="00E7301D" w:rsidRDefault="00C64F6A" w:rsidP="00C64F6A">
      <w:pPr>
        <w:spacing w:before="120" w:after="120"/>
        <w:jc w:val="center"/>
        <w:rPr>
          <w:rFonts w:eastAsia="Aptos" w:cs="Arial"/>
          <w:b/>
          <w:bCs/>
          <w:color w:val="000000"/>
        </w:rPr>
      </w:pPr>
    </w:p>
    <w:p w14:paraId="6269EABC" w14:textId="77777777" w:rsidR="00C64F6A" w:rsidRPr="00E7301D" w:rsidRDefault="00C64F6A" w:rsidP="00C64F6A">
      <w:pPr>
        <w:spacing w:before="120" w:after="120"/>
        <w:rPr>
          <w:rFonts w:eastAsia="Aptos" w:cs="Arial"/>
          <w:b/>
          <w:bCs/>
          <w:color w:val="000000"/>
        </w:rPr>
      </w:pPr>
    </w:p>
    <w:p w14:paraId="145F2A28" w14:textId="647C912A" w:rsidR="00C64F6A" w:rsidRPr="00E7301D" w:rsidRDefault="00C64F6A" w:rsidP="00C64F6A">
      <w:pPr>
        <w:spacing w:before="120" w:after="120"/>
        <w:jc w:val="center"/>
        <w:rPr>
          <w:rFonts w:eastAsia="Aptos" w:cs="Arial"/>
          <w:b/>
          <w:bCs/>
          <w:color w:val="000000"/>
        </w:rPr>
      </w:pPr>
      <w:r w:rsidRPr="00E7301D">
        <w:rPr>
          <w:rFonts w:eastAsia="Aptos" w:cs="Arial"/>
          <w:b/>
          <w:bCs/>
          <w:color w:val="000000"/>
        </w:rPr>
        <w:t xml:space="preserve">Term </w:t>
      </w:r>
      <w:r w:rsidR="006B5BE0">
        <w:rPr>
          <w:rFonts w:eastAsia="Aptos" w:cs="Arial"/>
          <w:b/>
          <w:bCs/>
          <w:color w:val="000000"/>
        </w:rPr>
        <w:t>1</w:t>
      </w:r>
    </w:p>
    <w:p w14:paraId="21E0FDAD" w14:textId="77777777" w:rsidR="00C64F6A" w:rsidRDefault="00C64F6A" w:rsidP="00C64F6A"/>
    <w:p w14:paraId="4F7091B7" w14:textId="77777777" w:rsidR="00C64F6A" w:rsidRPr="00F05EFD" w:rsidRDefault="00C64F6A" w:rsidP="00C64F6A"/>
    <w:p w14:paraId="2C92F857" w14:textId="77777777" w:rsidR="00C64F6A" w:rsidRDefault="00C64F6A" w:rsidP="00C64F6A">
      <w:pPr>
        <w:spacing w:line="278" w:lineRule="auto"/>
        <w:jc w:val="left"/>
      </w:pPr>
    </w:p>
    <w:p w14:paraId="1D4DF9CC" w14:textId="77777777" w:rsidR="00C64F6A" w:rsidRDefault="00C64F6A" w:rsidP="00C64F6A">
      <w:pPr>
        <w:spacing w:line="278" w:lineRule="auto"/>
        <w:jc w:val="left"/>
        <w:rPr>
          <w:b/>
          <w:bCs/>
          <w:sz w:val="28"/>
          <w:szCs w:val="28"/>
        </w:rPr>
      </w:pPr>
      <w:r w:rsidRPr="005F57AF">
        <w:rPr>
          <w:b/>
          <w:bCs/>
          <w:sz w:val="28"/>
          <w:szCs w:val="28"/>
        </w:rPr>
        <w:t>Table of Content</w:t>
      </w:r>
    </w:p>
    <w:p w14:paraId="5374D8EE" w14:textId="77777777" w:rsidR="00C64F6A" w:rsidRDefault="00C64F6A" w:rsidP="00C64F6A">
      <w:pPr>
        <w:pStyle w:val="TOC1"/>
        <w:tabs>
          <w:tab w:val="right" w:leader="dot" w:pos="9350"/>
        </w:tabs>
        <w:rPr>
          <w:rFonts w:asciiTheme="minorHAnsi" w:eastAsiaTheme="minorEastAsia" w:hAnsiTheme="minorHAnsi"/>
          <w:noProof/>
          <w:lang w:val="en-US"/>
        </w:rPr>
      </w:pPr>
      <w:r>
        <w:rPr>
          <w:b/>
          <w:bCs/>
          <w:sz w:val="28"/>
          <w:szCs w:val="28"/>
        </w:rPr>
        <w:fldChar w:fldCharType="begin"/>
      </w:r>
      <w:r>
        <w:rPr>
          <w:b/>
          <w:bCs/>
          <w:sz w:val="28"/>
          <w:szCs w:val="28"/>
        </w:rPr>
        <w:instrText xml:space="preserve"> TOC \o "1-5" \h \z \u </w:instrText>
      </w:r>
      <w:r>
        <w:rPr>
          <w:b/>
          <w:bCs/>
          <w:sz w:val="28"/>
          <w:szCs w:val="28"/>
        </w:rPr>
        <w:fldChar w:fldCharType="separate"/>
      </w:r>
      <w:hyperlink w:anchor="_Toc217212291" w:history="1">
        <w:r w:rsidRPr="00677A23">
          <w:rPr>
            <w:rStyle w:val="Hyperlink"/>
            <w:noProof/>
            <w:lang w:val="en-US"/>
          </w:rPr>
          <w:t>1. Financial Health Check</w:t>
        </w:r>
        <w:r>
          <w:rPr>
            <w:noProof/>
            <w:webHidden/>
          </w:rPr>
          <w:tab/>
        </w:r>
        <w:r>
          <w:rPr>
            <w:noProof/>
            <w:webHidden/>
          </w:rPr>
          <w:fldChar w:fldCharType="begin"/>
        </w:r>
        <w:r>
          <w:rPr>
            <w:noProof/>
            <w:webHidden/>
          </w:rPr>
          <w:instrText xml:space="preserve"> PAGEREF _Toc217212291 \h </w:instrText>
        </w:r>
        <w:r>
          <w:rPr>
            <w:noProof/>
            <w:webHidden/>
          </w:rPr>
        </w:r>
        <w:r>
          <w:rPr>
            <w:noProof/>
            <w:webHidden/>
          </w:rPr>
          <w:fldChar w:fldCharType="separate"/>
        </w:r>
        <w:r>
          <w:rPr>
            <w:noProof/>
            <w:webHidden/>
          </w:rPr>
          <w:t>7</w:t>
        </w:r>
        <w:r>
          <w:rPr>
            <w:noProof/>
            <w:webHidden/>
          </w:rPr>
          <w:fldChar w:fldCharType="end"/>
        </w:r>
      </w:hyperlink>
    </w:p>
    <w:p w14:paraId="44B309C9" w14:textId="77777777" w:rsidR="00C64F6A" w:rsidRDefault="00C64F6A" w:rsidP="00C64F6A">
      <w:pPr>
        <w:pStyle w:val="TOC2"/>
        <w:tabs>
          <w:tab w:val="right" w:leader="dot" w:pos="9350"/>
        </w:tabs>
        <w:rPr>
          <w:rFonts w:asciiTheme="minorHAnsi" w:eastAsiaTheme="minorEastAsia" w:hAnsiTheme="minorHAnsi"/>
          <w:noProof/>
          <w:lang w:val="en-US"/>
        </w:rPr>
      </w:pPr>
      <w:hyperlink w:anchor="_Toc217212292" w:history="1">
        <w:r w:rsidRPr="00677A23">
          <w:rPr>
            <w:rStyle w:val="Hyperlink"/>
            <w:noProof/>
            <w:lang w:val="en-US"/>
          </w:rPr>
          <w:t>1.1 Purpose and approach</w:t>
        </w:r>
        <w:r>
          <w:rPr>
            <w:noProof/>
            <w:webHidden/>
          </w:rPr>
          <w:tab/>
        </w:r>
        <w:r>
          <w:rPr>
            <w:noProof/>
            <w:webHidden/>
          </w:rPr>
          <w:fldChar w:fldCharType="begin"/>
        </w:r>
        <w:r>
          <w:rPr>
            <w:noProof/>
            <w:webHidden/>
          </w:rPr>
          <w:instrText xml:space="preserve"> PAGEREF _Toc217212292 \h </w:instrText>
        </w:r>
        <w:r>
          <w:rPr>
            <w:noProof/>
            <w:webHidden/>
          </w:rPr>
        </w:r>
        <w:r>
          <w:rPr>
            <w:noProof/>
            <w:webHidden/>
          </w:rPr>
          <w:fldChar w:fldCharType="separate"/>
        </w:r>
        <w:r>
          <w:rPr>
            <w:noProof/>
            <w:webHidden/>
          </w:rPr>
          <w:t>7</w:t>
        </w:r>
        <w:r>
          <w:rPr>
            <w:noProof/>
            <w:webHidden/>
          </w:rPr>
          <w:fldChar w:fldCharType="end"/>
        </w:r>
      </w:hyperlink>
    </w:p>
    <w:p w14:paraId="238B505E" w14:textId="77777777" w:rsidR="00C64F6A" w:rsidRDefault="00C64F6A" w:rsidP="00C64F6A">
      <w:pPr>
        <w:pStyle w:val="TOC2"/>
        <w:tabs>
          <w:tab w:val="right" w:leader="dot" w:pos="9350"/>
        </w:tabs>
        <w:rPr>
          <w:rFonts w:asciiTheme="minorHAnsi" w:eastAsiaTheme="minorEastAsia" w:hAnsiTheme="minorHAnsi"/>
          <w:noProof/>
          <w:lang w:val="en-US"/>
        </w:rPr>
      </w:pPr>
      <w:hyperlink w:anchor="_Toc217212293" w:history="1">
        <w:r w:rsidRPr="00677A23">
          <w:rPr>
            <w:rStyle w:val="Hyperlink"/>
            <w:noProof/>
            <w:lang w:val="en-US"/>
          </w:rPr>
          <w:t>1.2 Statement-level trend overview</w:t>
        </w:r>
        <w:r>
          <w:rPr>
            <w:noProof/>
            <w:webHidden/>
          </w:rPr>
          <w:tab/>
        </w:r>
        <w:r>
          <w:rPr>
            <w:noProof/>
            <w:webHidden/>
          </w:rPr>
          <w:fldChar w:fldCharType="begin"/>
        </w:r>
        <w:r>
          <w:rPr>
            <w:noProof/>
            <w:webHidden/>
          </w:rPr>
          <w:instrText xml:space="preserve"> PAGEREF _Toc217212293 \h </w:instrText>
        </w:r>
        <w:r>
          <w:rPr>
            <w:noProof/>
            <w:webHidden/>
          </w:rPr>
        </w:r>
        <w:r>
          <w:rPr>
            <w:noProof/>
            <w:webHidden/>
          </w:rPr>
          <w:fldChar w:fldCharType="separate"/>
        </w:r>
        <w:r>
          <w:rPr>
            <w:noProof/>
            <w:webHidden/>
          </w:rPr>
          <w:t>8</w:t>
        </w:r>
        <w:r>
          <w:rPr>
            <w:noProof/>
            <w:webHidden/>
          </w:rPr>
          <w:fldChar w:fldCharType="end"/>
        </w:r>
      </w:hyperlink>
    </w:p>
    <w:p w14:paraId="3296F2A7" w14:textId="77777777" w:rsidR="00C64F6A" w:rsidRDefault="00C64F6A" w:rsidP="00C64F6A">
      <w:pPr>
        <w:pStyle w:val="TOC3"/>
        <w:tabs>
          <w:tab w:val="right" w:leader="dot" w:pos="9350"/>
        </w:tabs>
        <w:rPr>
          <w:rFonts w:asciiTheme="minorHAnsi" w:eastAsiaTheme="minorEastAsia" w:hAnsiTheme="minorHAnsi"/>
          <w:noProof/>
          <w:lang w:val="en-US"/>
        </w:rPr>
      </w:pPr>
      <w:hyperlink w:anchor="_Toc217212294" w:history="1">
        <w:r w:rsidRPr="00677A23">
          <w:rPr>
            <w:rStyle w:val="Hyperlink"/>
            <w:noProof/>
            <w:lang w:val="en-US"/>
          </w:rPr>
          <w:t>1.2.1 Income statement performance</w:t>
        </w:r>
        <w:r>
          <w:rPr>
            <w:noProof/>
            <w:webHidden/>
          </w:rPr>
          <w:tab/>
        </w:r>
        <w:r>
          <w:rPr>
            <w:noProof/>
            <w:webHidden/>
          </w:rPr>
          <w:fldChar w:fldCharType="begin"/>
        </w:r>
        <w:r>
          <w:rPr>
            <w:noProof/>
            <w:webHidden/>
          </w:rPr>
          <w:instrText xml:space="preserve"> PAGEREF _Toc217212294 \h </w:instrText>
        </w:r>
        <w:r>
          <w:rPr>
            <w:noProof/>
            <w:webHidden/>
          </w:rPr>
        </w:r>
        <w:r>
          <w:rPr>
            <w:noProof/>
            <w:webHidden/>
          </w:rPr>
          <w:fldChar w:fldCharType="separate"/>
        </w:r>
        <w:r>
          <w:rPr>
            <w:noProof/>
            <w:webHidden/>
          </w:rPr>
          <w:t>8</w:t>
        </w:r>
        <w:r>
          <w:rPr>
            <w:noProof/>
            <w:webHidden/>
          </w:rPr>
          <w:fldChar w:fldCharType="end"/>
        </w:r>
      </w:hyperlink>
    </w:p>
    <w:p w14:paraId="63E7B59A" w14:textId="77777777" w:rsidR="00C64F6A" w:rsidRDefault="00C64F6A" w:rsidP="00C64F6A">
      <w:pPr>
        <w:pStyle w:val="TOC3"/>
        <w:tabs>
          <w:tab w:val="right" w:leader="dot" w:pos="9350"/>
        </w:tabs>
        <w:rPr>
          <w:rFonts w:asciiTheme="minorHAnsi" w:eastAsiaTheme="minorEastAsia" w:hAnsiTheme="minorHAnsi"/>
          <w:noProof/>
          <w:lang w:val="en-US"/>
        </w:rPr>
      </w:pPr>
      <w:hyperlink w:anchor="_Toc217212295" w:history="1">
        <w:r w:rsidRPr="00677A23">
          <w:rPr>
            <w:rStyle w:val="Hyperlink"/>
            <w:noProof/>
            <w:lang w:val="en-US"/>
          </w:rPr>
          <w:t>1.2.2 Balance sheet movement</w:t>
        </w:r>
        <w:r>
          <w:rPr>
            <w:noProof/>
            <w:webHidden/>
          </w:rPr>
          <w:tab/>
        </w:r>
        <w:r>
          <w:rPr>
            <w:noProof/>
            <w:webHidden/>
          </w:rPr>
          <w:fldChar w:fldCharType="begin"/>
        </w:r>
        <w:r>
          <w:rPr>
            <w:noProof/>
            <w:webHidden/>
          </w:rPr>
          <w:instrText xml:space="preserve"> PAGEREF _Toc217212295 \h </w:instrText>
        </w:r>
        <w:r>
          <w:rPr>
            <w:noProof/>
            <w:webHidden/>
          </w:rPr>
        </w:r>
        <w:r>
          <w:rPr>
            <w:noProof/>
            <w:webHidden/>
          </w:rPr>
          <w:fldChar w:fldCharType="separate"/>
        </w:r>
        <w:r>
          <w:rPr>
            <w:noProof/>
            <w:webHidden/>
          </w:rPr>
          <w:t>9</w:t>
        </w:r>
        <w:r>
          <w:rPr>
            <w:noProof/>
            <w:webHidden/>
          </w:rPr>
          <w:fldChar w:fldCharType="end"/>
        </w:r>
      </w:hyperlink>
    </w:p>
    <w:p w14:paraId="4B2EB2FB" w14:textId="77777777" w:rsidR="00C64F6A" w:rsidRDefault="00C64F6A" w:rsidP="00C64F6A">
      <w:pPr>
        <w:pStyle w:val="TOC3"/>
        <w:tabs>
          <w:tab w:val="right" w:leader="dot" w:pos="9350"/>
        </w:tabs>
        <w:rPr>
          <w:rFonts w:asciiTheme="minorHAnsi" w:eastAsiaTheme="minorEastAsia" w:hAnsiTheme="minorHAnsi"/>
          <w:noProof/>
          <w:lang w:val="en-US"/>
        </w:rPr>
      </w:pPr>
      <w:hyperlink w:anchor="_Toc217212296" w:history="1">
        <w:r w:rsidRPr="00677A23">
          <w:rPr>
            <w:rStyle w:val="Hyperlink"/>
            <w:noProof/>
            <w:lang w:val="en-US"/>
          </w:rPr>
          <w:t>1.2.3 Cash flow quality</w:t>
        </w:r>
        <w:r>
          <w:rPr>
            <w:noProof/>
            <w:webHidden/>
          </w:rPr>
          <w:tab/>
        </w:r>
        <w:r>
          <w:rPr>
            <w:noProof/>
            <w:webHidden/>
          </w:rPr>
          <w:fldChar w:fldCharType="begin"/>
        </w:r>
        <w:r>
          <w:rPr>
            <w:noProof/>
            <w:webHidden/>
          </w:rPr>
          <w:instrText xml:space="preserve"> PAGEREF _Toc217212296 \h </w:instrText>
        </w:r>
        <w:r>
          <w:rPr>
            <w:noProof/>
            <w:webHidden/>
          </w:rPr>
        </w:r>
        <w:r>
          <w:rPr>
            <w:noProof/>
            <w:webHidden/>
          </w:rPr>
          <w:fldChar w:fldCharType="separate"/>
        </w:r>
        <w:r>
          <w:rPr>
            <w:noProof/>
            <w:webHidden/>
          </w:rPr>
          <w:t>10</w:t>
        </w:r>
        <w:r>
          <w:rPr>
            <w:noProof/>
            <w:webHidden/>
          </w:rPr>
          <w:fldChar w:fldCharType="end"/>
        </w:r>
      </w:hyperlink>
    </w:p>
    <w:p w14:paraId="59951F73" w14:textId="77777777" w:rsidR="00C64F6A" w:rsidRDefault="00C64F6A" w:rsidP="00C64F6A">
      <w:pPr>
        <w:pStyle w:val="TOC2"/>
        <w:tabs>
          <w:tab w:val="right" w:leader="dot" w:pos="9350"/>
        </w:tabs>
        <w:rPr>
          <w:rFonts w:asciiTheme="minorHAnsi" w:eastAsiaTheme="minorEastAsia" w:hAnsiTheme="minorHAnsi"/>
          <w:noProof/>
          <w:lang w:val="en-US"/>
        </w:rPr>
      </w:pPr>
      <w:hyperlink w:anchor="_Toc217212297" w:history="1">
        <w:r w:rsidRPr="00677A23">
          <w:rPr>
            <w:rStyle w:val="Hyperlink"/>
            <w:noProof/>
            <w:lang w:val="en-US"/>
          </w:rPr>
          <w:t>1.3 Full ratio analysis</w:t>
        </w:r>
        <w:r>
          <w:rPr>
            <w:noProof/>
            <w:webHidden/>
          </w:rPr>
          <w:tab/>
        </w:r>
        <w:r>
          <w:rPr>
            <w:noProof/>
            <w:webHidden/>
          </w:rPr>
          <w:fldChar w:fldCharType="begin"/>
        </w:r>
        <w:r>
          <w:rPr>
            <w:noProof/>
            <w:webHidden/>
          </w:rPr>
          <w:instrText xml:space="preserve"> PAGEREF _Toc217212297 \h </w:instrText>
        </w:r>
        <w:r>
          <w:rPr>
            <w:noProof/>
            <w:webHidden/>
          </w:rPr>
        </w:r>
        <w:r>
          <w:rPr>
            <w:noProof/>
            <w:webHidden/>
          </w:rPr>
          <w:fldChar w:fldCharType="separate"/>
        </w:r>
        <w:r>
          <w:rPr>
            <w:noProof/>
            <w:webHidden/>
          </w:rPr>
          <w:t>11</w:t>
        </w:r>
        <w:r>
          <w:rPr>
            <w:noProof/>
            <w:webHidden/>
          </w:rPr>
          <w:fldChar w:fldCharType="end"/>
        </w:r>
      </w:hyperlink>
    </w:p>
    <w:p w14:paraId="48E45791" w14:textId="77777777" w:rsidR="00C64F6A" w:rsidRDefault="00C64F6A" w:rsidP="00C64F6A">
      <w:pPr>
        <w:pStyle w:val="TOC3"/>
        <w:tabs>
          <w:tab w:val="right" w:leader="dot" w:pos="9350"/>
        </w:tabs>
        <w:rPr>
          <w:rFonts w:asciiTheme="minorHAnsi" w:eastAsiaTheme="minorEastAsia" w:hAnsiTheme="minorHAnsi"/>
          <w:noProof/>
          <w:lang w:val="en-US"/>
        </w:rPr>
      </w:pPr>
      <w:hyperlink w:anchor="_Toc217212298" w:history="1">
        <w:r w:rsidRPr="00677A23">
          <w:rPr>
            <w:rStyle w:val="Hyperlink"/>
            <w:noProof/>
            <w:lang w:val="en-US"/>
          </w:rPr>
          <w:t>1.3.1 Profitability ratios</w:t>
        </w:r>
        <w:r>
          <w:rPr>
            <w:noProof/>
            <w:webHidden/>
          </w:rPr>
          <w:tab/>
        </w:r>
        <w:r>
          <w:rPr>
            <w:noProof/>
            <w:webHidden/>
          </w:rPr>
          <w:fldChar w:fldCharType="begin"/>
        </w:r>
        <w:r>
          <w:rPr>
            <w:noProof/>
            <w:webHidden/>
          </w:rPr>
          <w:instrText xml:space="preserve"> PAGEREF _Toc217212298 \h </w:instrText>
        </w:r>
        <w:r>
          <w:rPr>
            <w:noProof/>
            <w:webHidden/>
          </w:rPr>
        </w:r>
        <w:r>
          <w:rPr>
            <w:noProof/>
            <w:webHidden/>
          </w:rPr>
          <w:fldChar w:fldCharType="separate"/>
        </w:r>
        <w:r>
          <w:rPr>
            <w:noProof/>
            <w:webHidden/>
          </w:rPr>
          <w:t>11</w:t>
        </w:r>
        <w:r>
          <w:rPr>
            <w:noProof/>
            <w:webHidden/>
          </w:rPr>
          <w:fldChar w:fldCharType="end"/>
        </w:r>
      </w:hyperlink>
    </w:p>
    <w:p w14:paraId="7B0038E1" w14:textId="77777777" w:rsidR="00C64F6A" w:rsidRDefault="00C64F6A" w:rsidP="00C64F6A">
      <w:pPr>
        <w:pStyle w:val="TOC3"/>
        <w:tabs>
          <w:tab w:val="right" w:leader="dot" w:pos="9350"/>
        </w:tabs>
        <w:rPr>
          <w:rFonts w:asciiTheme="minorHAnsi" w:eastAsiaTheme="minorEastAsia" w:hAnsiTheme="minorHAnsi"/>
          <w:noProof/>
          <w:lang w:val="en-US"/>
        </w:rPr>
      </w:pPr>
      <w:hyperlink w:anchor="_Toc217212299" w:history="1">
        <w:r w:rsidRPr="00677A23">
          <w:rPr>
            <w:rStyle w:val="Hyperlink"/>
            <w:noProof/>
            <w:lang w:val="en-US"/>
          </w:rPr>
          <w:t>1.3.2 Liquidity ratios</w:t>
        </w:r>
        <w:r>
          <w:rPr>
            <w:noProof/>
            <w:webHidden/>
          </w:rPr>
          <w:tab/>
        </w:r>
        <w:r>
          <w:rPr>
            <w:noProof/>
            <w:webHidden/>
          </w:rPr>
          <w:fldChar w:fldCharType="begin"/>
        </w:r>
        <w:r>
          <w:rPr>
            <w:noProof/>
            <w:webHidden/>
          </w:rPr>
          <w:instrText xml:space="preserve"> PAGEREF _Toc217212299 \h </w:instrText>
        </w:r>
        <w:r>
          <w:rPr>
            <w:noProof/>
            <w:webHidden/>
          </w:rPr>
        </w:r>
        <w:r>
          <w:rPr>
            <w:noProof/>
            <w:webHidden/>
          </w:rPr>
          <w:fldChar w:fldCharType="separate"/>
        </w:r>
        <w:r>
          <w:rPr>
            <w:noProof/>
            <w:webHidden/>
          </w:rPr>
          <w:t>12</w:t>
        </w:r>
        <w:r>
          <w:rPr>
            <w:noProof/>
            <w:webHidden/>
          </w:rPr>
          <w:fldChar w:fldCharType="end"/>
        </w:r>
      </w:hyperlink>
    </w:p>
    <w:p w14:paraId="5292FC75" w14:textId="77777777" w:rsidR="00C64F6A" w:rsidRDefault="00C64F6A" w:rsidP="00C64F6A">
      <w:pPr>
        <w:pStyle w:val="TOC3"/>
        <w:tabs>
          <w:tab w:val="right" w:leader="dot" w:pos="9350"/>
        </w:tabs>
        <w:rPr>
          <w:rFonts w:asciiTheme="minorHAnsi" w:eastAsiaTheme="minorEastAsia" w:hAnsiTheme="minorHAnsi"/>
          <w:noProof/>
          <w:lang w:val="en-US"/>
        </w:rPr>
      </w:pPr>
      <w:hyperlink w:anchor="_Toc217212300" w:history="1">
        <w:r w:rsidRPr="00677A23">
          <w:rPr>
            <w:rStyle w:val="Hyperlink"/>
            <w:noProof/>
            <w:lang w:val="en-US"/>
          </w:rPr>
          <w:t>1.3.3 Efficiency ratios and working capital discipline</w:t>
        </w:r>
        <w:r>
          <w:rPr>
            <w:noProof/>
            <w:webHidden/>
          </w:rPr>
          <w:tab/>
        </w:r>
        <w:r>
          <w:rPr>
            <w:noProof/>
            <w:webHidden/>
          </w:rPr>
          <w:fldChar w:fldCharType="begin"/>
        </w:r>
        <w:r>
          <w:rPr>
            <w:noProof/>
            <w:webHidden/>
          </w:rPr>
          <w:instrText xml:space="preserve"> PAGEREF _Toc217212300 \h </w:instrText>
        </w:r>
        <w:r>
          <w:rPr>
            <w:noProof/>
            <w:webHidden/>
          </w:rPr>
        </w:r>
        <w:r>
          <w:rPr>
            <w:noProof/>
            <w:webHidden/>
          </w:rPr>
          <w:fldChar w:fldCharType="separate"/>
        </w:r>
        <w:r>
          <w:rPr>
            <w:noProof/>
            <w:webHidden/>
          </w:rPr>
          <w:t>13</w:t>
        </w:r>
        <w:r>
          <w:rPr>
            <w:noProof/>
            <w:webHidden/>
          </w:rPr>
          <w:fldChar w:fldCharType="end"/>
        </w:r>
      </w:hyperlink>
    </w:p>
    <w:p w14:paraId="6BEC03EB" w14:textId="77777777" w:rsidR="00C64F6A" w:rsidRDefault="00C64F6A" w:rsidP="00C64F6A">
      <w:pPr>
        <w:pStyle w:val="TOC3"/>
        <w:tabs>
          <w:tab w:val="right" w:leader="dot" w:pos="9350"/>
        </w:tabs>
        <w:rPr>
          <w:rFonts w:asciiTheme="minorHAnsi" w:eastAsiaTheme="minorEastAsia" w:hAnsiTheme="minorHAnsi"/>
          <w:noProof/>
          <w:lang w:val="en-US"/>
        </w:rPr>
      </w:pPr>
      <w:hyperlink w:anchor="_Toc217212301" w:history="1">
        <w:r w:rsidRPr="00677A23">
          <w:rPr>
            <w:rStyle w:val="Hyperlink"/>
            <w:noProof/>
            <w:lang w:val="en-US"/>
          </w:rPr>
          <w:t>1.3.4 Gearing and solvency ratios</w:t>
        </w:r>
        <w:r>
          <w:rPr>
            <w:noProof/>
            <w:webHidden/>
          </w:rPr>
          <w:tab/>
        </w:r>
        <w:r>
          <w:rPr>
            <w:noProof/>
            <w:webHidden/>
          </w:rPr>
          <w:fldChar w:fldCharType="begin"/>
        </w:r>
        <w:r>
          <w:rPr>
            <w:noProof/>
            <w:webHidden/>
          </w:rPr>
          <w:instrText xml:space="preserve"> PAGEREF _Toc217212301 \h </w:instrText>
        </w:r>
        <w:r>
          <w:rPr>
            <w:noProof/>
            <w:webHidden/>
          </w:rPr>
        </w:r>
        <w:r>
          <w:rPr>
            <w:noProof/>
            <w:webHidden/>
          </w:rPr>
          <w:fldChar w:fldCharType="separate"/>
        </w:r>
        <w:r>
          <w:rPr>
            <w:noProof/>
            <w:webHidden/>
          </w:rPr>
          <w:t>14</w:t>
        </w:r>
        <w:r>
          <w:rPr>
            <w:noProof/>
            <w:webHidden/>
          </w:rPr>
          <w:fldChar w:fldCharType="end"/>
        </w:r>
      </w:hyperlink>
    </w:p>
    <w:p w14:paraId="585F5265" w14:textId="77777777" w:rsidR="00C64F6A" w:rsidRDefault="00C64F6A" w:rsidP="00C64F6A">
      <w:pPr>
        <w:pStyle w:val="TOC3"/>
        <w:tabs>
          <w:tab w:val="right" w:leader="dot" w:pos="9350"/>
        </w:tabs>
        <w:rPr>
          <w:rFonts w:asciiTheme="minorHAnsi" w:eastAsiaTheme="minorEastAsia" w:hAnsiTheme="minorHAnsi"/>
          <w:noProof/>
          <w:lang w:val="en-US"/>
        </w:rPr>
      </w:pPr>
      <w:hyperlink w:anchor="_Toc217212302" w:history="1">
        <w:r w:rsidRPr="00677A23">
          <w:rPr>
            <w:rStyle w:val="Hyperlink"/>
            <w:noProof/>
            <w:lang w:val="en-US"/>
          </w:rPr>
          <w:t>1.3.5 Investment and market indicators</w:t>
        </w:r>
        <w:r>
          <w:rPr>
            <w:noProof/>
            <w:webHidden/>
          </w:rPr>
          <w:tab/>
        </w:r>
        <w:r>
          <w:rPr>
            <w:noProof/>
            <w:webHidden/>
          </w:rPr>
          <w:fldChar w:fldCharType="begin"/>
        </w:r>
        <w:r>
          <w:rPr>
            <w:noProof/>
            <w:webHidden/>
          </w:rPr>
          <w:instrText xml:space="preserve"> PAGEREF _Toc217212302 \h </w:instrText>
        </w:r>
        <w:r>
          <w:rPr>
            <w:noProof/>
            <w:webHidden/>
          </w:rPr>
        </w:r>
        <w:r>
          <w:rPr>
            <w:noProof/>
            <w:webHidden/>
          </w:rPr>
          <w:fldChar w:fldCharType="separate"/>
        </w:r>
        <w:r>
          <w:rPr>
            <w:noProof/>
            <w:webHidden/>
          </w:rPr>
          <w:t>15</w:t>
        </w:r>
        <w:r>
          <w:rPr>
            <w:noProof/>
            <w:webHidden/>
          </w:rPr>
          <w:fldChar w:fldCharType="end"/>
        </w:r>
      </w:hyperlink>
    </w:p>
    <w:p w14:paraId="5BE8C8A1" w14:textId="77777777" w:rsidR="00C64F6A" w:rsidRDefault="00C64F6A" w:rsidP="00C64F6A">
      <w:pPr>
        <w:pStyle w:val="TOC3"/>
        <w:tabs>
          <w:tab w:val="right" w:leader="dot" w:pos="9350"/>
        </w:tabs>
        <w:rPr>
          <w:rFonts w:asciiTheme="minorHAnsi" w:eastAsiaTheme="minorEastAsia" w:hAnsiTheme="minorHAnsi"/>
          <w:noProof/>
          <w:lang w:val="en-US"/>
        </w:rPr>
      </w:pPr>
      <w:hyperlink w:anchor="_Toc217212303" w:history="1">
        <w:r w:rsidRPr="00677A23">
          <w:rPr>
            <w:rStyle w:val="Hyperlink"/>
            <w:noProof/>
            <w:lang w:val="en-US"/>
          </w:rPr>
          <w:t>1.3.6 Cash flow ratios</w:t>
        </w:r>
        <w:r>
          <w:rPr>
            <w:noProof/>
            <w:webHidden/>
          </w:rPr>
          <w:tab/>
        </w:r>
        <w:r>
          <w:rPr>
            <w:noProof/>
            <w:webHidden/>
          </w:rPr>
          <w:fldChar w:fldCharType="begin"/>
        </w:r>
        <w:r>
          <w:rPr>
            <w:noProof/>
            <w:webHidden/>
          </w:rPr>
          <w:instrText xml:space="preserve"> PAGEREF _Toc217212303 \h </w:instrText>
        </w:r>
        <w:r>
          <w:rPr>
            <w:noProof/>
            <w:webHidden/>
          </w:rPr>
        </w:r>
        <w:r>
          <w:rPr>
            <w:noProof/>
            <w:webHidden/>
          </w:rPr>
          <w:fldChar w:fldCharType="separate"/>
        </w:r>
        <w:r>
          <w:rPr>
            <w:noProof/>
            <w:webHidden/>
          </w:rPr>
          <w:t>16</w:t>
        </w:r>
        <w:r>
          <w:rPr>
            <w:noProof/>
            <w:webHidden/>
          </w:rPr>
          <w:fldChar w:fldCharType="end"/>
        </w:r>
      </w:hyperlink>
    </w:p>
    <w:p w14:paraId="0C659D76" w14:textId="77777777" w:rsidR="00C64F6A" w:rsidRDefault="00C64F6A" w:rsidP="00C64F6A">
      <w:pPr>
        <w:pStyle w:val="TOC2"/>
        <w:tabs>
          <w:tab w:val="right" w:leader="dot" w:pos="9350"/>
        </w:tabs>
        <w:rPr>
          <w:rFonts w:asciiTheme="minorHAnsi" w:eastAsiaTheme="minorEastAsia" w:hAnsiTheme="minorHAnsi"/>
          <w:noProof/>
          <w:lang w:val="en-US"/>
        </w:rPr>
      </w:pPr>
      <w:hyperlink w:anchor="_Toc217212304" w:history="1">
        <w:r w:rsidRPr="00677A23">
          <w:rPr>
            <w:rStyle w:val="Hyperlink"/>
            <w:noProof/>
            <w:lang w:val="en-US"/>
          </w:rPr>
          <w:t>1.4 Strengths, threats, and key implications</w:t>
        </w:r>
        <w:r>
          <w:rPr>
            <w:noProof/>
            <w:webHidden/>
          </w:rPr>
          <w:tab/>
        </w:r>
        <w:r>
          <w:rPr>
            <w:noProof/>
            <w:webHidden/>
          </w:rPr>
          <w:fldChar w:fldCharType="begin"/>
        </w:r>
        <w:r>
          <w:rPr>
            <w:noProof/>
            <w:webHidden/>
          </w:rPr>
          <w:instrText xml:space="preserve"> PAGEREF _Toc217212304 \h </w:instrText>
        </w:r>
        <w:r>
          <w:rPr>
            <w:noProof/>
            <w:webHidden/>
          </w:rPr>
        </w:r>
        <w:r>
          <w:rPr>
            <w:noProof/>
            <w:webHidden/>
          </w:rPr>
          <w:fldChar w:fldCharType="separate"/>
        </w:r>
        <w:r>
          <w:rPr>
            <w:noProof/>
            <w:webHidden/>
          </w:rPr>
          <w:t>18</w:t>
        </w:r>
        <w:r>
          <w:rPr>
            <w:noProof/>
            <w:webHidden/>
          </w:rPr>
          <w:fldChar w:fldCharType="end"/>
        </w:r>
      </w:hyperlink>
    </w:p>
    <w:p w14:paraId="31566A98" w14:textId="77777777" w:rsidR="00C64F6A" w:rsidRDefault="00C64F6A" w:rsidP="00C64F6A">
      <w:pPr>
        <w:pStyle w:val="TOC3"/>
        <w:tabs>
          <w:tab w:val="right" w:leader="dot" w:pos="9350"/>
        </w:tabs>
        <w:rPr>
          <w:rFonts w:asciiTheme="minorHAnsi" w:eastAsiaTheme="minorEastAsia" w:hAnsiTheme="minorHAnsi"/>
          <w:noProof/>
          <w:lang w:val="en-US"/>
        </w:rPr>
      </w:pPr>
      <w:hyperlink w:anchor="_Toc217212305" w:history="1">
        <w:r w:rsidRPr="00677A23">
          <w:rPr>
            <w:rStyle w:val="Hyperlink"/>
            <w:noProof/>
            <w:lang w:val="en-US"/>
          </w:rPr>
          <w:t>1.4.1 Strengths</w:t>
        </w:r>
        <w:r>
          <w:rPr>
            <w:noProof/>
            <w:webHidden/>
          </w:rPr>
          <w:tab/>
        </w:r>
        <w:r>
          <w:rPr>
            <w:noProof/>
            <w:webHidden/>
          </w:rPr>
          <w:fldChar w:fldCharType="begin"/>
        </w:r>
        <w:r>
          <w:rPr>
            <w:noProof/>
            <w:webHidden/>
          </w:rPr>
          <w:instrText xml:space="preserve"> PAGEREF _Toc217212305 \h </w:instrText>
        </w:r>
        <w:r>
          <w:rPr>
            <w:noProof/>
            <w:webHidden/>
          </w:rPr>
        </w:r>
        <w:r>
          <w:rPr>
            <w:noProof/>
            <w:webHidden/>
          </w:rPr>
          <w:fldChar w:fldCharType="separate"/>
        </w:r>
        <w:r>
          <w:rPr>
            <w:noProof/>
            <w:webHidden/>
          </w:rPr>
          <w:t>18</w:t>
        </w:r>
        <w:r>
          <w:rPr>
            <w:noProof/>
            <w:webHidden/>
          </w:rPr>
          <w:fldChar w:fldCharType="end"/>
        </w:r>
      </w:hyperlink>
    </w:p>
    <w:p w14:paraId="5B4421EF" w14:textId="77777777" w:rsidR="00C64F6A" w:rsidRDefault="00C64F6A" w:rsidP="00C64F6A">
      <w:pPr>
        <w:pStyle w:val="TOC3"/>
        <w:tabs>
          <w:tab w:val="right" w:leader="dot" w:pos="9350"/>
        </w:tabs>
        <w:rPr>
          <w:rFonts w:asciiTheme="minorHAnsi" w:eastAsiaTheme="minorEastAsia" w:hAnsiTheme="minorHAnsi"/>
          <w:noProof/>
          <w:lang w:val="en-US"/>
        </w:rPr>
      </w:pPr>
      <w:hyperlink w:anchor="_Toc217212306" w:history="1">
        <w:r w:rsidRPr="00677A23">
          <w:rPr>
            <w:rStyle w:val="Hyperlink"/>
            <w:noProof/>
            <w:lang w:val="en-US"/>
          </w:rPr>
          <w:t>1.4.2 Threats</w:t>
        </w:r>
        <w:r>
          <w:rPr>
            <w:noProof/>
            <w:webHidden/>
          </w:rPr>
          <w:tab/>
        </w:r>
        <w:r>
          <w:rPr>
            <w:noProof/>
            <w:webHidden/>
          </w:rPr>
          <w:fldChar w:fldCharType="begin"/>
        </w:r>
        <w:r>
          <w:rPr>
            <w:noProof/>
            <w:webHidden/>
          </w:rPr>
          <w:instrText xml:space="preserve"> PAGEREF _Toc217212306 \h </w:instrText>
        </w:r>
        <w:r>
          <w:rPr>
            <w:noProof/>
            <w:webHidden/>
          </w:rPr>
        </w:r>
        <w:r>
          <w:rPr>
            <w:noProof/>
            <w:webHidden/>
          </w:rPr>
          <w:fldChar w:fldCharType="separate"/>
        </w:r>
        <w:r>
          <w:rPr>
            <w:noProof/>
            <w:webHidden/>
          </w:rPr>
          <w:t>18</w:t>
        </w:r>
        <w:r>
          <w:rPr>
            <w:noProof/>
            <w:webHidden/>
          </w:rPr>
          <w:fldChar w:fldCharType="end"/>
        </w:r>
      </w:hyperlink>
    </w:p>
    <w:p w14:paraId="5FD6AA0F" w14:textId="77777777" w:rsidR="00C64F6A" w:rsidRDefault="00C64F6A" w:rsidP="00C64F6A">
      <w:pPr>
        <w:pStyle w:val="TOC2"/>
        <w:tabs>
          <w:tab w:val="right" w:leader="dot" w:pos="9350"/>
        </w:tabs>
        <w:rPr>
          <w:rFonts w:asciiTheme="minorHAnsi" w:eastAsiaTheme="minorEastAsia" w:hAnsiTheme="minorHAnsi"/>
          <w:noProof/>
          <w:lang w:val="en-US"/>
        </w:rPr>
      </w:pPr>
      <w:hyperlink w:anchor="_Toc217212307" w:history="1">
        <w:r w:rsidRPr="00677A23">
          <w:rPr>
            <w:rStyle w:val="Hyperlink"/>
            <w:noProof/>
            <w:lang w:val="en-US"/>
          </w:rPr>
          <w:t>1.5 Default risk assessment using a corporate failure prediction model</w:t>
        </w:r>
        <w:r>
          <w:rPr>
            <w:noProof/>
            <w:webHidden/>
          </w:rPr>
          <w:tab/>
        </w:r>
        <w:r>
          <w:rPr>
            <w:noProof/>
            <w:webHidden/>
          </w:rPr>
          <w:fldChar w:fldCharType="begin"/>
        </w:r>
        <w:r>
          <w:rPr>
            <w:noProof/>
            <w:webHidden/>
          </w:rPr>
          <w:instrText xml:space="preserve"> PAGEREF _Toc217212307 \h </w:instrText>
        </w:r>
        <w:r>
          <w:rPr>
            <w:noProof/>
            <w:webHidden/>
          </w:rPr>
        </w:r>
        <w:r>
          <w:rPr>
            <w:noProof/>
            <w:webHidden/>
          </w:rPr>
          <w:fldChar w:fldCharType="separate"/>
        </w:r>
        <w:r>
          <w:rPr>
            <w:noProof/>
            <w:webHidden/>
          </w:rPr>
          <w:t>20</w:t>
        </w:r>
        <w:r>
          <w:rPr>
            <w:noProof/>
            <w:webHidden/>
          </w:rPr>
          <w:fldChar w:fldCharType="end"/>
        </w:r>
      </w:hyperlink>
    </w:p>
    <w:p w14:paraId="4946F24A" w14:textId="77777777" w:rsidR="00C64F6A" w:rsidRDefault="00C64F6A" w:rsidP="00C64F6A">
      <w:pPr>
        <w:pStyle w:val="TOC3"/>
        <w:tabs>
          <w:tab w:val="right" w:leader="dot" w:pos="9350"/>
        </w:tabs>
        <w:rPr>
          <w:rFonts w:asciiTheme="minorHAnsi" w:eastAsiaTheme="minorEastAsia" w:hAnsiTheme="minorHAnsi"/>
          <w:noProof/>
          <w:lang w:val="en-US"/>
        </w:rPr>
      </w:pPr>
      <w:hyperlink w:anchor="_Toc217212308" w:history="1">
        <w:r w:rsidRPr="00677A23">
          <w:rPr>
            <w:rStyle w:val="Hyperlink"/>
            <w:noProof/>
            <w:lang w:val="en-US"/>
          </w:rPr>
          <w:t>1.5.1 Altman Z-Score interpretation</w:t>
        </w:r>
        <w:r>
          <w:rPr>
            <w:noProof/>
            <w:webHidden/>
          </w:rPr>
          <w:tab/>
        </w:r>
        <w:r>
          <w:rPr>
            <w:noProof/>
            <w:webHidden/>
          </w:rPr>
          <w:fldChar w:fldCharType="begin"/>
        </w:r>
        <w:r>
          <w:rPr>
            <w:noProof/>
            <w:webHidden/>
          </w:rPr>
          <w:instrText xml:space="preserve"> PAGEREF _Toc217212308 \h </w:instrText>
        </w:r>
        <w:r>
          <w:rPr>
            <w:noProof/>
            <w:webHidden/>
          </w:rPr>
        </w:r>
        <w:r>
          <w:rPr>
            <w:noProof/>
            <w:webHidden/>
          </w:rPr>
          <w:fldChar w:fldCharType="separate"/>
        </w:r>
        <w:r>
          <w:rPr>
            <w:noProof/>
            <w:webHidden/>
          </w:rPr>
          <w:t>20</w:t>
        </w:r>
        <w:r>
          <w:rPr>
            <w:noProof/>
            <w:webHidden/>
          </w:rPr>
          <w:fldChar w:fldCharType="end"/>
        </w:r>
      </w:hyperlink>
    </w:p>
    <w:p w14:paraId="41C9EFDA" w14:textId="77777777" w:rsidR="00C64F6A" w:rsidRDefault="00C64F6A" w:rsidP="00C64F6A">
      <w:pPr>
        <w:pStyle w:val="TOC3"/>
        <w:tabs>
          <w:tab w:val="right" w:leader="dot" w:pos="9350"/>
        </w:tabs>
        <w:rPr>
          <w:rFonts w:asciiTheme="minorHAnsi" w:eastAsiaTheme="minorEastAsia" w:hAnsiTheme="minorHAnsi"/>
          <w:noProof/>
          <w:lang w:val="en-US"/>
        </w:rPr>
      </w:pPr>
      <w:hyperlink w:anchor="_Toc217212309" w:history="1">
        <w:r w:rsidRPr="00677A23">
          <w:rPr>
            <w:rStyle w:val="Hyperlink"/>
            <w:noProof/>
            <w:lang w:val="en-US"/>
          </w:rPr>
          <w:t>1.5.2 Overall default-risk conclusion</w:t>
        </w:r>
        <w:r>
          <w:rPr>
            <w:noProof/>
            <w:webHidden/>
          </w:rPr>
          <w:tab/>
        </w:r>
        <w:r>
          <w:rPr>
            <w:noProof/>
            <w:webHidden/>
          </w:rPr>
          <w:fldChar w:fldCharType="begin"/>
        </w:r>
        <w:r>
          <w:rPr>
            <w:noProof/>
            <w:webHidden/>
          </w:rPr>
          <w:instrText xml:space="preserve"> PAGEREF _Toc217212309 \h </w:instrText>
        </w:r>
        <w:r>
          <w:rPr>
            <w:noProof/>
            <w:webHidden/>
          </w:rPr>
        </w:r>
        <w:r>
          <w:rPr>
            <w:noProof/>
            <w:webHidden/>
          </w:rPr>
          <w:fldChar w:fldCharType="separate"/>
        </w:r>
        <w:r>
          <w:rPr>
            <w:noProof/>
            <w:webHidden/>
          </w:rPr>
          <w:t>20</w:t>
        </w:r>
        <w:r>
          <w:rPr>
            <w:noProof/>
            <w:webHidden/>
          </w:rPr>
          <w:fldChar w:fldCharType="end"/>
        </w:r>
      </w:hyperlink>
    </w:p>
    <w:p w14:paraId="7B035868" w14:textId="77777777" w:rsidR="00C64F6A" w:rsidRDefault="00C64F6A" w:rsidP="00C64F6A">
      <w:pPr>
        <w:pStyle w:val="TOC1"/>
        <w:tabs>
          <w:tab w:val="right" w:leader="dot" w:pos="9350"/>
        </w:tabs>
        <w:rPr>
          <w:rFonts w:asciiTheme="minorHAnsi" w:eastAsiaTheme="minorEastAsia" w:hAnsiTheme="minorHAnsi"/>
          <w:noProof/>
          <w:lang w:val="en-US"/>
        </w:rPr>
      </w:pPr>
      <w:hyperlink w:anchor="_Toc217212310" w:history="1">
        <w:r w:rsidRPr="00677A23">
          <w:rPr>
            <w:rStyle w:val="Hyperlink"/>
            <w:noProof/>
            <w:lang w:val="en-US"/>
          </w:rPr>
          <w:t>2. Working Capital Management Analysis</w:t>
        </w:r>
        <w:r>
          <w:rPr>
            <w:noProof/>
            <w:webHidden/>
          </w:rPr>
          <w:tab/>
        </w:r>
        <w:r>
          <w:rPr>
            <w:noProof/>
            <w:webHidden/>
          </w:rPr>
          <w:fldChar w:fldCharType="begin"/>
        </w:r>
        <w:r>
          <w:rPr>
            <w:noProof/>
            <w:webHidden/>
          </w:rPr>
          <w:instrText xml:space="preserve"> PAGEREF _Toc217212310 \h </w:instrText>
        </w:r>
        <w:r>
          <w:rPr>
            <w:noProof/>
            <w:webHidden/>
          </w:rPr>
        </w:r>
        <w:r>
          <w:rPr>
            <w:noProof/>
            <w:webHidden/>
          </w:rPr>
          <w:fldChar w:fldCharType="separate"/>
        </w:r>
        <w:r>
          <w:rPr>
            <w:noProof/>
            <w:webHidden/>
          </w:rPr>
          <w:t>21</w:t>
        </w:r>
        <w:r>
          <w:rPr>
            <w:noProof/>
            <w:webHidden/>
          </w:rPr>
          <w:fldChar w:fldCharType="end"/>
        </w:r>
      </w:hyperlink>
    </w:p>
    <w:p w14:paraId="4A63824B" w14:textId="77777777" w:rsidR="00C64F6A" w:rsidRDefault="00C64F6A" w:rsidP="00C64F6A">
      <w:pPr>
        <w:pStyle w:val="TOC2"/>
        <w:tabs>
          <w:tab w:val="right" w:leader="dot" w:pos="9350"/>
        </w:tabs>
        <w:rPr>
          <w:rFonts w:asciiTheme="minorHAnsi" w:eastAsiaTheme="minorEastAsia" w:hAnsiTheme="minorHAnsi"/>
          <w:noProof/>
          <w:lang w:val="en-US"/>
        </w:rPr>
      </w:pPr>
      <w:hyperlink w:anchor="_Toc217212311" w:history="1">
        <w:r w:rsidRPr="00677A23">
          <w:rPr>
            <w:rStyle w:val="Hyperlink"/>
            <w:noProof/>
            <w:lang w:val="en-US"/>
          </w:rPr>
          <w:t>2.1 Assessment of the Cash Operating Cycle</w:t>
        </w:r>
        <w:r>
          <w:rPr>
            <w:noProof/>
            <w:webHidden/>
          </w:rPr>
          <w:tab/>
        </w:r>
        <w:r>
          <w:rPr>
            <w:noProof/>
            <w:webHidden/>
          </w:rPr>
          <w:fldChar w:fldCharType="begin"/>
        </w:r>
        <w:r>
          <w:rPr>
            <w:noProof/>
            <w:webHidden/>
          </w:rPr>
          <w:instrText xml:space="preserve"> PAGEREF _Toc217212311 \h </w:instrText>
        </w:r>
        <w:r>
          <w:rPr>
            <w:noProof/>
            <w:webHidden/>
          </w:rPr>
        </w:r>
        <w:r>
          <w:rPr>
            <w:noProof/>
            <w:webHidden/>
          </w:rPr>
          <w:fldChar w:fldCharType="separate"/>
        </w:r>
        <w:r>
          <w:rPr>
            <w:noProof/>
            <w:webHidden/>
          </w:rPr>
          <w:t>21</w:t>
        </w:r>
        <w:r>
          <w:rPr>
            <w:noProof/>
            <w:webHidden/>
          </w:rPr>
          <w:fldChar w:fldCharType="end"/>
        </w:r>
      </w:hyperlink>
    </w:p>
    <w:p w14:paraId="668A6277" w14:textId="77777777" w:rsidR="00C64F6A" w:rsidRDefault="00C64F6A" w:rsidP="00C64F6A">
      <w:pPr>
        <w:pStyle w:val="TOC2"/>
        <w:tabs>
          <w:tab w:val="right" w:leader="dot" w:pos="9350"/>
        </w:tabs>
        <w:rPr>
          <w:rFonts w:asciiTheme="minorHAnsi" w:eastAsiaTheme="minorEastAsia" w:hAnsiTheme="minorHAnsi"/>
          <w:noProof/>
          <w:lang w:val="en-US"/>
        </w:rPr>
      </w:pPr>
      <w:hyperlink w:anchor="_Toc217212312" w:history="1">
        <w:r w:rsidRPr="00677A23">
          <w:rPr>
            <w:rStyle w:val="Hyperlink"/>
            <w:noProof/>
            <w:lang w:val="en-US"/>
          </w:rPr>
          <w:t>2.2 Strategies to Improve Liquidity through Working Capital Reforms</w:t>
        </w:r>
        <w:r>
          <w:rPr>
            <w:noProof/>
            <w:webHidden/>
          </w:rPr>
          <w:tab/>
        </w:r>
        <w:r>
          <w:rPr>
            <w:noProof/>
            <w:webHidden/>
          </w:rPr>
          <w:fldChar w:fldCharType="begin"/>
        </w:r>
        <w:r>
          <w:rPr>
            <w:noProof/>
            <w:webHidden/>
          </w:rPr>
          <w:instrText xml:space="preserve"> PAGEREF _Toc217212312 \h </w:instrText>
        </w:r>
        <w:r>
          <w:rPr>
            <w:noProof/>
            <w:webHidden/>
          </w:rPr>
        </w:r>
        <w:r>
          <w:rPr>
            <w:noProof/>
            <w:webHidden/>
          </w:rPr>
          <w:fldChar w:fldCharType="separate"/>
        </w:r>
        <w:r>
          <w:rPr>
            <w:noProof/>
            <w:webHidden/>
          </w:rPr>
          <w:t>25</w:t>
        </w:r>
        <w:r>
          <w:rPr>
            <w:noProof/>
            <w:webHidden/>
          </w:rPr>
          <w:fldChar w:fldCharType="end"/>
        </w:r>
      </w:hyperlink>
    </w:p>
    <w:p w14:paraId="65F06CA9" w14:textId="77777777" w:rsidR="00C64F6A" w:rsidRDefault="00C64F6A" w:rsidP="00C64F6A">
      <w:pPr>
        <w:pStyle w:val="TOC2"/>
        <w:tabs>
          <w:tab w:val="right" w:leader="dot" w:pos="9350"/>
        </w:tabs>
        <w:rPr>
          <w:rFonts w:asciiTheme="minorHAnsi" w:eastAsiaTheme="minorEastAsia" w:hAnsiTheme="minorHAnsi"/>
          <w:noProof/>
          <w:lang w:val="en-US"/>
        </w:rPr>
      </w:pPr>
      <w:hyperlink w:anchor="_Toc217212313" w:history="1">
        <w:r w:rsidRPr="00677A23">
          <w:rPr>
            <w:rStyle w:val="Hyperlink"/>
            <w:noProof/>
            <w:lang w:val="en-US"/>
          </w:rPr>
          <w:t>2.3 Short-Term versus Long-Term Financing Options</w:t>
        </w:r>
        <w:r>
          <w:rPr>
            <w:noProof/>
            <w:webHidden/>
          </w:rPr>
          <w:tab/>
        </w:r>
        <w:r>
          <w:rPr>
            <w:noProof/>
            <w:webHidden/>
          </w:rPr>
          <w:fldChar w:fldCharType="begin"/>
        </w:r>
        <w:r>
          <w:rPr>
            <w:noProof/>
            <w:webHidden/>
          </w:rPr>
          <w:instrText xml:space="preserve"> PAGEREF _Toc217212313 \h </w:instrText>
        </w:r>
        <w:r>
          <w:rPr>
            <w:noProof/>
            <w:webHidden/>
          </w:rPr>
        </w:r>
        <w:r>
          <w:rPr>
            <w:noProof/>
            <w:webHidden/>
          </w:rPr>
          <w:fldChar w:fldCharType="separate"/>
        </w:r>
        <w:r>
          <w:rPr>
            <w:noProof/>
            <w:webHidden/>
          </w:rPr>
          <w:t>27</w:t>
        </w:r>
        <w:r>
          <w:rPr>
            <w:noProof/>
            <w:webHidden/>
          </w:rPr>
          <w:fldChar w:fldCharType="end"/>
        </w:r>
      </w:hyperlink>
    </w:p>
    <w:p w14:paraId="53856BC8" w14:textId="77777777" w:rsidR="00C64F6A" w:rsidRDefault="00C64F6A" w:rsidP="00C64F6A">
      <w:pPr>
        <w:pStyle w:val="TOC1"/>
        <w:tabs>
          <w:tab w:val="right" w:leader="dot" w:pos="9350"/>
        </w:tabs>
        <w:rPr>
          <w:rFonts w:asciiTheme="minorHAnsi" w:eastAsiaTheme="minorEastAsia" w:hAnsiTheme="minorHAnsi"/>
          <w:noProof/>
          <w:lang w:val="en-US"/>
        </w:rPr>
      </w:pPr>
      <w:hyperlink w:anchor="_Toc217212314" w:history="1">
        <w:r w:rsidRPr="00677A23">
          <w:rPr>
            <w:rStyle w:val="Hyperlink"/>
            <w:noProof/>
            <w:lang w:val="en-US"/>
          </w:rPr>
          <w:t>3. Strategic Financial Restructuring Plan</w:t>
        </w:r>
        <w:r>
          <w:rPr>
            <w:noProof/>
            <w:webHidden/>
          </w:rPr>
          <w:tab/>
        </w:r>
        <w:r>
          <w:rPr>
            <w:noProof/>
            <w:webHidden/>
          </w:rPr>
          <w:fldChar w:fldCharType="begin"/>
        </w:r>
        <w:r>
          <w:rPr>
            <w:noProof/>
            <w:webHidden/>
          </w:rPr>
          <w:instrText xml:space="preserve"> PAGEREF _Toc217212314 \h </w:instrText>
        </w:r>
        <w:r>
          <w:rPr>
            <w:noProof/>
            <w:webHidden/>
          </w:rPr>
        </w:r>
        <w:r>
          <w:rPr>
            <w:noProof/>
            <w:webHidden/>
          </w:rPr>
          <w:fldChar w:fldCharType="separate"/>
        </w:r>
        <w:r>
          <w:rPr>
            <w:noProof/>
            <w:webHidden/>
          </w:rPr>
          <w:t>31</w:t>
        </w:r>
        <w:r>
          <w:rPr>
            <w:noProof/>
            <w:webHidden/>
          </w:rPr>
          <w:fldChar w:fldCharType="end"/>
        </w:r>
      </w:hyperlink>
    </w:p>
    <w:p w14:paraId="4084B012" w14:textId="77777777" w:rsidR="00C64F6A" w:rsidRDefault="00C64F6A" w:rsidP="00C64F6A">
      <w:pPr>
        <w:pStyle w:val="TOC2"/>
        <w:tabs>
          <w:tab w:val="right" w:leader="dot" w:pos="9350"/>
        </w:tabs>
        <w:rPr>
          <w:rFonts w:asciiTheme="minorHAnsi" w:eastAsiaTheme="minorEastAsia" w:hAnsiTheme="minorHAnsi"/>
          <w:noProof/>
          <w:lang w:val="en-US"/>
        </w:rPr>
      </w:pPr>
      <w:hyperlink w:anchor="_Toc217212315" w:history="1">
        <w:r w:rsidRPr="00677A23">
          <w:rPr>
            <w:rStyle w:val="Hyperlink"/>
            <w:noProof/>
            <w:lang w:val="en-US"/>
          </w:rPr>
          <w:t>3.1 Rationale for Financial Restructuring</w:t>
        </w:r>
        <w:r>
          <w:rPr>
            <w:noProof/>
            <w:webHidden/>
          </w:rPr>
          <w:tab/>
        </w:r>
        <w:r>
          <w:rPr>
            <w:noProof/>
            <w:webHidden/>
          </w:rPr>
          <w:fldChar w:fldCharType="begin"/>
        </w:r>
        <w:r>
          <w:rPr>
            <w:noProof/>
            <w:webHidden/>
          </w:rPr>
          <w:instrText xml:space="preserve"> PAGEREF _Toc217212315 \h </w:instrText>
        </w:r>
        <w:r>
          <w:rPr>
            <w:noProof/>
            <w:webHidden/>
          </w:rPr>
        </w:r>
        <w:r>
          <w:rPr>
            <w:noProof/>
            <w:webHidden/>
          </w:rPr>
          <w:fldChar w:fldCharType="separate"/>
        </w:r>
        <w:r>
          <w:rPr>
            <w:noProof/>
            <w:webHidden/>
          </w:rPr>
          <w:t>31</w:t>
        </w:r>
        <w:r>
          <w:rPr>
            <w:noProof/>
            <w:webHidden/>
          </w:rPr>
          <w:fldChar w:fldCharType="end"/>
        </w:r>
      </w:hyperlink>
    </w:p>
    <w:p w14:paraId="3D638944" w14:textId="77777777" w:rsidR="00C64F6A" w:rsidRDefault="00C64F6A" w:rsidP="00C64F6A">
      <w:pPr>
        <w:pStyle w:val="TOC2"/>
        <w:tabs>
          <w:tab w:val="right" w:leader="dot" w:pos="9350"/>
        </w:tabs>
        <w:rPr>
          <w:rFonts w:asciiTheme="minorHAnsi" w:eastAsiaTheme="minorEastAsia" w:hAnsiTheme="minorHAnsi"/>
          <w:noProof/>
          <w:lang w:val="en-US"/>
        </w:rPr>
      </w:pPr>
      <w:hyperlink w:anchor="_Toc217212316" w:history="1">
        <w:r w:rsidRPr="00677A23">
          <w:rPr>
            <w:rStyle w:val="Hyperlink"/>
            <w:noProof/>
            <w:lang w:val="en-US"/>
          </w:rPr>
          <w:t>3.2 Recommended Financial Restructuring Options</w:t>
        </w:r>
        <w:r>
          <w:rPr>
            <w:noProof/>
            <w:webHidden/>
          </w:rPr>
          <w:tab/>
        </w:r>
        <w:r>
          <w:rPr>
            <w:noProof/>
            <w:webHidden/>
          </w:rPr>
          <w:fldChar w:fldCharType="begin"/>
        </w:r>
        <w:r>
          <w:rPr>
            <w:noProof/>
            <w:webHidden/>
          </w:rPr>
          <w:instrText xml:space="preserve"> PAGEREF _Toc217212316 \h </w:instrText>
        </w:r>
        <w:r>
          <w:rPr>
            <w:noProof/>
            <w:webHidden/>
          </w:rPr>
        </w:r>
        <w:r>
          <w:rPr>
            <w:noProof/>
            <w:webHidden/>
          </w:rPr>
          <w:fldChar w:fldCharType="separate"/>
        </w:r>
        <w:r>
          <w:rPr>
            <w:noProof/>
            <w:webHidden/>
          </w:rPr>
          <w:t>31</w:t>
        </w:r>
        <w:r>
          <w:rPr>
            <w:noProof/>
            <w:webHidden/>
          </w:rPr>
          <w:fldChar w:fldCharType="end"/>
        </w:r>
      </w:hyperlink>
    </w:p>
    <w:p w14:paraId="2E95D0AB" w14:textId="77777777" w:rsidR="00C64F6A" w:rsidRDefault="00C64F6A" w:rsidP="00C64F6A">
      <w:pPr>
        <w:pStyle w:val="TOC3"/>
        <w:tabs>
          <w:tab w:val="right" w:leader="dot" w:pos="9350"/>
        </w:tabs>
        <w:rPr>
          <w:rFonts w:asciiTheme="minorHAnsi" w:eastAsiaTheme="minorEastAsia" w:hAnsiTheme="minorHAnsi"/>
          <w:noProof/>
          <w:lang w:val="en-US"/>
        </w:rPr>
      </w:pPr>
      <w:hyperlink w:anchor="_Toc217212317" w:history="1">
        <w:r w:rsidRPr="00677A23">
          <w:rPr>
            <w:rStyle w:val="Hyperlink"/>
            <w:noProof/>
            <w:lang w:val="en-US"/>
          </w:rPr>
          <w:t>3.2.1 Divestiture of non-core or underperforming assets</w:t>
        </w:r>
        <w:r>
          <w:rPr>
            <w:noProof/>
            <w:webHidden/>
          </w:rPr>
          <w:tab/>
        </w:r>
        <w:r>
          <w:rPr>
            <w:noProof/>
            <w:webHidden/>
          </w:rPr>
          <w:fldChar w:fldCharType="begin"/>
        </w:r>
        <w:r>
          <w:rPr>
            <w:noProof/>
            <w:webHidden/>
          </w:rPr>
          <w:instrText xml:space="preserve"> PAGEREF _Toc217212317 \h </w:instrText>
        </w:r>
        <w:r>
          <w:rPr>
            <w:noProof/>
            <w:webHidden/>
          </w:rPr>
        </w:r>
        <w:r>
          <w:rPr>
            <w:noProof/>
            <w:webHidden/>
          </w:rPr>
          <w:fldChar w:fldCharType="separate"/>
        </w:r>
        <w:r>
          <w:rPr>
            <w:noProof/>
            <w:webHidden/>
          </w:rPr>
          <w:t>31</w:t>
        </w:r>
        <w:r>
          <w:rPr>
            <w:noProof/>
            <w:webHidden/>
          </w:rPr>
          <w:fldChar w:fldCharType="end"/>
        </w:r>
      </w:hyperlink>
    </w:p>
    <w:p w14:paraId="4472F73A" w14:textId="77777777" w:rsidR="00C64F6A" w:rsidRDefault="00C64F6A" w:rsidP="00C64F6A">
      <w:pPr>
        <w:pStyle w:val="TOC3"/>
        <w:tabs>
          <w:tab w:val="right" w:leader="dot" w:pos="9350"/>
        </w:tabs>
        <w:rPr>
          <w:rFonts w:asciiTheme="minorHAnsi" w:eastAsiaTheme="minorEastAsia" w:hAnsiTheme="minorHAnsi"/>
          <w:noProof/>
          <w:lang w:val="en-US"/>
        </w:rPr>
      </w:pPr>
      <w:hyperlink w:anchor="_Toc217212318" w:history="1">
        <w:r w:rsidRPr="00677A23">
          <w:rPr>
            <w:rStyle w:val="Hyperlink"/>
            <w:noProof/>
            <w:lang w:val="en-US"/>
          </w:rPr>
          <w:t>3.2.2 Equity injection and recapitalization</w:t>
        </w:r>
        <w:r>
          <w:rPr>
            <w:noProof/>
            <w:webHidden/>
          </w:rPr>
          <w:tab/>
        </w:r>
        <w:r>
          <w:rPr>
            <w:noProof/>
            <w:webHidden/>
          </w:rPr>
          <w:fldChar w:fldCharType="begin"/>
        </w:r>
        <w:r>
          <w:rPr>
            <w:noProof/>
            <w:webHidden/>
          </w:rPr>
          <w:instrText xml:space="preserve"> PAGEREF _Toc217212318 \h </w:instrText>
        </w:r>
        <w:r>
          <w:rPr>
            <w:noProof/>
            <w:webHidden/>
          </w:rPr>
        </w:r>
        <w:r>
          <w:rPr>
            <w:noProof/>
            <w:webHidden/>
          </w:rPr>
          <w:fldChar w:fldCharType="separate"/>
        </w:r>
        <w:r>
          <w:rPr>
            <w:noProof/>
            <w:webHidden/>
          </w:rPr>
          <w:t>32</w:t>
        </w:r>
        <w:r>
          <w:rPr>
            <w:noProof/>
            <w:webHidden/>
          </w:rPr>
          <w:fldChar w:fldCharType="end"/>
        </w:r>
      </w:hyperlink>
    </w:p>
    <w:p w14:paraId="09835460" w14:textId="77777777" w:rsidR="00C64F6A" w:rsidRDefault="00C64F6A" w:rsidP="00C64F6A">
      <w:pPr>
        <w:pStyle w:val="TOC3"/>
        <w:tabs>
          <w:tab w:val="right" w:leader="dot" w:pos="9350"/>
        </w:tabs>
        <w:rPr>
          <w:rFonts w:asciiTheme="minorHAnsi" w:eastAsiaTheme="minorEastAsia" w:hAnsiTheme="minorHAnsi"/>
          <w:noProof/>
          <w:lang w:val="en-US"/>
        </w:rPr>
      </w:pPr>
      <w:hyperlink w:anchor="_Toc217212319" w:history="1">
        <w:r w:rsidRPr="00677A23">
          <w:rPr>
            <w:rStyle w:val="Hyperlink"/>
            <w:noProof/>
            <w:lang w:val="en-US"/>
          </w:rPr>
          <w:t>3.2.3 Strategic merger or alliance</w:t>
        </w:r>
        <w:r>
          <w:rPr>
            <w:noProof/>
            <w:webHidden/>
          </w:rPr>
          <w:tab/>
        </w:r>
        <w:r>
          <w:rPr>
            <w:noProof/>
            <w:webHidden/>
          </w:rPr>
          <w:fldChar w:fldCharType="begin"/>
        </w:r>
        <w:r>
          <w:rPr>
            <w:noProof/>
            <w:webHidden/>
          </w:rPr>
          <w:instrText xml:space="preserve"> PAGEREF _Toc217212319 \h </w:instrText>
        </w:r>
        <w:r>
          <w:rPr>
            <w:noProof/>
            <w:webHidden/>
          </w:rPr>
        </w:r>
        <w:r>
          <w:rPr>
            <w:noProof/>
            <w:webHidden/>
          </w:rPr>
          <w:fldChar w:fldCharType="separate"/>
        </w:r>
        <w:r>
          <w:rPr>
            <w:noProof/>
            <w:webHidden/>
          </w:rPr>
          <w:t>33</w:t>
        </w:r>
        <w:r>
          <w:rPr>
            <w:noProof/>
            <w:webHidden/>
          </w:rPr>
          <w:fldChar w:fldCharType="end"/>
        </w:r>
      </w:hyperlink>
    </w:p>
    <w:p w14:paraId="0E48945C" w14:textId="77777777" w:rsidR="00C64F6A" w:rsidRDefault="00C64F6A" w:rsidP="00C64F6A">
      <w:pPr>
        <w:pStyle w:val="TOC2"/>
        <w:tabs>
          <w:tab w:val="right" w:leader="dot" w:pos="9350"/>
        </w:tabs>
        <w:rPr>
          <w:rFonts w:asciiTheme="minorHAnsi" w:eastAsiaTheme="minorEastAsia" w:hAnsiTheme="minorHAnsi"/>
          <w:noProof/>
          <w:lang w:val="en-US"/>
        </w:rPr>
      </w:pPr>
      <w:hyperlink w:anchor="_Toc217212320" w:history="1">
        <w:r w:rsidRPr="00677A23">
          <w:rPr>
            <w:rStyle w:val="Hyperlink"/>
            <w:noProof/>
            <w:lang w:val="en-US"/>
          </w:rPr>
          <w:t>3.3 Impact on Shareholder Value, Debt Structure, and Operational Flexibility</w:t>
        </w:r>
        <w:r>
          <w:rPr>
            <w:noProof/>
            <w:webHidden/>
          </w:rPr>
          <w:tab/>
        </w:r>
        <w:r>
          <w:rPr>
            <w:noProof/>
            <w:webHidden/>
          </w:rPr>
          <w:fldChar w:fldCharType="begin"/>
        </w:r>
        <w:r>
          <w:rPr>
            <w:noProof/>
            <w:webHidden/>
          </w:rPr>
          <w:instrText xml:space="preserve"> PAGEREF _Toc217212320 \h </w:instrText>
        </w:r>
        <w:r>
          <w:rPr>
            <w:noProof/>
            <w:webHidden/>
          </w:rPr>
        </w:r>
        <w:r>
          <w:rPr>
            <w:noProof/>
            <w:webHidden/>
          </w:rPr>
          <w:fldChar w:fldCharType="separate"/>
        </w:r>
        <w:r>
          <w:rPr>
            <w:noProof/>
            <w:webHidden/>
          </w:rPr>
          <w:t>33</w:t>
        </w:r>
        <w:r>
          <w:rPr>
            <w:noProof/>
            <w:webHidden/>
          </w:rPr>
          <w:fldChar w:fldCharType="end"/>
        </w:r>
      </w:hyperlink>
    </w:p>
    <w:p w14:paraId="11704AB7" w14:textId="77777777" w:rsidR="00C64F6A" w:rsidRDefault="00C64F6A" w:rsidP="00C64F6A">
      <w:pPr>
        <w:pStyle w:val="TOC2"/>
        <w:tabs>
          <w:tab w:val="right" w:leader="dot" w:pos="9350"/>
        </w:tabs>
        <w:rPr>
          <w:rFonts w:asciiTheme="minorHAnsi" w:eastAsiaTheme="minorEastAsia" w:hAnsiTheme="minorHAnsi"/>
          <w:noProof/>
          <w:lang w:val="en-US"/>
        </w:rPr>
      </w:pPr>
      <w:hyperlink w:anchor="_Toc217212321" w:history="1">
        <w:r w:rsidRPr="00677A23">
          <w:rPr>
            <w:rStyle w:val="Hyperlink"/>
            <w:noProof/>
            <w:lang w:val="en-US"/>
          </w:rPr>
          <w:t>3.4 International and Ethical Considerations</w:t>
        </w:r>
        <w:r>
          <w:rPr>
            <w:noProof/>
            <w:webHidden/>
          </w:rPr>
          <w:tab/>
        </w:r>
        <w:r>
          <w:rPr>
            <w:noProof/>
            <w:webHidden/>
          </w:rPr>
          <w:fldChar w:fldCharType="begin"/>
        </w:r>
        <w:r>
          <w:rPr>
            <w:noProof/>
            <w:webHidden/>
          </w:rPr>
          <w:instrText xml:space="preserve"> PAGEREF _Toc217212321 \h </w:instrText>
        </w:r>
        <w:r>
          <w:rPr>
            <w:noProof/>
            <w:webHidden/>
          </w:rPr>
        </w:r>
        <w:r>
          <w:rPr>
            <w:noProof/>
            <w:webHidden/>
          </w:rPr>
          <w:fldChar w:fldCharType="separate"/>
        </w:r>
        <w:r>
          <w:rPr>
            <w:noProof/>
            <w:webHidden/>
          </w:rPr>
          <w:t>34</w:t>
        </w:r>
        <w:r>
          <w:rPr>
            <w:noProof/>
            <w:webHidden/>
          </w:rPr>
          <w:fldChar w:fldCharType="end"/>
        </w:r>
      </w:hyperlink>
    </w:p>
    <w:p w14:paraId="1BEF184A" w14:textId="77777777" w:rsidR="00C64F6A" w:rsidRDefault="00C64F6A" w:rsidP="00C64F6A">
      <w:pPr>
        <w:pStyle w:val="TOC3"/>
        <w:tabs>
          <w:tab w:val="right" w:leader="dot" w:pos="9350"/>
        </w:tabs>
        <w:rPr>
          <w:rFonts w:asciiTheme="minorHAnsi" w:eastAsiaTheme="minorEastAsia" w:hAnsiTheme="minorHAnsi"/>
          <w:noProof/>
          <w:lang w:val="en-US"/>
        </w:rPr>
      </w:pPr>
      <w:hyperlink w:anchor="_Toc217212322" w:history="1">
        <w:r w:rsidRPr="00677A23">
          <w:rPr>
            <w:rStyle w:val="Hyperlink"/>
            <w:noProof/>
            <w:lang w:val="en-US"/>
          </w:rPr>
          <w:t>3.4.1 Taxation and regulatory environment</w:t>
        </w:r>
        <w:r>
          <w:rPr>
            <w:noProof/>
            <w:webHidden/>
          </w:rPr>
          <w:tab/>
        </w:r>
        <w:r>
          <w:rPr>
            <w:noProof/>
            <w:webHidden/>
          </w:rPr>
          <w:fldChar w:fldCharType="begin"/>
        </w:r>
        <w:r>
          <w:rPr>
            <w:noProof/>
            <w:webHidden/>
          </w:rPr>
          <w:instrText xml:space="preserve"> PAGEREF _Toc217212322 \h </w:instrText>
        </w:r>
        <w:r>
          <w:rPr>
            <w:noProof/>
            <w:webHidden/>
          </w:rPr>
        </w:r>
        <w:r>
          <w:rPr>
            <w:noProof/>
            <w:webHidden/>
          </w:rPr>
          <w:fldChar w:fldCharType="separate"/>
        </w:r>
        <w:r>
          <w:rPr>
            <w:noProof/>
            <w:webHidden/>
          </w:rPr>
          <w:t>34</w:t>
        </w:r>
        <w:r>
          <w:rPr>
            <w:noProof/>
            <w:webHidden/>
          </w:rPr>
          <w:fldChar w:fldCharType="end"/>
        </w:r>
      </w:hyperlink>
    </w:p>
    <w:p w14:paraId="3E837F23" w14:textId="77777777" w:rsidR="00C64F6A" w:rsidRDefault="00C64F6A" w:rsidP="00C64F6A">
      <w:pPr>
        <w:pStyle w:val="TOC3"/>
        <w:tabs>
          <w:tab w:val="right" w:leader="dot" w:pos="9350"/>
        </w:tabs>
        <w:rPr>
          <w:rFonts w:asciiTheme="minorHAnsi" w:eastAsiaTheme="minorEastAsia" w:hAnsiTheme="minorHAnsi"/>
          <w:noProof/>
          <w:lang w:val="en-US"/>
        </w:rPr>
      </w:pPr>
      <w:hyperlink w:anchor="_Toc217212323" w:history="1">
        <w:r w:rsidRPr="00677A23">
          <w:rPr>
            <w:rStyle w:val="Hyperlink"/>
            <w:noProof/>
            <w:lang w:val="en-US"/>
          </w:rPr>
          <w:t>3.4.2 Currency and inflation risk</w:t>
        </w:r>
        <w:r>
          <w:rPr>
            <w:noProof/>
            <w:webHidden/>
          </w:rPr>
          <w:tab/>
        </w:r>
        <w:r>
          <w:rPr>
            <w:noProof/>
            <w:webHidden/>
          </w:rPr>
          <w:fldChar w:fldCharType="begin"/>
        </w:r>
        <w:r>
          <w:rPr>
            <w:noProof/>
            <w:webHidden/>
          </w:rPr>
          <w:instrText xml:space="preserve"> PAGEREF _Toc217212323 \h </w:instrText>
        </w:r>
        <w:r>
          <w:rPr>
            <w:noProof/>
            <w:webHidden/>
          </w:rPr>
        </w:r>
        <w:r>
          <w:rPr>
            <w:noProof/>
            <w:webHidden/>
          </w:rPr>
          <w:fldChar w:fldCharType="separate"/>
        </w:r>
        <w:r>
          <w:rPr>
            <w:noProof/>
            <w:webHidden/>
          </w:rPr>
          <w:t>35</w:t>
        </w:r>
        <w:r>
          <w:rPr>
            <w:noProof/>
            <w:webHidden/>
          </w:rPr>
          <w:fldChar w:fldCharType="end"/>
        </w:r>
      </w:hyperlink>
    </w:p>
    <w:p w14:paraId="55B13AA7" w14:textId="77777777" w:rsidR="00C64F6A" w:rsidRDefault="00C64F6A" w:rsidP="00C64F6A">
      <w:pPr>
        <w:pStyle w:val="TOC3"/>
        <w:tabs>
          <w:tab w:val="right" w:leader="dot" w:pos="9350"/>
        </w:tabs>
        <w:rPr>
          <w:rFonts w:asciiTheme="minorHAnsi" w:eastAsiaTheme="minorEastAsia" w:hAnsiTheme="minorHAnsi"/>
          <w:noProof/>
          <w:lang w:val="en-US"/>
        </w:rPr>
      </w:pPr>
      <w:hyperlink w:anchor="_Toc217212324" w:history="1">
        <w:r w:rsidRPr="00677A23">
          <w:rPr>
            <w:rStyle w:val="Hyperlink"/>
            <w:noProof/>
            <w:lang w:val="en-US"/>
          </w:rPr>
          <w:t>3.4.3 Corporate social responsibility (CSR) considerations</w:t>
        </w:r>
        <w:r>
          <w:rPr>
            <w:noProof/>
            <w:webHidden/>
          </w:rPr>
          <w:tab/>
        </w:r>
        <w:r>
          <w:rPr>
            <w:noProof/>
            <w:webHidden/>
          </w:rPr>
          <w:fldChar w:fldCharType="begin"/>
        </w:r>
        <w:r>
          <w:rPr>
            <w:noProof/>
            <w:webHidden/>
          </w:rPr>
          <w:instrText xml:space="preserve"> PAGEREF _Toc217212324 \h </w:instrText>
        </w:r>
        <w:r>
          <w:rPr>
            <w:noProof/>
            <w:webHidden/>
          </w:rPr>
        </w:r>
        <w:r>
          <w:rPr>
            <w:noProof/>
            <w:webHidden/>
          </w:rPr>
          <w:fldChar w:fldCharType="separate"/>
        </w:r>
        <w:r>
          <w:rPr>
            <w:noProof/>
            <w:webHidden/>
          </w:rPr>
          <w:t>36</w:t>
        </w:r>
        <w:r>
          <w:rPr>
            <w:noProof/>
            <w:webHidden/>
          </w:rPr>
          <w:fldChar w:fldCharType="end"/>
        </w:r>
      </w:hyperlink>
    </w:p>
    <w:p w14:paraId="0B2409D0" w14:textId="77777777" w:rsidR="00C64F6A" w:rsidRDefault="00C64F6A" w:rsidP="00C64F6A">
      <w:pPr>
        <w:pStyle w:val="TOC2"/>
        <w:tabs>
          <w:tab w:val="right" w:leader="dot" w:pos="9350"/>
        </w:tabs>
        <w:rPr>
          <w:rFonts w:asciiTheme="minorHAnsi" w:eastAsiaTheme="minorEastAsia" w:hAnsiTheme="minorHAnsi"/>
          <w:noProof/>
          <w:lang w:val="en-US"/>
        </w:rPr>
      </w:pPr>
      <w:hyperlink w:anchor="_Toc217212325" w:history="1">
        <w:r w:rsidRPr="00677A23">
          <w:rPr>
            <w:rStyle w:val="Hyperlink"/>
            <w:noProof/>
            <w:lang w:val="en-US"/>
          </w:rPr>
          <w:t>3.5 Overall Strategic Assessment</w:t>
        </w:r>
        <w:r>
          <w:rPr>
            <w:noProof/>
            <w:webHidden/>
          </w:rPr>
          <w:tab/>
        </w:r>
        <w:r>
          <w:rPr>
            <w:noProof/>
            <w:webHidden/>
          </w:rPr>
          <w:fldChar w:fldCharType="begin"/>
        </w:r>
        <w:r>
          <w:rPr>
            <w:noProof/>
            <w:webHidden/>
          </w:rPr>
          <w:instrText xml:space="preserve"> PAGEREF _Toc217212325 \h </w:instrText>
        </w:r>
        <w:r>
          <w:rPr>
            <w:noProof/>
            <w:webHidden/>
          </w:rPr>
        </w:r>
        <w:r>
          <w:rPr>
            <w:noProof/>
            <w:webHidden/>
          </w:rPr>
          <w:fldChar w:fldCharType="separate"/>
        </w:r>
        <w:r>
          <w:rPr>
            <w:noProof/>
            <w:webHidden/>
          </w:rPr>
          <w:t>37</w:t>
        </w:r>
        <w:r>
          <w:rPr>
            <w:noProof/>
            <w:webHidden/>
          </w:rPr>
          <w:fldChar w:fldCharType="end"/>
        </w:r>
      </w:hyperlink>
    </w:p>
    <w:p w14:paraId="00992EAF" w14:textId="77777777" w:rsidR="00C64F6A" w:rsidRDefault="00C64F6A" w:rsidP="00C64F6A">
      <w:pPr>
        <w:pStyle w:val="TOC1"/>
        <w:tabs>
          <w:tab w:val="right" w:leader="dot" w:pos="9350"/>
        </w:tabs>
        <w:rPr>
          <w:rFonts w:asciiTheme="minorHAnsi" w:eastAsiaTheme="minorEastAsia" w:hAnsiTheme="minorHAnsi"/>
          <w:noProof/>
          <w:lang w:val="en-US"/>
        </w:rPr>
      </w:pPr>
      <w:hyperlink w:anchor="_Toc217212326" w:history="1">
        <w:r w:rsidRPr="00677A23">
          <w:rPr>
            <w:rStyle w:val="Hyperlink"/>
            <w:noProof/>
            <w:lang w:val="en-US"/>
          </w:rPr>
          <w:t>4. Investment Appraisal and Capital Budgeting</w:t>
        </w:r>
        <w:r>
          <w:rPr>
            <w:noProof/>
            <w:webHidden/>
          </w:rPr>
          <w:tab/>
        </w:r>
        <w:r>
          <w:rPr>
            <w:noProof/>
            <w:webHidden/>
          </w:rPr>
          <w:fldChar w:fldCharType="begin"/>
        </w:r>
        <w:r>
          <w:rPr>
            <w:noProof/>
            <w:webHidden/>
          </w:rPr>
          <w:instrText xml:space="preserve"> PAGEREF _Toc217212326 \h </w:instrText>
        </w:r>
        <w:r>
          <w:rPr>
            <w:noProof/>
            <w:webHidden/>
          </w:rPr>
        </w:r>
        <w:r>
          <w:rPr>
            <w:noProof/>
            <w:webHidden/>
          </w:rPr>
          <w:fldChar w:fldCharType="separate"/>
        </w:r>
        <w:r>
          <w:rPr>
            <w:noProof/>
            <w:webHidden/>
          </w:rPr>
          <w:t>37</w:t>
        </w:r>
        <w:r>
          <w:rPr>
            <w:noProof/>
            <w:webHidden/>
          </w:rPr>
          <w:fldChar w:fldCharType="end"/>
        </w:r>
      </w:hyperlink>
    </w:p>
    <w:p w14:paraId="0FA092F2" w14:textId="77777777" w:rsidR="00C64F6A" w:rsidRDefault="00C64F6A" w:rsidP="00C64F6A">
      <w:pPr>
        <w:pStyle w:val="TOC2"/>
        <w:tabs>
          <w:tab w:val="right" w:leader="dot" w:pos="9350"/>
        </w:tabs>
        <w:rPr>
          <w:rFonts w:asciiTheme="minorHAnsi" w:eastAsiaTheme="minorEastAsia" w:hAnsiTheme="minorHAnsi"/>
          <w:noProof/>
          <w:lang w:val="en-US"/>
        </w:rPr>
      </w:pPr>
      <w:hyperlink w:anchor="_Toc217212327" w:history="1">
        <w:r w:rsidRPr="00677A23">
          <w:rPr>
            <w:rStyle w:val="Hyperlink"/>
            <w:noProof/>
            <w:lang w:val="en-US"/>
          </w:rPr>
          <w:t>4.1 Rationale for Capital Budgeting under Financial Constraints</w:t>
        </w:r>
        <w:r>
          <w:rPr>
            <w:noProof/>
            <w:webHidden/>
          </w:rPr>
          <w:tab/>
        </w:r>
        <w:r>
          <w:rPr>
            <w:noProof/>
            <w:webHidden/>
          </w:rPr>
          <w:fldChar w:fldCharType="begin"/>
        </w:r>
        <w:r>
          <w:rPr>
            <w:noProof/>
            <w:webHidden/>
          </w:rPr>
          <w:instrText xml:space="preserve"> PAGEREF _Toc217212327 \h </w:instrText>
        </w:r>
        <w:r>
          <w:rPr>
            <w:noProof/>
            <w:webHidden/>
          </w:rPr>
        </w:r>
        <w:r>
          <w:rPr>
            <w:noProof/>
            <w:webHidden/>
          </w:rPr>
          <w:fldChar w:fldCharType="separate"/>
        </w:r>
        <w:r>
          <w:rPr>
            <w:noProof/>
            <w:webHidden/>
          </w:rPr>
          <w:t>37</w:t>
        </w:r>
        <w:r>
          <w:rPr>
            <w:noProof/>
            <w:webHidden/>
          </w:rPr>
          <w:fldChar w:fldCharType="end"/>
        </w:r>
      </w:hyperlink>
    </w:p>
    <w:p w14:paraId="1E31F734" w14:textId="77777777" w:rsidR="00C64F6A" w:rsidRDefault="00C64F6A" w:rsidP="00C64F6A">
      <w:pPr>
        <w:pStyle w:val="TOC2"/>
        <w:tabs>
          <w:tab w:val="right" w:leader="dot" w:pos="9350"/>
        </w:tabs>
        <w:rPr>
          <w:rFonts w:asciiTheme="minorHAnsi" w:eastAsiaTheme="minorEastAsia" w:hAnsiTheme="minorHAnsi"/>
          <w:noProof/>
          <w:lang w:val="en-US"/>
        </w:rPr>
      </w:pPr>
      <w:hyperlink w:anchor="_Toc217212328" w:history="1">
        <w:r w:rsidRPr="00677A23">
          <w:rPr>
            <w:rStyle w:val="Hyperlink"/>
            <w:noProof/>
            <w:lang w:val="en-US"/>
          </w:rPr>
          <w:t>4.2 Individual Project Evaluation</w:t>
        </w:r>
        <w:r>
          <w:rPr>
            <w:noProof/>
            <w:webHidden/>
          </w:rPr>
          <w:tab/>
        </w:r>
        <w:r>
          <w:rPr>
            <w:noProof/>
            <w:webHidden/>
          </w:rPr>
          <w:fldChar w:fldCharType="begin"/>
        </w:r>
        <w:r>
          <w:rPr>
            <w:noProof/>
            <w:webHidden/>
          </w:rPr>
          <w:instrText xml:space="preserve"> PAGEREF _Toc217212328 \h </w:instrText>
        </w:r>
        <w:r>
          <w:rPr>
            <w:noProof/>
            <w:webHidden/>
          </w:rPr>
        </w:r>
        <w:r>
          <w:rPr>
            <w:noProof/>
            <w:webHidden/>
          </w:rPr>
          <w:fldChar w:fldCharType="separate"/>
        </w:r>
        <w:r>
          <w:rPr>
            <w:noProof/>
            <w:webHidden/>
          </w:rPr>
          <w:t>38</w:t>
        </w:r>
        <w:r>
          <w:rPr>
            <w:noProof/>
            <w:webHidden/>
          </w:rPr>
          <w:fldChar w:fldCharType="end"/>
        </w:r>
      </w:hyperlink>
    </w:p>
    <w:p w14:paraId="7DE54816" w14:textId="77777777" w:rsidR="00C64F6A" w:rsidRDefault="00C64F6A" w:rsidP="00C64F6A">
      <w:pPr>
        <w:pStyle w:val="TOC2"/>
        <w:tabs>
          <w:tab w:val="right" w:leader="dot" w:pos="9350"/>
        </w:tabs>
        <w:rPr>
          <w:rFonts w:asciiTheme="minorHAnsi" w:eastAsiaTheme="minorEastAsia" w:hAnsiTheme="minorHAnsi"/>
          <w:noProof/>
          <w:lang w:val="en-US"/>
        </w:rPr>
      </w:pPr>
      <w:hyperlink w:anchor="_Toc217212329" w:history="1">
        <w:r w:rsidRPr="00677A23">
          <w:rPr>
            <w:rStyle w:val="Hyperlink"/>
            <w:noProof/>
            <w:lang w:val="en-US"/>
          </w:rPr>
          <w:t>4.3 Capital Rationing and Project Selection</w:t>
        </w:r>
        <w:r>
          <w:rPr>
            <w:noProof/>
            <w:webHidden/>
          </w:rPr>
          <w:tab/>
        </w:r>
        <w:r>
          <w:rPr>
            <w:noProof/>
            <w:webHidden/>
          </w:rPr>
          <w:fldChar w:fldCharType="begin"/>
        </w:r>
        <w:r>
          <w:rPr>
            <w:noProof/>
            <w:webHidden/>
          </w:rPr>
          <w:instrText xml:space="preserve"> PAGEREF _Toc217212329 \h </w:instrText>
        </w:r>
        <w:r>
          <w:rPr>
            <w:noProof/>
            <w:webHidden/>
          </w:rPr>
        </w:r>
        <w:r>
          <w:rPr>
            <w:noProof/>
            <w:webHidden/>
          </w:rPr>
          <w:fldChar w:fldCharType="separate"/>
        </w:r>
        <w:r>
          <w:rPr>
            <w:noProof/>
            <w:webHidden/>
          </w:rPr>
          <w:t>40</w:t>
        </w:r>
        <w:r>
          <w:rPr>
            <w:noProof/>
            <w:webHidden/>
          </w:rPr>
          <w:fldChar w:fldCharType="end"/>
        </w:r>
      </w:hyperlink>
    </w:p>
    <w:p w14:paraId="600B7368" w14:textId="77777777" w:rsidR="00C64F6A" w:rsidRDefault="00C64F6A" w:rsidP="00C64F6A">
      <w:pPr>
        <w:pStyle w:val="TOC2"/>
        <w:tabs>
          <w:tab w:val="right" w:leader="dot" w:pos="9350"/>
        </w:tabs>
        <w:rPr>
          <w:rFonts w:asciiTheme="minorHAnsi" w:eastAsiaTheme="minorEastAsia" w:hAnsiTheme="minorHAnsi"/>
          <w:noProof/>
          <w:lang w:val="en-US"/>
        </w:rPr>
      </w:pPr>
      <w:hyperlink w:anchor="_Toc217212330" w:history="1">
        <w:r w:rsidRPr="00677A23">
          <w:rPr>
            <w:rStyle w:val="Hyperlink"/>
            <w:noProof/>
            <w:lang w:val="en-US"/>
          </w:rPr>
          <w:t>4.4 Alignment with the Firm’s Financial Performance and Risk Profile</w:t>
        </w:r>
        <w:r>
          <w:rPr>
            <w:noProof/>
            <w:webHidden/>
          </w:rPr>
          <w:tab/>
        </w:r>
        <w:r>
          <w:rPr>
            <w:noProof/>
            <w:webHidden/>
          </w:rPr>
          <w:fldChar w:fldCharType="begin"/>
        </w:r>
        <w:r>
          <w:rPr>
            <w:noProof/>
            <w:webHidden/>
          </w:rPr>
          <w:instrText xml:space="preserve"> PAGEREF _Toc217212330 \h </w:instrText>
        </w:r>
        <w:r>
          <w:rPr>
            <w:noProof/>
            <w:webHidden/>
          </w:rPr>
        </w:r>
        <w:r>
          <w:rPr>
            <w:noProof/>
            <w:webHidden/>
          </w:rPr>
          <w:fldChar w:fldCharType="separate"/>
        </w:r>
        <w:r>
          <w:rPr>
            <w:noProof/>
            <w:webHidden/>
          </w:rPr>
          <w:t>40</w:t>
        </w:r>
        <w:r>
          <w:rPr>
            <w:noProof/>
            <w:webHidden/>
          </w:rPr>
          <w:fldChar w:fldCharType="end"/>
        </w:r>
      </w:hyperlink>
    </w:p>
    <w:p w14:paraId="3257454F" w14:textId="77777777" w:rsidR="00C64F6A" w:rsidRDefault="00C64F6A" w:rsidP="00C64F6A">
      <w:pPr>
        <w:pStyle w:val="TOC2"/>
        <w:tabs>
          <w:tab w:val="right" w:leader="dot" w:pos="9350"/>
        </w:tabs>
        <w:rPr>
          <w:rFonts w:asciiTheme="minorHAnsi" w:eastAsiaTheme="minorEastAsia" w:hAnsiTheme="minorHAnsi"/>
          <w:noProof/>
          <w:lang w:val="en-US"/>
        </w:rPr>
      </w:pPr>
      <w:hyperlink w:anchor="_Toc217212331" w:history="1">
        <w:r w:rsidRPr="00677A23">
          <w:rPr>
            <w:rStyle w:val="Hyperlink"/>
            <w:noProof/>
            <w:lang w:val="en-US"/>
          </w:rPr>
          <w:t>4.5 Final Investment Recommendation</w:t>
        </w:r>
        <w:r>
          <w:rPr>
            <w:noProof/>
            <w:webHidden/>
          </w:rPr>
          <w:tab/>
        </w:r>
        <w:r>
          <w:rPr>
            <w:noProof/>
            <w:webHidden/>
          </w:rPr>
          <w:fldChar w:fldCharType="begin"/>
        </w:r>
        <w:r>
          <w:rPr>
            <w:noProof/>
            <w:webHidden/>
          </w:rPr>
          <w:instrText xml:space="preserve"> PAGEREF _Toc217212331 \h </w:instrText>
        </w:r>
        <w:r>
          <w:rPr>
            <w:noProof/>
            <w:webHidden/>
          </w:rPr>
        </w:r>
        <w:r>
          <w:rPr>
            <w:noProof/>
            <w:webHidden/>
          </w:rPr>
          <w:fldChar w:fldCharType="separate"/>
        </w:r>
        <w:r>
          <w:rPr>
            <w:noProof/>
            <w:webHidden/>
          </w:rPr>
          <w:t>41</w:t>
        </w:r>
        <w:r>
          <w:rPr>
            <w:noProof/>
            <w:webHidden/>
          </w:rPr>
          <w:fldChar w:fldCharType="end"/>
        </w:r>
      </w:hyperlink>
    </w:p>
    <w:p w14:paraId="590AAA16" w14:textId="77777777" w:rsidR="00C64F6A" w:rsidRDefault="00C64F6A" w:rsidP="00C64F6A">
      <w:pPr>
        <w:pStyle w:val="TOC1"/>
        <w:tabs>
          <w:tab w:val="right" w:leader="dot" w:pos="9350"/>
        </w:tabs>
        <w:rPr>
          <w:rFonts w:asciiTheme="minorHAnsi" w:eastAsiaTheme="minorEastAsia" w:hAnsiTheme="minorHAnsi"/>
          <w:noProof/>
          <w:lang w:val="en-US"/>
        </w:rPr>
      </w:pPr>
      <w:hyperlink w:anchor="_Toc217212332" w:history="1">
        <w:r w:rsidRPr="00677A23">
          <w:rPr>
            <w:rStyle w:val="Hyperlink"/>
            <w:noProof/>
          </w:rPr>
          <w:t>References</w:t>
        </w:r>
        <w:r>
          <w:rPr>
            <w:noProof/>
            <w:webHidden/>
          </w:rPr>
          <w:tab/>
        </w:r>
        <w:r>
          <w:rPr>
            <w:noProof/>
            <w:webHidden/>
          </w:rPr>
          <w:fldChar w:fldCharType="begin"/>
        </w:r>
        <w:r>
          <w:rPr>
            <w:noProof/>
            <w:webHidden/>
          </w:rPr>
          <w:instrText xml:space="preserve"> PAGEREF _Toc217212332 \h </w:instrText>
        </w:r>
        <w:r>
          <w:rPr>
            <w:noProof/>
            <w:webHidden/>
          </w:rPr>
        </w:r>
        <w:r>
          <w:rPr>
            <w:noProof/>
            <w:webHidden/>
          </w:rPr>
          <w:fldChar w:fldCharType="separate"/>
        </w:r>
        <w:r>
          <w:rPr>
            <w:noProof/>
            <w:webHidden/>
          </w:rPr>
          <w:t>42</w:t>
        </w:r>
        <w:r>
          <w:rPr>
            <w:noProof/>
            <w:webHidden/>
          </w:rPr>
          <w:fldChar w:fldCharType="end"/>
        </w:r>
      </w:hyperlink>
    </w:p>
    <w:p w14:paraId="092BE54A" w14:textId="77777777" w:rsidR="00C64F6A" w:rsidRDefault="00C64F6A" w:rsidP="00C64F6A">
      <w:pPr>
        <w:pStyle w:val="TOC1"/>
        <w:tabs>
          <w:tab w:val="right" w:leader="dot" w:pos="9350"/>
        </w:tabs>
        <w:rPr>
          <w:rFonts w:asciiTheme="minorHAnsi" w:eastAsiaTheme="minorEastAsia" w:hAnsiTheme="minorHAnsi"/>
          <w:noProof/>
          <w:lang w:val="en-US"/>
        </w:rPr>
      </w:pPr>
      <w:hyperlink w:anchor="_Toc217212333" w:history="1">
        <w:r w:rsidRPr="00677A23">
          <w:rPr>
            <w:rStyle w:val="Hyperlink"/>
            <w:noProof/>
          </w:rPr>
          <w:t>Appendix</w:t>
        </w:r>
        <w:r>
          <w:rPr>
            <w:noProof/>
            <w:webHidden/>
          </w:rPr>
          <w:tab/>
        </w:r>
        <w:r>
          <w:rPr>
            <w:noProof/>
            <w:webHidden/>
          </w:rPr>
          <w:fldChar w:fldCharType="begin"/>
        </w:r>
        <w:r>
          <w:rPr>
            <w:noProof/>
            <w:webHidden/>
          </w:rPr>
          <w:instrText xml:space="preserve"> PAGEREF _Toc217212333 \h </w:instrText>
        </w:r>
        <w:r>
          <w:rPr>
            <w:noProof/>
            <w:webHidden/>
          </w:rPr>
        </w:r>
        <w:r>
          <w:rPr>
            <w:noProof/>
            <w:webHidden/>
          </w:rPr>
          <w:fldChar w:fldCharType="separate"/>
        </w:r>
        <w:r>
          <w:rPr>
            <w:noProof/>
            <w:webHidden/>
          </w:rPr>
          <w:t>46</w:t>
        </w:r>
        <w:r>
          <w:rPr>
            <w:noProof/>
            <w:webHidden/>
          </w:rPr>
          <w:fldChar w:fldCharType="end"/>
        </w:r>
      </w:hyperlink>
    </w:p>
    <w:p w14:paraId="7407EC72" w14:textId="77777777" w:rsidR="00C64F6A" w:rsidRDefault="00C64F6A" w:rsidP="00C64F6A">
      <w:pPr>
        <w:pStyle w:val="TOC2"/>
        <w:tabs>
          <w:tab w:val="right" w:leader="dot" w:pos="9350"/>
        </w:tabs>
        <w:rPr>
          <w:rFonts w:asciiTheme="minorHAnsi" w:eastAsiaTheme="minorEastAsia" w:hAnsiTheme="minorHAnsi"/>
          <w:noProof/>
          <w:lang w:val="en-US"/>
        </w:rPr>
      </w:pPr>
      <w:hyperlink w:anchor="_Toc217212334" w:history="1">
        <w:r w:rsidRPr="00677A23">
          <w:rPr>
            <w:rStyle w:val="Hyperlink"/>
            <w:noProof/>
          </w:rPr>
          <w:t>Appendix 1 - Ratio Analysis</w:t>
        </w:r>
        <w:r>
          <w:rPr>
            <w:noProof/>
            <w:webHidden/>
          </w:rPr>
          <w:tab/>
        </w:r>
        <w:r>
          <w:rPr>
            <w:noProof/>
            <w:webHidden/>
          </w:rPr>
          <w:fldChar w:fldCharType="begin"/>
        </w:r>
        <w:r>
          <w:rPr>
            <w:noProof/>
            <w:webHidden/>
          </w:rPr>
          <w:instrText xml:space="preserve"> PAGEREF _Toc217212334 \h </w:instrText>
        </w:r>
        <w:r>
          <w:rPr>
            <w:noProof/>
            <w:webHidden/>
          </w:rPr>
        </w:r>
        <w:r>
          <w:rPr>
            <w:noProof/>
            <w:webHidden/>
          </w:rPr>
          <w:fldChar w:fldCharType="separate"/>
        </w:r>
        <w:r>
          <w:rPr>
            <w:noProof/>
            <w:webHidden/>
          </w:rPr>
          <w:t>46</w:t>
        </w:r>
        <w:r>
          <w:rPr>
            <w:noProof/>
            <w:webHidden/>
          </w:rPr>
          <w:fldChar w:fldCharType="end"/>
        </w:r>
      </w:hyperlink>
    </w:p>
    <w:p w14:paraId="6F06C3D4" w14:textId="77777777" w:rsidR="00C64F6A" w:rsidRDefault="00C64F6A" w:rsidP="00C64F6A">
      <w:pPr>
        <w:pStyle w:val="TOC1"/>
        <w:tabs>
          <w:tab w:val="right" w:leader="dot" w:pos="9350"/>
        </w:tabs>
        <w:rPr>
          <w:rFonts w:asciiTheme="minorHAnsi" w:eastAsiaTheme="minorEastAsia" w:hAnsiTheme="minorHAnsi"/>
          <w:noProof/>
          <w:lang w:val="en-US"/>
        </w:rPr>
      </w:pPr>
      <w:hyperlink w:anchor="_Toc217212335" w:history="1">
        <w:r w:rsidRPr="00677A23">
          <w:rPr>
            <w:rStyle w:val="Hyperlink"/>
            <w:noProof/>
          </w:rPr>
          <w:t>Appendix 2 - Altman Z-Score Model</w:t>
        </w:r>
        <w:r>
          <w:rPr>
            <w:noProof/>
            <w:webHidden/>
          </w:rPr>
          <w:tab/>
        </w:r>
        <w:r>
          <w:rPr>
            <w:noProof/>
            <w:webHidden/>
          </w:rPr>
          <w:fldChar w:fldCharType="begin"/>
        </w:r>
        <w:r>
          <w:rPr>
            <w:noProof/>
            <w:webHidden/>
          </w:rPr>
          <w:instrText xml:space="preserve"> PAGEREF _Toc217212335 \h </w:instrText>
        </w:r>
        <w:r>
          <w:rPr>
            <w:noProof/>
            <w:webHidden/>
          </w:rPr>
        </w:r>
        <w:r>
          <w:rPr>
            <w:noProof/>
            <w:webHidden/>
          </w:rPr>
          <w:fldChar w:fldCharType="separate"/>
        </w:r>
        <w:r>
          <w:rPr>
            <w:noProof/>
            <w:webHidden/>
          </w:rPr>
          <w:t>49</w:t>
        </w:r>
        <w:r>
          <w:rPr>
            <w:noProof/>
            <w:webHidden/>
          </w:rPr>
          <w:fldChar w:fldCharType="end"/>
        </w:r>
      </w:hyperlink>
    </w:p>
    <w:p w14:paraId="719383F0" w14:textId="77777777" w:rsidR="00C64F6A" w:rsidRDefault="00C64F6A" w:rsidP="00C64F6A">
      <w:pPr>
        <w:pStyle w:val="TOC2"/>
        <w:tabs>
          <w:tab w:val="right" w:leader="dot" w:pos="9350"/>
        </w:tabs>
        <w:rPr>
          <w:rFonts w:asciiTheme="minorHAnsi" w:eastAsiaTheme="minorEastAsia" w:hAnsiTheme="minorHAnsi"/>
          <w:noProof/>
          <w:lang w:val="en-US"/>
        </w:rPr>
      </w:pPr>
      <w:hyperlink w:anchor="_Toc217212336" w:history="1">
        <w:r w:rsidRPr="00677A23">
          <w:rPr>
            <w:rStyle w:val="Hyperlink"/>
            <w:noProof/>
          </w:rPr>
          <w:t>Appendix 3 - Cash Operating Cycle (Cash Conversion Cycle – CCC)</w:t>
        </w:r>
        <w:r>
          <w:rPr>
            <w:noProof/>
            <w:webHidden/>
          </w:rPr>
          <w:tab/>
        </w:r>
        <w:r>
          <w:rPr>
            <w:noProof/>
            <w:webHidden/>
          </w:rPr>
          <w:fldChar w:fldCharType="begin"/>
        </w:r>
        <w:r>
          <w:rPr>
            <w:noProof/>
            <w:webHidden/>
          </w:rPr>
          <w:instrText xml:space="preserve"> PAGEREF _Toc217212336 \h </w:instrText>
        </w:r>
        <w:r>
          <w:rPr>
            <w:noProof/>
            <w:webHidden/>
          </w:rPr>
        </w:r>
        <w:r>
          <w:rPr>
            <w:noProof/>
            <w:webHidden/>
          </w:rPr>
          <w:fldChar w:fldCharType="separate"/>
        </w:r>
        <w:r>
          <w:rPr>
            <w:noProof/>
            <w:webHidden/>
          </w:rPr>
          <w:t>50</w:t>
        </w:r>
        <w:r>
          <w:rPr>
            <w:noProof/>
            <w:webHidden/>
          </w:rPr>
          <w:fldChar w:fldCharType="end"/>
        </w:r>
      </w:hyperlink>
    </w:p>
    <w:p w14:paraId="43398BFE" w14:textId="77777777" w:rsidR="00C64F6A" w:rsidRDefault="00C64F6A" w:rsidP="00C64F6A">
      <w:pPr>
        <w:pStyle w:val="TOC1"/>
        <w:tabs>
          <w:tab w:val="right" w:leader="dot" w:pos="9350"/>
        </w:tabs>
        <w:rPr>
          <w:rFonts w:asciiTheme="minorHAnsi" w:eastAsiaTheme="minorEastAsia" w:hAnsiTheme="minorHAnsi"/>
          <w:noProof/>
          <w:lang w:val="en-US"/>
        </w:rPr>
      </w:pPr>
      <w:hyperlink w:anchor="_Toc217212337" w:history="1">
        <w:r w:rsidRPr="00677A23">
          <w:rPr>
            <w:rStyle w:val="Hyperlink"/>
            <w:noProof/>
          </w:rPr>
          <w:t>Appendix 4 - Investment Appraisal</w:t>
        </w:r>
        <w:r>
          <w:rPr>
            <w:noProof/>
            <w:webHidden/>
          </w:rPr>
          <w:tab/>
        </w:r>
        <w:r>
          <w:rPr>
            <w:noProof/>
            <w:webHidden/>
          </w:rPr>
          <w:fldChar w:fldCharType="begin"/>
        </w:r>
        <w:r>
          <w:rPr>
            <w:noProof/>
            <w:webHidden/>
          </w:rPr>
          <w:instrText xml:space="preserve"> PAGEREF _Toc217212337 \h </w:instrText>
        </w:r>
        <w:r>
          <w:rPr>
            <w:noProof/>
            <w:webHidden/>
          </w:rPr>
        </w:r>
        <w:r>
          <w:rPr>
            <w:noProof/>
            <w:webHidden/>
          </w:rPr>
          <w:fldChar w:fldCharType="separate"/>
        </w:r>
        <w:r>
          <w:rPr>
            <w:noProof/>
            <w:webHidden/>
          </w:rPr>
          <w:t>52</w:t>
        </w:r>
        <w:r>
          <w:rPr>
            <w:noProof/>
            <w:webHidden/>
          </w:rPr>
          <w:fldChar w:fldCharType="end"/>
        </w:r>
      </w:hyperlink>
    </w:p>
    <w:p w14:paraId="11BC6837" w14:textId="77777777" w:rsidR="00C64F6A" w:rsidRDefault="00C64F6A" w:rsidP="00C64F6A">
      <w:pPr>
        <w:pStyle w:val="TOC2"/>
        <w:tabs>
          <w:tab w:val="right" w:leader="dot" w:pos="9350"/>
        </w:tabs>
        <w:rPr>
          <w:rFonts w:asciiTheme="minorHAnsi" w:eastAsiaTheme="minorEastAsia" w:hAnsiTheme="minorHAnsi"/>
          <w:noProof/>
          <w:lang w:val="en-US"/>
        </w:rPr>
      </w:pPr>
      <w:hyperlink w:anchor="_Toc217212338" w:history="1">
        <w:r w:rsidRPr="00677A23">
          <w:rPr>
            <w:rStyle w:val="Hyperlink"/>
            <w:noProof/>
          </w:rPr>
          <w:t>Appendix 5 – Excel Sheets</w:t>
        </w:r>
        <w:r>
          <w:rPr>
            <w:noProof/>
            <w:webHidden/>
          </w:rPr>
          <w:tab/>
        </w:r>
        <w:r>
          <w:rPr>
            <w:noProof/>
            <w:webHidden/>
          </w:rPr>
          <w:fldChar w:fldCharType="begin"/>
        </w:r>
        <w:r>
          <w:rPr>
            <w:noProof/>
            <w:webHidden/>
          </w:rPr>
          <w:instrText xml:space="preserve"> PAGEREF _Toc217212338 \h </w:instrText>
        </w:r>
        <w:r>
          <w:rPr>
            <w:noProof/>
            <w:webHidden/>
          </w:rPr>
        </w:r>
        <w:r>
          <w:rPr>
            <w:noProof/>
            <w:webHidden/>
          </w:rPr>
          <w:fldChar w:fldCharType="separate"/>
        </w:r>
        <w:r>
          <w:rPr>
            <w:noProof/>
            <w:webHidden/>
          </w:rPr>
          <w:t>56</w:t>
        </w:r>
        <w:r>
          <w:rPr>
            <w:noProof/>
            <w:webHidden/>
          </w:rPr>
          <w:fldChar w:fldCharType="end"/>
        </w:r>
      </w:hyperlink>
    </w:p>
    <w:p w14:paraId="03F6D0C3" w14:textId="77777777" w:rsidR="00C64F6A" w:rsidRPr="005F57AF" w:rsidRDefault="00C64F6A" w:rsidP="00C64F6A">
      <w:pPr>
        <w:spacing w:line="278" w:lineRule="auto"/>
        <w:jc w:val="left"/>
        <w:rPr>
          <w:b/>
          <w:bCs/>
          <w:sz w:val="28"/>
          <w:szCs w:val="28"/>
        </w:rPr>
      </w:pPr>
      <w:r>
        <w:rPr>
          <w:b/>
          <w:bCs/>
          <w:sz w:val="28"/>
          <w:szCs w:val="28"/>
        </w:rPr>
        <w:fldChar w:fldCharType="end"/>
      </w:r>
    </w:p>
    <w:p w14:paraId="2EB386F5" w14:textId="77777777" w:rsidR="00C64F6A" w:rsidRDefault="00C64F6A" w:rsidP="00C64F6A">
      <w:pPr>
        <w:spacing w:line="278" w:lineRule="auto"/>
        <w:jc w:val="left"/>
        <w:rPr>
          <w:b/>
          <w:bCs/>
          <w:sz w:val="28"/>
          <w:szCs w:val="28"/>
        </w:rPr>
      </w:pPr>
      <w:r w:rsidRPr="005F57AF">
        <w:rPr>
          <w:b/>
          <w:bCs/>
          <w:sz w:val="28"/>
          <w:szCs w:val="28"/>
        </w:rPr>
        <w:t xml:space="preserve">List of </w:t>
      </w:r>
      <w:r>
        <w:rPr>
          <w:b/>
          <w:bCs/>
          <w:sz w:val="28"/>
          <w:szCs w:val="28"/>
        </w:rPr>
        <w:t>T</w:t>
      </w:r>
      <w:r w:rsidRPr="005F57AF">
        <w:rPr>
          <w:b/>
          <w:bCs/>
          <w:sz w:val="28"/>
          <w:szCs w:val="28"/>
        </w:rPr>
        <w:t>ables</w:t>
      </w:r>
    </w:p>
    <w:p w14:paraId="384D2EBC" w14:textId="77777777" w:rsidR="00C64F6A" w:rsidRDefault="00C64F6A" w:rsidP="00C64F6A">
      <w:pPr>
        <w:pStyle w:val="TableofFigures"/>
        <w:tabs>
          <w:tab w:val="right" w:leader="dot" w:pos="9350"/>
        </w:tabs>
        <w:rPr>
          <w:rFonts w:asciiTheme="minorHAnsi" w:eastAsiaTheme="minorEastAsia" w:hAnsiTheme="minorHAnsi"/>
          <w:noProof/>
          <w:lang w:val="en-US"/>
        </w:rPr>
      </w:pPr>
      <w:r>
        <w:rPr>
          <w:b/>
          <w:bCs/>
          <w:sz w:val="28"/>
          <w:szCs w:val="28"/>
        </w:rPr>
        <w:fldChar w:fldCharType="begin"/>
      </w:r>
      <w:r>
        <w:rPr>
          <w:b/>
          <w:bCs/>
          <w:sz w:val="28"/>
          <w:szCs w:val="28"/>
        </w:rPr>
        <w:instrText xml:space="preserve"> TOC \h \z \c "Table" </w:instrText>
      </w:r>
      <w:r>
        <w:rPr>
          <w:b/>
          <w:bCs/>
          <w:sz w:val="28"/>
          <w:szCs w:val="28"/>
        </w:rPr>
        <w:fldChar w:fldCharType="separate"/>
      </w:r>
      <w:hyperlink w:anchor="_Toc217212339" w:history="1">
        <w:r w:rsidRPr="005E1DD4">
          <w:rPr>
            <w:rStyle w:val="Hyperlink"/>
            <w:noProof/>
          </w:rPr>
          <w:t>Table 1: Strengths, threats, and key implications</w:t>
        </w:r>
        <w:r>
          <w:rPr>
            <w:noProof/>
            <w:webHidden/>
          </w:rPr>
          <w:tab/>
        </w:r>
        <w:r>
          <w:rPr>
            <w:noProof/>
            <w:webHidden/>
          </w:rPr>
          <w:fldChar w:fldCharType="begin"/>
        </w:r>
        <w:r>
          <w:rPr>
            <w:noProof/>
            <w:webHidden/>
          </w:rPr>
          <w:instrText xml:space="preserve"> PAGEREF _Toc217212339 \h </w:instrText>
        </w:r>
        <w:r>
          <w:rPr>
            <w:noProof/>
            <w:webHidden/>
          </w:rPr>
        </w:r>
        <w:r>
          <w:rPr>
            <w:noProof/>
            <w:webHidden/>
          </w:rPr>
          <w:fldChar w:fldCharType="separate"/>
        </w:r>
        <w:r>
          <w:rPr>
            <w:noProof/>
            <w:webHidden/>
          </w:rPr>
          <w:t>19</w:t>
        </w:r>
        <w:r>
          <w:rPr>
            <w:noProof/>
            <w:webHidden/>
          </w:rPr>
          <w:fldChar w:fldCharType="end"/>
        </w:r>
      </w:hyperlink>
    </w:p>
    <w:p w14:paraId="0406B1F3" w14:textId="77777777" w:rsidR="00C64F6A" w:rsidRDefault="00C64F6A" w:rsidP="00C64F6A">
      <w:pPr>
        <w:pStyle w:val="TableofFigures"/>
        <w:tabs>
          <w:tab w:val="right" w:leader="dot" w:pos="9350"/>
        </w:tabs>
        <w:rPr>
          <w:rFonts w:asciiTheme="minorHAnsi" w:eastAsiaTheme="minorEastAsia" w:hAnsiTheme="minorHAnsi"/>
          <w:noProof/>
          <w:lang w:val="en-US"/>
        </w:rPr>
      </w:pPr>
      <w:hyperlink w:anchor="_Toc217212340" w:history="1">
        <w:r w:rsidRPr="005E1DD4">
          <w:rPr>
            <w:rStyle w:val="Hyperlink"/>
            <w:noProof/>
          </w:rPr>
          <w:t>Table 2: Summary</w:t>
        </w:r>
        <w:r>
          <w:rPr>
            <w:noProof/>
            <w:webHidden/>
          </w:rPr>
          <w:tab/>
        </w:r>
        <w:r>
          <w:rPr>
            <w:noProof/>
            <w:webHidden/>
          </w:rPr>
          <w:fldChar w:fldCharType="begin"/>
        </w:r>
        <w:r>
          <w:rPr>
            <w:noProof/>
            <w:webHidden/>
          </w:rPr>
          <w:instrText xml:space="preserve"> PAGEREF _Toc217212340 \h </w:instrText>
        </w:r>
        <w:r>
          <w:rPr>
            <w:noProof/>
            <w:webHidden/>
          </w:rPr>
        </w:r>
        <w:r>
          <w:rPr>
            <w:noProof/>
            <w:webHidden/>
          </w:rPr>
          <w:fldChar w:fldCharType="separate"/>
        </w:r>
        <w:r>
          <w:rPr>
            <w:noProof/>
            <w:webHidden/>
          </w:rPr>
          <w:t>20</w:t>
        </w:r>
        <w:r>
          <w:rPr>
            <w:noProof/>
            <w:webHidden/>
          </w:rPr>
          <w:fldChar w:fldCharType="end"/>
        </w:r>
      </w:hyperlink>
    </w:p>
    <w:p w14:paraId="0FE56DFA" w14:textId="77777777" w:rsidR="00C64F6A" w:rsidRDefault="00C64F6A" w:rsidP="00C64F6A">
      <w:pPr>
        <w:pStyle w:val="TableofFigures"/>
        <w:tabs>
          <w:tab w:val="right" w:leader="dot" w:pos="9350"/>
        </w:tabs>
        <w:rPr>
          <w:rFonts w:asciiTheme="minorHAnsi" w:eastAsiaTheme="minorEastAsia" w:hAnsiTheme="minorHAnsi"/>
          <w:noProof/>
          <w:lang w:val="en-US"/>
        </w:rPr>
      </w:pPr>
      <w:hyperlink w:anchor="_Toc217212341" w:history="1">
        <w:r w:rsidRPr="005E1DD4">
          <w:rPr>
            <w:rStyle w:val="Hyperlink"/>
            <w:noProof/>
          </w:rPr>
          <w:t>Table 3: Strategies to Improve Liquidity through Working Capital Reforms</w:t>
        </w:r>
        <w:r>
          <w:rPr>
            <w:noProof/>
            <w:webHidden/>
          </w:rPr>
          <w:tab/>
        </w:r>
        <w:r>
          <w:rPr>
            <w:noProof/>
            <w:webHidden/>
          </w:rPr>
          <w:fldChar w:fldCharType="begin"/>
        </w:r>
        <w:r>
          <w:rPr>
            <w:noProof/>
            <w:webHidden/>
          </w:rPr>
          <w:instrText xml:space="preserve"> PAGEREF _Toc217212341 \h </w:instrText>
        </w:r>
        <w:r>
          <w:rPr>
            <w:noProof/>
            <w:webHidden/>
          </w:rPr>
        </w:r>
        <w:r>
          <w:rPr>
            <w:noProof/>
            <w:webHidden/>
          </w:rPr>
          <w:fldChar w:fldCharType="separate"/>
        </w:r>
        <w:r>
          <w:rPr>
            <w:noProof/>
            <w:webHidden/>
          </w:rPr>
          <w:t>27</w:t>
        </w:r>
        <w:r>
          <w:rPr>
            <w:noProof/>
            <w:webHidden/>
          </w:rPr>
          <w:fldChar w:fldCharType="end"/>
        </w:r>
      </w:hyperlink>
    </w:p>
    <w:p w14:paraId="6FB8DA39" w14:textId="77777777" w:rsidR="00C64F6A" w:rsidRDefault="00C64F6A" w:rsidP="00C64F6A">
      <w:pPr>
        <w:pStyle w:val="TableofFigures"/>
        <w:tabs>
          <w:tab w:val="right" w:leader="dot" w:pos="9350"/>
        </w:tabs>
        <w:rPr>
          <w:rFonts w:asciiTheme="minorHAnsi" w:eastAsiaTheme="minorEastAsia" w:hAnsiTheme="minorHAnsi"/>
          <w:noProof/>
          <w:lang w:val="en-US"/>
        </w:rPr>
      </w:pPr>
      <w:hyperlink w:anchor="_Toc217212342" w:history="1">
        <w:r w:rsidRPr="005E1DD4">
          <w:rPr>
            <w:rStyle w:val="Hyperlink"/>
            <w:noProof/>
          </w:rPr>
          <w:t>Table 4: Short-Term versus Long-Term Financing Options</w:t>
        </w:r>
        <w:r>
          <w:rPr>
            <w:noProof/>
            <w:webHidden/>
          </w:rPr>
          <w:tab/>
        </w:r>
        <w:r>
          <w:rPr>
            <w:noProof/>
            <w:webHidden/>
          </w:rPr>
          <w:fldChar w:fldCharType="begin"/>
        </w:r>
        <w:r>
          <w:rPr>
            <w:noProof/>
            <w:webHidden/>
          </w:rPr>
          <w:instrText xml:space="preserve"> PAGEREF _Toc217212342 \h </w:instrText>
        </w:r>
        <w:r>
          <w:rPr>
            <w:noProof/>
            <w:webHidden/>
          </w:rPr>
        </w:r>
        <w:r>
          <w:rPr>
            <w:noProof/>
            <w:webHidden/>
          </w:rPr>
          <w:fldChar w:fldCharType="separate"/>
        </w:r>
        <w:r>
          <w:rPr>
            <w:noProof/>
            <w:webHidden/>
          </w:rPr>
          <w:t>30</w:t>
        </w:r>
        <w:r>
          <w:rPr>
            <w:noProof/>
            <w:webHidden/>
          </w:rPr>
          <w:fldChar w:fldCharType="end"/>
        </w:r>
      </w:hyperlink>
    </w:p>
    <w:p w14:paraId="2198A4B6" w14:textId="77777777" w:rsidR="00C64F6A" w:rsidRDefault="00C64F6A" w:rsidP="00C64F6A">
      <w:pPr>
        <w:pStyle w:val="TableofFigures"/>
        <w:tabs>
          <w:tab w:val="right" w:leader="dot" w:pos="9350"/>
        </w:tabs>
        <w:rPr>
          <w:rFonts w:asciiTheme="minorHAnsi" w:eastAsiaTheme="minorEastAsia" w:hAnsiTheme="minorHAnsi"/>
          <w:noProof/>
          <w:lang w:val="en-US"/>
        </w:rPr>
      </w:pPr>
      <w:hyperlink w:anchor="_Toc217212343" w:history="1">
        <w:r w:rsidRPr="005E1DD4">
          <w:rPr>
            <w:rStyle w:val="Hyperlink"/>
            <w:noProof/>
          </w:rPr>
          <w:t>Table 5: Consolidated Investment Appraisal Summary</w:t>
        </w:r>
        <w:r>
          <w:rPr>
            <w:noProof/>
            <w:webHidden/>
          </w:rPr>
          <w:tab/>
        </w:r>
        <w:r>
          <w:rPr>
            <w:noProof/>
            <w:webHidden/>
          </w:rPr>
          <w:fldChar w:fldCharType="begin"/>
        </w:r>
        <w:r>
          <w:rPr>
            <w:noProof/>
            <w:webHidden/>
          </w:rPr>
          <w:instrText xml:space="preserve"> PAGEREF _Toc217212343 \h </w:instrText>
        </w:r>
        <w:r>
          <w:rPr>
            <w:noProof/>
            <w:webHidden/>
          </w:rPr>
        </w:r>
        <w:r>
          <w:rPr>
            <w:noProof/>
            <w:webHidden/>
          </w:rPr>
          <w:fldChar w:fldCharType="separate"/>
        </w:r>
        <w:r>
          <w:rPr>
            <w:noProof/>
            <w:webHidden/>
          </w:rPr>
          <w:t>38</w:t>
        </w:r>
        <w:r>
          <w:rPr>
            <w:noProof/>
            <w:webHidden/>
          </w:rPr>
          <w:fldChar w:fldCharType="end"/>
        </w:r>
      </w:hyperlink>
    </w:p>
    <w:p w14:paraId="77F39216" w14:textId="77777777" w:rsidR="00C64F6A" w:rsidRDefault="00C64F6A" w:rsidP="00C64F6A">
      <w:pPr>
        <w:spacing w:line="278" w:lineRule="auto"/>
        <w:jc w:val="left"/>
        <w:rPr>
          <w:b/>
          <w:bCs/>
          <w:sz w:val="28"/>
          <w:szCs w:val="28"/>
        </w:rPr>
      </w:pPr>
      <w:r>
        <w:rPr>
          <w:b/>
          <w:bCs/>
          <w:sz w:val="28"/>
          <w:szCs w:val="28"/>
        </w:rPr>
        <w:fldChar w:fldCharType="end"/>
      </w:r>
    </w:p>
    <w:p w14:paraId="56384A21" w14:textId="77777777" w:rsidR="00C64F6A" w:rsidRDefault="00C64F6A" w:rsidP="00C64F6A">
      <w:pPr>
        <w:spacing w:line="278" w:lineRule="auto"/>
        <w:jc w:val="left"/>
        <w:rPr>
          <w:b/>
          <w:bCs/>
          <w:sz w:val="28"/>
          <w:szCs w:val="28"/>
        </w:rPr>
      </w:pPr>
    </w:p>
    <w:p w14:paraId="4880C2CF" w14:textId="77777777" w:rsidR="00C64F6A" w:rsidRDefault="00C64F6A" w:rsidP="00C64F6A">
      <w:pPr>
        <w:spacing w:line="278" w:lineRule="auto"/>
        <w:jc w:val="left"/>
        <w:rPr>
          <w:b/>
          <w:bCs/>
          <w:sz w:val="28"/>
          <w:szCs w:val="28"/>
        </w:rPr>
      </w:pPr>
    </w:p>
    <w:p w14:paraId="0EBE4B7B" w14:textId="77777777" w:rsidR="00C64F6A" w:rsidRDefault="00C64F6A" w:rsidP="00C64F6A">
      <w:pPr>
        <w:spacing w:line="278" w:lineRule="auto"/>
        <w:jc w:val="left"/>
        <w:rPr>
          <w:b/>
          <w:bCs/>
          <w:sz w:val="28"/>
          <w:szCs w:val="28"/>
        </w:rPr>
      </w:pPr>
    </w:p>
    <w:p w14:paraId="35625DB7" w14:textId="77777777" w:rsidR="00C64F6A" w:rsidRDefault="00C64F6A" w:rsidP="00C64F6A">
      <w:pPr>
        <w:spacing w:line="278" w:lineRule="auto"/>
        <w:jc w:val="left"/>
        <w:rPr>
          <w:b/>
          <w:bCs/>
          <w:sz w:val="28"/>
          <w:szCs w:val="28"/>
        </w:rPr>
      </w:pPr>
    </w:p>
    <w:p w14:paraId="19B1F985" w14:textId="77777777" w:rsidR="00C64F6A" w:rsidRDefault="00C64F6A" w:rsidP="00C64F6A">
      <w:pPr>
        <w:spacing w:line="278" w:lineRule="auto"/>
        <w:jc w:val="left"/>
        <w:rPr>
          <w:b/>
          <w:bCs/>
          <w:sz w:val="28"/>
          <w:szCs w:val="28"/>
        </w:rPr>
      </w:pPr>
    </w:p>
    <w:p w14:paraId="5BBE1418" w14:textId="77777777" w:rsidR="00C64F6A" w:rsidRDefault="00C64F6A" w:rsidP="00C64F6A">
      <w:pPr>
        <w:spacing w:line="278" w:lineRule="auto"/>
        <w:jc w:val="left"/>
        <w:rPr>
          <w:b/>
          <w:bCs/>
          <w:sz w:val="28"/>
          <w:szCs w:val="28"/>
        </w:rPr>
      </w:pPr>
    </w:p>
    <w:p w14:paraId="2615C013" w14:textId="77777777" w:rsidR="00C64F6A" w:rsidRDefault="00C64F6A" w:rsidP="00C64F6A">
      <w:pPr>
        <w:spacing w:line="278" w:lineRule="auto"/>
        <w:jc w:val="left"/>
        <w:rPr>
          <w:b/>
          <w:bCs/>
          <w:sz w:val="28"/>
          <w:szCs w:val="28"/>
        </w:rPr>
      </w:pPr>
    </w:p>
    <w:p w14:paraId="2B766D33" w14:textId="77777777" w:rsidR="00C64F6A" w:rsidRDefault="00C64F6A" w:rsidP="00C64F6A">
      <w:pPr>
        <w:spacing w:line="278" w:lineRule="auto"/>
        <w:jc w:val="left"/>
        <w:rPr>
          <w:b/>
          <w:bCs/>
          <w:sz w:val="28"/>
          <w:szCs w:val="28"/>
        </w:rPr>
      </w:pPr>
    </w:p>
    <w:p w14:paraId="7947FE43" w14:textId="77777777" w:rsidR="00C64F6A" w:rsidRDefault="00C64F6A" w:rsidP="00C64F6A">
      <w:pPr>
        <w:spacing w:line="278" w:lineRule="auto"/>
        <w:jc w:val="left"/>
        <w:rPr>
          <w:b/>
          <w:bCs/>
          <w:sz w:val="28"/>
          <w:szCs w:val="28"/>
        </w:rPr>
      </w:pPr>
    </w:p>
    <w:p w14:paraId="59F24E25" w14:textId="77777777" w:rsidR="00C64F6A" w:rsidRDefault="00C64F6A" w:rsidP="00C64F6A">
      <w:pPr>
        <w:spacing w:line="278" w:lineRule="auto"/>
        <w:jc w:val="left"/>
        <w:rPr>
          <w:b/>
          <w:bCs/>
          <w:sz w:val="28"/>
          <w:szCs w:val="28"/>
        </w:rPr>
      </w:pPr>
    </w:p>
    <w:p w14:paraId="3FACBA62" w14:textId="77777777" w:rsidR="00C64F6A" w:rsidRDefault="00C64F6A" w:rsidP="00C64F6A">
      <w:pPr>
        <w:spacing w:line="278" w:lineRule="auto"/>
        <w:jc w:val="left"/>
        <w:rPr>
          <w:b/>
          <w:bCs/>
          <w:sz w:val="28"/>
          <w:szCs w:val="28"/>
        </w:rPr>
      </w:pPr>
    </w:p>
    <w:p w14:paraId="60770C61" w14:textId="77777777" w:rsidR="00C64F6A" w:rsidRDefault="00C64F6A" w:rsidP="00C64F6A">
      <w:pPr>
        <w:spacing w:line="278" w:lineRule="auto"/>
        <w:jc w:val="left"/>
        <w:rPr>
          <w:b/>
          <w:bCs/>
          <w:sz w:val="28"/>
          <w:szCs w:val="28"/>
        </w:rPr>
      </w:pPr>
    </w:p>
    <w:p w14:paraId="5222C9B7" w14:textId="77777777" w:rsidR="00C64F6A" w:rsidRDefault="00C64F6A" w:rsidP="00C64F6A">
      <w:pPr>
        <w:spacing w:line="278" w:lineRule="auto"/>
        <w:jc w:val="left"/>
        <w:rPr>
          <w:b/>
          <w:bCs/>
          <w:sz w:val="28"/>
          <w:szCs w:val="28"/>
        </w:rPr>
      </w:pPr>
    </w:p>
    <w:p w14:paraId="1BA16193" w14:textId="77777777" w:rsidR="00C64F6A" w:rsidRDefault="00C64F6A" w:rsidP="00C64F6A">
      <w:pPr>
        <w:spacing w:line="278" w:lineRule="auto"/>
        <w:jc w:val="left"/>
        <w:rPr>
          <w:b/>
          <w:bCs/>
          <w:sz w:val="28"/>
          <w:szCs w:val="28"/>
        </w:rPr>
      </w:pPr>
    </w:p>
    <w:p w14:paraId="1929140E" w14:textId="77777777" w:rsidR="00C64F6A" w:rsidRDefault="00C64F6A" w:rsidP="00C64F6A">
      <w:pPr>
        <w:spacing w:line="278" w:lineRule="auto"/>
        <w:jc w:val="left"/>
        <w:rPr>
          <w:b/>
          <w:bCs/>
          <w:sz w:val="28"/>
          <w:szCs w:val="28"/>
        </w:rPr>
      </w:pPr>
    </w:p>
    <w:p w14:paraId="57F313C8" w14:textId="77777777" w:rsidR="00C64F6A" w:rsidRDefault="00C64F6A" w:rsidP="00C64F6A">
      <w:pPr>
        <w:spacing w:line="278" w:lineRule="auto"/>
        <w:jc w:val="left"/>
        <w:rPr>
          <w:b/>
          <w:bCs/>
          <w:sz w:val="28"/>
          <w:szCs w:val="28"/>
        </w:rPr>
      </w:pPr>
    </w:p>
    <w:p w14:paraId="234AD06D" w14:textId="77777777" w:rsidR="00C64F6A" w:rsidRDefault="00C64F6A" w:rsidP="00C64F6A">
      <w:pPr>
        <w:spacing w:line="278" w:lineRule="auto"/>
        <w:jc w:val="left"/>
        <w:rPr>
          <w:b/>
          <w:bCs/>
          <w:sz w:val="28"/>
          <w:szCs w:val="28"/>
        </w:rPr>
      </w:pPr>
    </w:p>
    <w:p w14:paraId="082AA73D" w14:textId="77777777" w:rsidR="00C64F6A" w:rsidRPr="005F57AF" w:rsidRDefault="00C64F6A" w:rsidP="00C64F6A">
      <w:pPr>
        <w:spacing w:line="278" w:lineRule="auto"/>
        <w:jc w:val="left"/>
        <w:rPr>
          <w:b/>
          <w:bCs/>
          <w:sz w:val="28"/>
          <w:szCs w:val="28"/>
        </w:rPr>
      </w:pPr>
    </w:p>
    <w:p w14:paraId="675E8721" w14:textId="77777777" w:rsidR="00C64F6A" w:rsidRDefault="00C64F6A" w:rsidP="00C64F6A">
      <w:pPr>
        <w:spacing w:line="278" w:lineRule="auto"/>
        <w:jc w:val="left"/>
        <w:rPr>
          <w:b/>
          <w:bCs/>
          <w:sz w:val="28"/>
          <w:szCs w:val="28"/>
        </w:rPr>
      </w:pPr>
      <w:r w:rsidRPr="005F57AF">
        <w:rPr>
          <w:b/>
          <w:bCs/>
          <w:sz w:val="28"/>
          <w:szCs w:val="28"/>
        </w:rPr>
        <w:t>List of Figures</w:t>
      </w:r>
    </w:p>
    <w:p w14:paraId="3072F121" w14:textId="77777777" w:rsidR="00C64F6A" w:rsidRDefault="00C64F6A" w:rsidP="00C64F6A">
      <w:pPr>
        <w:pStyle w:val="TableofFigures"/>
        <w:tabs>
          <w:tab w:val="right" w:leader="dot" w:pos="9350"/>
        </w:tabs>
        <w:rPr>
          <w:rFonts w:asciiTheme="minorHAnsi" w:eastAsiaTheme="minorEastAsia" w:hAnsiTheme="minorHAnsi"/>
          <w:noProof/>
          <w:lang w:val="en-US"/>
        </w:rPr>
      </w:pPr>
      <w:r>
        <w:rPr>
          <w:b/>
          <w:bCs/>
          <w:sz w:val="28"/>
          <w:szCs w:val="28"/>
        </w:rPr>
        <w:fldChar w:fldCharType="begin"/>
      </w:r>
      <w:r>
        <w:rPr>
          <w:b/>
          <w:bCs/>
          <w:sz w:val="28"/>
          <w:szCs w:val="28"/>
        </w:rPr>
        <w:instrText xml:space="preserve"> TOC \h \z \c "Figure" </w:instrText>
      </w:r>
      <w:r>
        <w:rPr>
          <w:b/>
          <w:bCs/>
          <w:sz w:val="28"/>
          <w:szCs w:val="28"/>
        </w:rPr>
        <w:fldChar w:fldCharType="separate"/>
      </w:r>
      <w:hyperlink w:anchor="_Toc217212344" w:history="1">
        <w:r w:rsidRPr="0066524C">
          <w:rPr>
            <w:rStyle w:val="Hyperlink"/>
            <w:noProof/>
          </w:rPr>
          <w:t>Figure 1: Financial Ratios to Check Financial Health</w:t>
        </w:r>
        <w:r>
          <w:rPr>
            <w:noProof/>
            <w:webHidden/>
          </w:rPr>
          <w:tab/>
        </w:r>
        <w:r>
          <w:rPr>
            <w:noProof/>
            <w:webHidden/>
          </w:rPr>
          <w:fldChar w:fldCharType="begin"/>
        </w:r>
        <w:r>
          <w:rPr>
            <w:noProof/>
            <w:webHidden/>
          </w:rPr>
          <w:instrText xml:space="preserve"> PAGEREF _Toc217212344 \h </w:instrText>
        </w:r>
        <w:r>
          <w:rPr>
            <w:noProof/>
            <w:webHidden/>
          </w:rPr>
        </w:r>
        <w:r>
          <w:rPr>
            <w:noProof/>
            <w:webHidden/>
          </w:rPr>
          <w:fldChar w:fldCharType="separate"/>
        </w:r>
        <w:r>
          <w:rPr>
            <w:noProof/>
            <w:webHidden/>
          </w:rPr>
          <w:t>7</w:t>
        </w:r>
        <w:r>
          <w:rPr>
            <w:noProof/>
            <w:webHidden/>
          </w:rPr>
          <w:fldChar w:fldCharType="end"/>
        </w:r>
      </w:hyperlink>
    </w:p>
    <w:p w14:paraId="4499474B" w14:textId="77777777" w:rsidR="00C64F6A" w:rsidRDefault="00C64F6A" w:rsidP="00C64F6A">
      <w:pPr>
        <w:pStyle w:val="TableofFigures"/>
        <w:tabs>
          <w:tab w:val="right" w:leader="dot" w:pos="9350"/>
        </w:tabs>
        <w:rPr>
          <w:rFonts w:asciiTheme="minorHAnsi" w:eastAsiaTheme="minorEastAsia" w:hAnsiTheme="minorHAnsi"/>
          <w:noProof/>
          <w:lang w:val="en-US"/>
        </w:rPr>
      </w:pPr>
      <w:hyperlink w:anchor="_Toc217212345" w:history="1">
        <w:r w:rsidRPr="0066524C">
          <w:rPr>
            <w:rStyle w:val="Hyperlink"/>
            <w:noProof/>
          </w:rPr>
          <w:t>Figure 2: Financial Statements Benefits</w:t>
        </w:r>
        <w:r>
          <w:rPr>
            <w:noProof/>
            <w:webHidden/>
          </w:rPr>
          <w:tab/>
        </w:r>
        <w:r>
          <w:rPr>
            <w:noProof/>
            <w:webHidden/>
          </w:rPr>
          <w:fldChar w:fldCharType="begin"/>
        </w:r>
        <w:r>
          <w:rPr>
            <w:noProof/>
            <w:webHidden/>
          </w:rPr>
          <w:instrText xml:space="preserve"> PAGEREF _Toc217212345 \h </w:instrText>
        </w:r>
        <w:r>
          <w:rPr>
            <w:noProof/>
            <w:webHidden/>
          </w:rPr>
        </w:r>
        <w:r>
          <w:rPr>
            <w:noProof/>
            <w:webHidden/>
          </w:rPr>
          <w:fldChar w:fldCharType="separate"/>
        </w:r>
        <w:r>
          <w:rPr>
            <w:noProof/>
            <w:webHidden/>
          </w:rPr>
          <w:t>8</w:t>
        </w:r>
        <w:r>
          <w:rPr>
            <w:noProof/>
            <w:webHidden/>
          </w:rPr>
          <w:fldChar w:fldCharType="end"/>
        </w:r>
      </w:hyperlink>
    </w:p>
    <w:p w14:paraId="4750ECF3" w14:textId="77777777" w:rsidR="00C64F6A" w:rsidRDefault="00C64F6A" w:rsidP="00C64F6A">
      <w:pPr>
        <w:pStyle w:val="TableofFigures"/>
        <w:tabs>
          <w:tab w:val="right" w:leader="dot" w:pos="9350"/>
        </w:tabs>
        <w:rPr>
          <w:rFonts w:asciiTheme="minorHAnsi" w:eastAsiaTheme="minorEastAsia" w:hAnsiTheme="minorHAnsi"/>
          <w:noProof/>
          <w:lang w:val="en-US"/>
        </w:rPr>
      </w:pPr>
      <w:hyperlink w:anchor="_Toc217212346" w:history="1">
        <w:r w:rsidRPr="0066524C">
          <w:rPr>
            <w:rStyle w:val="Hyperlink"/>
            <w:noProof/>
          </w:rPr>
          <w:t>Figure 3: Income Statement Performance Purpose</w:t>
        </w:r>
        <w:r>
          <w:rPr>
            <w:noProof/>
            <w:webHidden/>
          </w:rPr>
          <w:tab/>
        </w:r>
        <w:r>
          <w:rPr>
            <w:noProof/>
            <w:webHidden/>
          </w:rPr>
          <w:fldChar w:fldCharType="begin"/>
        </w:r>
        <w:r>
          <w:rPr>
            <w:noProof/>
            <w:webHidden/>
          </w:rPr>
          <w:instrText xml:space="preserve"> PAGEREF _Toc217212346 \h </w:instrText>
        </w:r>
        <w:r>
          <w:rPr>
            <w:noProof/>
            <w:webHidden/>
          </w:rPr>
        </w:r>
        <w:r>
          <w:rPr>
            <w:noProof/>
            <w:webHidden/>
          </w:rPr>
          <w:fldChar w:fldCharType="separate"/>
        </w:r>
        <w:r>
          <w:rPr>
            <w:noProof/>
            <w:webHidden/>
          </w:rPr>
          <w:t>9</w:t>
        </w:r>
        <w:r>
          <w:rPr>
            <w:noProof/>
            <w:webHidden/>
          </w:rPr>
          <w:fldChar w:fldCharType="end"/>
        </w:r>
      </w:hyperlink>
    </w:p>
    <w:p w14:paraId="069F04EA" w14:textId="77777777" w:rsidR="00C64F6A" w:rsidRDefault="00C64F6A" w:rsidP="00C64F6A">
      <w:pPr>
        <w:pStyle w:val="TableofFigures"/>
        <w:tabs>
          <w:tab w:val="right" w:leader="dot" w:pos="9350"/>
        </w:tabs>
        <w:rPr>
          <w:rFonts w:asciiTheme="minorHAnsi" w:eastAsiaTheme="minorEastAsia" w:hAnsiTheme="minorHAnsi"/>
          <w:noProof/>
          <w:lang w:val="en-US"/>
        </w:rPr>
      </w:pPr>
      <w:hyperlink w:anchor="_Toc217212347" w:history="1">
        <w:r w:rsidRPr="0066524C">
          <w:rPr>
            <w:rStyle w:val="Hyperlink"/>
            <w:noProof/>
          </w:rPr>
          <w:t>Figure 4: Balance Sheet Uses</w:t>
        </w:r>
        <w:r>
          <w:rPr>
            <w:noProof/>
            <w:webHidden/>
          </w:rPr>
          <w:tab/>
        </w:r>
        <w:r>
          <w:rPr>
            <w:noProof/>
            <w:webHidden/>
          </w:rPr>
          <w:fldChar w:fldCharType="begin"/>
        </w:r>
        <w:r>
          <w:rPr>
            <w:noProof/>
            <w:webHidden/>
          </w:rPr>
          <w:instrText xml:space="preserve"> PAGEREF _Toc217212347 \h </w:instrText>
        </w:r>
        <w:r>
          <w:rPr>
            <w:noProof/>
            <w:webHidden/>
          </w:rPr>
        </w:r>
        <w:r>
          <w:rPr>
            <w:noProof/>
            <w:webHidden/>
          </w:rPr>
          <w:fldChar w:fldCharType="separate"/>
        </w:r>
        <w:r>
          <w:rPr>
            <w:noProof/>
            <w:webHidden/>
          </w:rPr>
          <w:t>10</w:t>
        </w:r>
        <w:r>
          <w:rPr>
            <w:noProof/>
            <w:webHidden/>
          </w:rPr>
          <w:fldChar w:fldCharType="end"/>
        </w:r>
      </w:hyperlink>
    </w:p>
    <w:p w14:paraId="1D8C484C" w14:textId="77777777" w:rsidR="00C64F6A" w:rsidRDefault="00C64F6A" w:rsidP="00C64F6A">
      <w:pPr>
        <w:pStyle w:val="TableofFigures"/>
        <w:tabs>
          <w:tab w:val="right" w:leader="dot" w:pos="9350"/>
        </w:tabs>
        <w:rPr>
          <w:rFonts w:asciiTheme="minorHAnsi" w:eastAsiaTheme="minorEastAsia" w:hAnsiTheme="minorHAnsi"/>
          <w:noProof/>
          <w:lang w:val="en-US"/>
        </w:rPr>
      </w:pPr>
      <w:hyperlink w:anchor="_Toc217212348" w:history="1">
        <w:r w:rsidRPr="0066524C">
          <w:rPr>
            <w:rStyle w:val="Hyperlink"/>
            <w:noProof/>
          </w:rPr>
          <w:t>Figure 5: Cash Flow Quality Importance</w:t>
        </w:r>
        <w:r>
          <w:rPr>
            <w:noProof/>
            <w:webHidden/>
          </w:rPr>
          <w:tab/>
        </w:r>
        <w:r>
          <w:rPr>
            <w:noProof/>
            <w:webHidden/>
          </w:rPr>
          <w:fldChar w:fldCharType="begin"/>
        </w:r>
        <w:r>
          <w:rPr>
            <w:noProof/>
            <w:webHidden/>
          </w:rPr>
          <w:instrText xml:space="preserve"> PAGEREF _Toc217212348 \h </w:instrText>
        </w:r>
        <w:r>
          <w:rPr>
            <w:noProof/>
            <w:webHidden/>
          </w:rPr>
        </w:r>
        <w:r>
          <w:rPr>
            <w:noProof/>
            <w:webHidden/>
          </w:rPr>
          <w:fldChar w:fldCharType="separate"/>
        </w:r>
        <w:r>
          <w:rPr>
            <w:noProof/>
            <w:webHidden/>
          </w:rPr>
          <w:t>10</w:t>
        </w:r>
        <w:r>
          <w:rPr>
            <w:noProof/>
            <w:webHidden/>
          </w:rPr>
          <w:fldChar w:fldCharType="end"/>
        </w:r>
      </w:hyperlink>
    </w:p>
    <w:p w14:paraId="29BE436F" w14:textId="77777777" w:rsidR="00C64F6A" w:rsidRDefault="00C64F6A" w:rsidP="00C64F6A">
      <w:pPr>
        <w:pStyle w:val="TableofFigures"/>
        <w:tabs>
          <w:tab w:val="right" w:leader="dot" w:pos="9350"/>
        </w:tabs>
        <w:rPr>
          <w:rFonts w:asciiTheme="minorHAnsi" w:eastAsiaTheme="minorEastAsia" w:hAnsiTheme="minorHAnsi"/>
          <w:noProof/>
          <w:lang w:val="en-US"/>
        </w:rPr>
      </w:pPr>
      <w:hyperlink w:anchor="_Toc217212349" w:history="1">
        <w:r w:rsidRPr="0066524C">
          <w:rPr>
            <w:rStyle w:val="Hyperlink"/>
            <w:noProof/>
          </w:rPr>
          <w:t>Figure 6: Gross Profit, Operating Profit, Net Profit Margins</w:t>
        </w:r>
        <w:r>
          <w:rPr>
            <w:noProof/>
            <w:webHidden/>
          </w:rPr>
          <w:tab/>
        </w:r>
        <w:r>
          <w:rPr>
            <w:noProof/>
            <w:webHidden/>
          </w:rPr>
          <w:fldChar w:fldCharType="begin"/>
        </w:r>
        <w:r>
          <w:rPr>
            <w:noProof/>
            <w:webHidden/>
          </w:rPr>
          <w:instrText xml:space="preserve"> PAGEREF _Toc217212349 \h </w:instrText>
        </w:r>
        <w:r>
          <w:rPr>
            <w:noProof/>
            <w:webHidden/>
          </w:rPr>
        </w:r>
        <w:r>
          <w:rPr>
            <w:noProof/>
            <w:webHidden/>
          </w:rPr>
          <w:fldChar w:fldCharType="separate"/>
        </w:r>
        <w:r>
          <w:rPr>
            <w:noProof/>
            <w:webHidden/>
          </w:rPr>
          <w:t>11</w:t>
        </w:r>
        <w:r>
          <w:rPr>
            <w:noProof/>
            <w:webHidden/>
          </w:rPr>
          <w:fldChar w:fldCharType="end"/>
        </w:r>
      </w:hyperlink>
    </w:p>
    <w:p w14:paraId="032DB92B" w14:textId="77777777" w:rsidR="00C64F6A" w:rsidRDefault="00C64F6A" w:rsidP="00C64F6A">
      <w:pPr>
        <w:pStyle w:val="TableofFigures"/>
        <w:tabs>
          <w:tab w:val="right" w:leader="dot" w:pos="9350"/>
        </w:tabs>
        <w:rPr>
          <w:rFonts w:asciiTheme="minorHAnsi" w:eastAsiaTheme="minorEastAsia" w:hAnsiTheme="minorHAnsi"/>
          <w:noProof/>
          <w:lang w:val="en-US"/>
        </w:rPr>
      </w:pPr>
      <w:hyperlink w:anchor="_Toc217212350" w:history="1">
        <w:r w:rsidRPr="0066524C">
          <w:rPr>
            <w:rStyle w:val="Hyperlink"/>
            <w:noProof/>
          </w:rPr>
          <w:t>Figure 7: ROA and ROE</w:t>
        </w:r>
        <w:r>
          <w:rPr>
            <w:noProof/>
            <w:webHidden/>
          </w:rPr>
          <w:tab/>
        </w:r>
        <w:r>
          <w:rPr>
            <w:noProof/>
            <w:webHidden/>
          </w:rPr>
          <w:fldChar w:fldCharType="begin"/>
        </w:r>
        <w:r>
          <w:rPr>
            <w:noProof/>
            <w:webHidden/>
          </w:rPr>
          <w:instrText xml:space="preserve"> PAGEREF _Toc217212350 \h </w:instrText>
        </w:r>
        <w:r>
          <w:rPr>
            <w:noProof/>
            <w:webHidden/>
          </w:rPr>
        </w:r>
        <w:r>
          <w:rPr>
            <w:noProof/>
            <w:webHidden/>
          </w:rPr>
          <w:fldChar w:fldCharType="separate"/>
        </w:r>
        <w:r>
          <w:rPr>
            <w:noProof/>
            <w:webHidden/>
          </w:rPr>
          <w:t>12</w:t>
        </w:r>
        <w:r>
          <w:rPr>
            <w:noProof/>
            <w:webHidden/>
          </w:rPr>
          <w:fldChar w:fldCharType="end"/>
        </w:r>
      </w:hyperlink>
    </w:p>
    <w:p w14:paraId="0C2550CF" w14:textId="77777777" w:rsidR="00C64F6A" w:rsidRDefault="00C64F6A" w:rsidP="00C64F6A">
      <w:pPr>
        <w:pStyle w:val="TableofFigures"/>
        <w:tabs>
          <w:tab w:val="right" w:leader="dot" w:pos="9350"/>
        </w:tabs>
        <w:rPr>
          <w:rFonts w:asciiTheme="minorHAnsi" w:eastAsiaTheme="minorEastAsia" w:hAnsiTheme="minorHAnsi"/>
          <w:noProof/>
          <w:lang w:val="en-US"/>
        </w:rPr>
      </w:pPr>
      <w:hyperlink w:anchor="_Toc217212351" w:history="1">
        <w:r w:rsidRPr="0066524C">
          <w:rPr>
            <w:rStyle w:val="Hyperlink"/>
            <w:noProof/>
          </w:rPr>
          <w:t>Figure 8: Liquidity Ratios</w:t>
        </w:r>
        <w:r>
          <w:rPr>
            <w:noProof/>
            <w:webHidden/>
          </w:rPr>
          <w:tab/>
        </w:r>
        <w:r>
          <w:rPr>
            <w:noProof/>
            <w:webHidden/>
          </w:rPr>
          <w:fldChar w:fldCharType="begin"/>
        </w:r>
        <w:r>
          <w:rPr>
            <w:noProof/>
            <w:webHidden/>
          </w:rPr>
          <w:instrText xml:space="preserve"> PAGEREF _Toc217212351 \h </w:instrText>
        </w:r>
        <w:r>
          <w:rPr>
            <w:noProof/>
            <w:webHidden/>
          </w:rPr>
        </w:r>
        <w:r>
          <w:rPr>
            <w:noProof/>
            <w:webHidden/>
          </w:rPr>
          <w:fldChar w:fldCharType="separate"/>
        </w:r>
        <w:r>
          <w:rPr>
            <w:noProof/>
            <w:webHidden/>
          </w:rPr>
          <w:t>13</w:t>
        </w:r>
        <w:r>
          <w:rPr>
            <w:noProof/>
            <w:webHidden/>
          </w:rPr>
          <w:fldChar w:fldCharType="end"/>
        </w:r>
      </w:hyperlink>
    </w:p>
    <w:p w14:paraId="0E99D2CC" w14:textId="77777777" w:rsidR="00C64F6A" w:rsidRDefault="00C64F6A" w:rsidP="00C64F6A">
      <w:pPr>
        <w:pStyle w:val="TableofFigures"/>
        <w:tabs>
          <w:tab w:val="right" w:leader="dot" w:pos="9350"/>
        </w:tabs>
        <w:rPr>
          <w:rFonts w:asciiTheme="minorHAnsi" w:eastAsiaTheme="minorEastAsia" w:hAnsiTheme="minorHAnsi"/>
          <w:noProof/>
          <w:lang w:val="en-US"/>
        </w:rPr>
      </w:pPr>
      <w:hyperlink w:anchor="_Toc217212352" w:history="1">
        <w:r w:rsidRPr="0066524C">
          <w:rPr>
            <w:rStyle w:val="Hyperlink"/>
            <w:noProof/>
          </w:rPr>
          <w:t>Figure 9: Efficiency Ratios</w:t>
        </w:r>
        <w:r>
          <w:rPr>
            <w:noProof/>
            <w:webHidden/>
          </w:rPr>
          <w:tab/>
        </w:r>
        <w:r>
          <w:rPr>
            <w:noProof/>
            <w:webHidden/>
          </w:rPr>
          <w:fldChar w:fldCharType="begin"/>
        </w:r>
        <w:r>
          <w:rPr>
            <w:noProof/>
            <w:webHidden/>
          </w:rPr>
          <w:instrText xml:space="preserve"> PAGEREF _Toc217212352 \h </w:instrText>
        </w:r>
        <w:r>
          <w:rPr>
            <w:noProof/>
            <w:webHidden/>
          </w:rPr>
        </w:r>
        <w:r>
          <w:rPr>
            <w:noProof/>
            <w:webHidden/>
          </w:rPr>
          <w:fldChar w:fldCharType="separate"/>
        </w:r>
        <w:r>
          <w:rPr>
            <w:noProof/>
            <w:webHidden/>
          </w:rPr>
          <w:t>14</w:t>
        </w:r>
        <w:r>
          <w:rPr>
            <w:noProof/>
            <w:webHidden/>
          </w:rPr>
          <w:fldChar w:fldCharType="end"/>
        </w:r>
      </w:hyperlink>
    </w:p>
    <w:p w14:paraId="3E388C0E" w14:textId="77777777" w:rsidR="00C64F6A" w:rsidRDefault="00C64F6A" w:rsidP="00C64F6A">
      <w:pPr>
        <w:pStyle w:val="TableofFigures"/>
        <w:tabs>
          <w:tab w:val="right" w:leader="dot" w:pos="9350"/>
        </w:tabs>
        <w:rPr>
          <w:rFonts w:asciiTheme="minorHAnsi" w:eastAsiaTheme="minorEastAsia" w:hAnsiTheme="minorHAnsi"/>
          <w:noProof/>
          <w:lang w:val="en-US"/>
        </w:rPr>
      </w:pPr>
      <w:hyperlink w:anchor="_Toc217212353" w:history="1">
        <w:r w:rsidRPr="0066524C">
          <w:rPr>
            <w:rStyle w:val="Hyperlink"/>
            <w:noProof/>
          </w:rPr>
          <w:t>Figure 10: Debt, Equity Ratios</w:t>
        </w:r>
        <w:r>
          <w:rPr>
            <w:noProof/>
            <w:webHidden/>
          </w:rPr>
          <w:tab/>
        </w:r>
        <w:r>
          <w:rPr>
            <w:noProof/>
            <w:webHidden/>
          </w:rPr>
          <w:fldChar w:fldCharType="begin"/>
        </w:r>
        <w:r>
          <w:rPr>
            <w:noProof/>
            <w:webHidden/>
          </w:rPr>
          <w:instrText xml:space="preserve"> PAGEREF _Toc217212353 \h </w:instrText>
        </w:r>
        <w:r>
          <w:rPr>
            <w:noProof/>
            <w:webHidden/>
          </w:rPr>
        </w:r>
        <w:r>
          <w:rPr>
            <w:noProof/>
            <w:webHidden/>
          </w:rPr>
          <w:fldChar w:fldCharType="separate"/>
        </w:r>
        <w:r>
          <w:rPr>
            <w:noProof/>
            <w:webHidden/>
          </w:rPr>
          <w:t>15</w:t>
        </w:r>
        <w:r>
          <w:rPr>
            <w:noProof/>
            <w:webHidden/>
          </w:rPr>
          <w:fldChar w:fldCharType="end"/>
        </w:r>
      </w:hyperlink>
    </w:p>
    <w:p w14:paraId="1A61C945" w14:textId="77777777" w:rsidR="00C64F6A" w:rsidRDefault="00C64F6A" w:rsidP="00C64F6A">
      <w:pPr>
        <w:pStyle w:val="TableofFigures"/>
        <w:tabs>
          <w:tab w:val="right" w:leader="dot" w:pos="9350"/>
        </w:tabs>
        <w:rPr>
          <w:rFonts w:asciiTheme="minorHAnsi" w:eastAsiaTheme="minorEastAsia" w:hAnsiTheme="minorHAnsi"/>
          <w:noProof/>
          <w:lang w:val="en-US"/>
        </w:rPr>
      </w:pPr>
      <w:hyperlink w:anchor="_Toc217212354" w:history="1">
        <w:r w:rsidRPr="0066524C">
          <w:rPr>
            <w:rStyle w:val="Hyperlink"/>
            <w:noProof/>
          </w:rPr>
          <w:t>Figure 11: Debt to Equity Ratio and Interest Coverage Ratio</w:t>
        </w:r>
        <w:r>
          <w:rPr>
            <w:noProof/>
            <w:webHidden/>
          </w:rPr>
          <w:tab/>
        </w:r>
        <w:r>
          <w:rPr>
            <w:noProof/>
            <w:webHidden/>
          </w:rPr>
          <w:fldChar w:fldCharType="begin"/>
        </w:r>
        <w:r>
          <w:rPr>
            <w:noProof/>
            <w:webHidden/>
          </w:rPr>
          <w:instrText xml:space="preserve"> PAGEREF _Toc217212354 \h </w:instrText>
        </w:r>
        <w:r>
          <w:rPr>
            <w:noProof/>
            <w:webHidden/>
          </w:rPr>
        </w:r>
        <w:r>
          <w:rPr>
            <w:noProof/>
            <w:webHidden/>
          </w:rPr>
          <w:fldChar w:fldCharType="separate"/>
        </w:r>
        <w:r>
          <w:rPr>
            <w:noProof/>
            <w:webHidden/>
          </w:rPr>
          <w:t>15</w:t>
        </w:r>
        <w:r>
          <w:rPr>
            <w:noProof/>
            <w:webHidden/>
          </w:rPr>
          <w:fldChar w:fldCharType="end"/>
        </w:r>
      </w:hyperlink>
    </w:p>
    <w:p w14:paraId="3473257F" w14:textId="77777777" w:rsidR="00C64F6A" w:rsidRDefault="00C64F6A" w:rsidP="00C64F6A">
      <w:pPr>
        <w:pStyle w:val="TableofFigures"/>
        <w:tabs>
          <w:tab w:val="right" w:leader="dot" w:pos="9350"/>
        </w:tabs>
        <w:rPr>
          <w:rFonts w:asciiTheme="minorHAnsi" w:eastAsiaTheme="minorEastAsia" w:hAnsiTheme="minorHAnsi"/>
          <w:noProof/>
          <w:lang w:val="en-US"/>
        </w:rPr>
      </w:pPr>
      <w:hyperlink w:anchor="_Toc217212355" w:history="1">
        <w:r w:rsidRPr="0066524C">
          <w:rPr>
            <w:rStyle w:val="Hyperlink"/>
            <w:noProof/>
          </w:rPr>
          <w:t>Figure 12: Earnings per Share (£)</w:t>
        </w:r>
        <w:r>
          <w:rPr>
            <w:noProof/>
            <w:webHidden/>
          </w:rPr>
          <w:tab/>
        </w:r>
        <w:r>
          <w:rPr>
            <w:noProof/>
            <w:webHidden/>
          </w:rPr>
          <w:fldChar w:fldCharType="begin"/>
        </w:r>
        <w:r>
          <w:rPr>
            <w:noProof/>
            <w:webHidden/>
          </w:rPr>
          <w:instrText xml:space="preserve"> PAGEREF _Toc217212355 \h </w:instrText>
        </w:r>
        <w:r>
          <w:rPr>
            <w:noProof/>
            <w:webHidden/>
          </w:rPr>
        </w:r>
        <w:r>
          <w:rPr>
            <w:noProof/>
            <w:webHidden/>
          </w:rPr>
          <w:fldChar w:fldCharType="separate"/>
        </w:r>
        <w:r>
          <w:rPr>
            <w:noProof/>
            <w:webHidden/>
          </w:rPr>
          <w:t>16</w:t>
        </w:r>
        <w:r>
          <w:rPr>
            <w:noProof/>
            <w:webHidden/>
          </w:rPr>
          <w:fldChar w:fldCharType="end"/>
        </w:r>
      </w:hyperlink>
    </w:p>
    <w:p w14:paraId="40725347" w14:textId="77777777" w:rsidR="00C64F6A" w:rsidRDefault="00C64F6A" w:rsidP="00C64F6A">
      <w:pPr>
        <w:pStyle w:val="TableofFigures"/>
        <w:tabs>
          <w:tab w:val="right" w:leader="dot" w:pos="9350"/>
        </w:tabs>
        <w:rPr>
          <w:rFonts w:asciiTheme="minorHAnsi" w:eastAsiaTheme="minorEastAsia" w:hAnsiTheme="minorHAnsi"/>
          <w:noProof/>
          <w:lang w:val="en-US"/>
        </w:rPr>
      </w:pPr>
      <w:hyperlink w:anchor="_Toc217212356" w:history="1">
        <w:r w:rsidRPr="0066524C">
          <w:rPr>
            <w:rStyle w:val="Hyperlink"/>
            <w:noProof/>
          </w:rPr>
          <w:t>Figure 13: Operating Cash Flow Ratio and Cash Flow to Debt Ratio</w:t>
        </w:r>
        <w:r>
          <w:rPr>
            <w:noProof/>
            <w:webHidden/>
          </w:rPr>
          <w:tab/>
        </w:r>
        <w:r>
          <w:rPr>
            <w:noProof/>
            <w:webHidden/>
          </w:rPr>
          <w:fldChar w:fldCharType="begin"/>
        </w:r>
        <w:r>
          <w:rPr>
            <w:noProof/>
            <w:webHidden/>
          </w:rPr>
          <w:instrText xml:space="preserve"> PAGEREF _Toc217212356 \h </w:instrText>
        </w:r>
        <w:r>
          <w:rPr>
            <w:noProof/>
            <w:webHidden/>
          </w:rPr>
        </w:r>
        <w:r>
          <w:rPr>
            <w:noProof/>
            <w:webHidden/>
          </w:rPr>
          <w:fldChar w:fldCharType="separate"/>
        </w:r>
        <w:r>
          <w:rPr>
            <w:noProof/>
            <w:webHidden/>
          </w:rPr>
          <w:t>17</w:t>
        </w:r>
        <w:r>
          <w:rPr>
            <w:noProof/>
            <w:webHidden/>
          </w:rPr>
          <w:fldChar w:fldCharType="end"/>
        </w:r>
      </w:hyperlink>
    </w:p>
    <w:p w14:paraId="7CF191F9" w14:textId="77777777" w:rsidR="00C64F6A" w:rsidRDefault="00C64F6A" w:rsidP="00C64F6A">
      <w:pPr>
        <w:pStyle w:val="TableofFigures"/>
        <w:tabs>
          <w:tab w:val="right" w:leader="dot" w:pos="9350"/>
        </w:tabs>
        <w:rPr>
          <w:rFonts w:asciiTheme="minorHAnsi" w:eastAsiaTheme="minorEastAsia" w:hAnsiTheme="minorHAnsi"/>
          <w:noProof/>
          <w:lang w:val="en-US"/>
        </w:rPr>
      </w:pPr>
      <w:hyperlink w:anchor="_Toc217212357" w:history="1">
        <w:r w:rsidRPr="0066524C">
          <w:rPr>
            <w:rStyle w:val="Hyperlink"/>
            <w:noProof/>
          </w:rPr>
          <w:t>Figure 14: Free Cash Flow (FCF)</w:t>
        </w:r>
        <w:r>
          <w:rPr>
            <w:noProof/>
            <w:webHidden/>
          </w:rPr>
          <w:tab/>
        </w:r>
        <w:r>
          <w:rPr>
            <w:noProof/>
            <w:webHidden/>
          </w:rPr>
          <w:fldChar w:fldCharType="begin"/>
        </w:r>
        <w:r>
          <w:rPr>
            <w:noProof/>
            <w:webHidden/>
          </w:rPr>
          <w:instrText xml:space="preserve"> PAGEREF _Toc217212357 \h </w:instrText>
        </w:r>
        <w:r>
          <w:rPr>
            <w:noProof/>
            <w:webHidden/>
          </w:rPr>
        </w:r>
        <w:r>
          <w:rPr>
            <w:noProof/>
            <w:webHidden/>
          </w:rPr>
          <w:fldChar w:fldCharType="separate"/>
        </w:r>
        <w:r>
          <w:rPr>
            <w:noProof/>
            <w:webHidden/>
          </w:rPr>
          <w:t>17</w:t>
        </w:r>
        <w:r>
          <w:rPr>
            <w:noProof/>
            <w:webHidden/>
          </w:rPr>
          <w:fldChar w:fldCharType="end"/>
        </w:r>
      </w:hyperlink>
    </w:p>
    <w:p w14:paraId="5A79ECB9" w14:textId="77777777" w:rsidR="00C64F6A" w:rsidRDefault="00C64F6A" w:rsidP="00C64F6A">
      <w:pPr>
        <w:pStyle w:val="TableofFigures"/>
        <w:tabs>
          <w:tab w:val="right" w:leader="dot" w:pos="9350"/>
        </w:tabs>
        <w:rPr>
          <w:rFonts w:asciiTheme="minorHAnsi" w:eastAsiaTheme="minorEastAsia" w:hAnsiTheme="minorHAnsi"/>
          <w:noProof/>
          <w:lang w:val="en-US"/>
        </w:rPr>
      </w:pPr>
      <w:hyperlink w:anchor="_Toc217212358" w:history="1">
        <w:r w:rsidRPr="0066524C">
          <w:rPr>
            <w:rStyle w:val="Hyperlink"/>
            <w:noProof/>
          </w:rPr>
          <w:t>Figure 15: OCF to Net Income</w:t>
        </w:r>
        <w:r>
          <w:rPr>
            <w:noProof/>
            <w:webHidden/>
          </w:rPr>
          <w:tab/>
        </w:r>
        <w:r>
          <w:rPr>
            <w:noProof/>
            <w:webHidden/>
          </w:rPr>
          <w:fldChar w:fldCharType="begin"/>
        </w:r>
        <w:r>
          <w:rPr>
            <w:noProof/>
            <w:webHidden/>
          </w:rPr>
          <w:instrText xml:space="preserve"> PAGEREF _Toc217212358 \h </w:instrText>
        </w:r>
        <w:r>
          <w:rPr>
            <w:noProof/>
            <w:webHidden/>
          </w:rPr>
        </w:r>
        <w:r>
          <w:rPr>
            <w:noProof/>
            <w:webHidden/>
          </w:rPr>
          <w:fldChar w:fldCharType="separate"/>
        </w:r>
        <w:r>
          <w:rPr>
            <w:noProof/>
            <w:webHidden/>
          </w:rPr>
          <w:t>18</w:t>
        </w:r>
        <w:r>
          <w:rPr>
            <w:noProof/>
            <w:webHidden/>
          </w:rPr>
          <w:fldChar w:fldCharType="end"/>
        </w:r>
      </w:hyperlink>
    </w:p>
    <w:p w14:paraId="127B6B5F" w14:textId="77777777" w:rsidR="00C64F6A" w:rsidRDefault="00C64F6A" w:rsidP="00C64F6A">
      <w:pPr>
        <w:pStyle w:val="TableofFigures"/>
        <w:tabs>
          <w:tab w:val="right" w:leader="dot" w:pos="9350"/>
        </w:tabs>
        <w:rPr>
          <w:rFonts w:asciiTheme="minorHAnsi" w:eastAsiaTheme="minorEastAsia" w:hAnsiTheme="minorHAnsi"/>
          <w:noProof/>
          <w:lang w:val="en-US"/>
        </w:rPr>
      </w:pPr>
      <w:hyperlink w:anchor="_Toc217212359" w:history="1">
        <w:r w:rsidRPr="0066524C">
          <w:rPr>
            <w:rStyle w:val="Hyperlink"/>
            <w:noProof/>
          </w:rPr>
          <w:t>Figure 16: Working Capital Management</w:t>
        </w:r>
        <w:r>
          <w:rPr>
            <w:noProof/>
            <w:webHidden/>
          </w:rPr>
          <w:tab/>
        </w:r>
        <w:r>
          <w:rPr>
            <w:noProof/>
            <w:webHidden/>
          </w:rPr>
          <w:fldChar w:fldCharType="begin"/>
        </w:r>
        <w:r>
          <w:rPr>
            <w:noProof/>
            <w:webHidden/>
          </w:rPr>
          <w:instrText xml:space="preserve"> PAGEREF _Toc217212359 \h </w:instrText>
        </w:r>
        <w:r>
          <w:rPr>
            <w:noProof/>
            <w:webHidden/>
          </w:rPr>
        </w:r>
        <w:r>
          <w:rPr>
            <w:noProof/>
            <w:webHidden/>
          </w:rPr>
          <w:fldChar w:fldCharType="separate"/>
        </w:r>
        <w:r>
          <w:rPr>
            <w:noProof/>
            <w:webHidden/>
          </w:rPr>
          <w:t>21</w:t>
        </w:r>
        <w:r>
          <w:rPr>
            <w:noProof/>
            <w:webHidden/>
          </w:rPr>
          <w:fldChar w:fldCharType="end"/>
        </w:r>
      </w:hyperlink>
    </w:p>
    <w:p w14:paraId="23D2E026" w14:textId="77777777" w:rsidR="00C64F6A" w:rsidRDefault="00C64F6A" w:rsidP="00C64F6A">
      <w:pPr>
        <w:pStyle w:val="TableofFigures"/>
        <w:tabs>
          <w:tab w:val="right" w:leader="dot" w:pos="9350"/>
        </w:tabs>
        <w:rPr>
          <w:rFonts w:asciiTheme="minorHAnsi" w:eastAsiaTheme="minorEastAsia" w:hAnsiTheme="minorHAnsi"/>
          <w:noProof/>
          <w:lang w:val="en-US"/>
        </w:rPr>
      </w:pPr>
      <w:hyperlink w:anchor="_Toc217212360" w:history="1">
        <w:r w:rsidRPr="0066524C">
          <w:rPr>
            <w:rStyle w:val="Hyperlink"/>
            <w:noProof/>
          </w:rPr>
          <w:t>Figure 17: Cash Operating Cycle Summary</w:t>
        </w:r>
        <w:r>
          <w:rPr>
            <w:noProof/>
            <w:webHidden/>
          </w:rPr>
          <w:tab/>
        </w:r>
        <w:r>
          <w:rPr>
            <w:noProof/>
            <w:webHidden/>
          </w:rPr>
          <w:fldChar w:fldCharType="begin"/>
        </w:r>
        <w:r>
          <w:rPr>
            <w:noProof/>
            <w:webHidden/>
          </w:rPr>
          <w:instrText xml:space="preserve"> PAGEREF _Toc217212360 \h </w:instrText>
        </w:r>
        <w:r>
          <w:rPr>
            <w:noProof/>
            <w:webHidden/>
          </w:rPr>
        </w:r>
        <w:r>
          <w:rPr>
            <w:noProof/>
            <w:webHidden/>
          </w:rPr>
          <w:fldChar w:fldCharType="separate"/>
        </w:r>
        <w:r>
          <w:rPr>
            <w:noProof/>
            <w:webHidden/>
          </w:rPr>
          <w:t>21</w:t>
        </w:r>
        <w:r>
          <w:rPr>
            <w:noProof/>
            <w:webHidden/>
          </w:rPr>
          <w:fldChar w:fldCharType="end"/>
        </w:r>
      </w:hyperlink>
    </w:p>
    <w:p w14:paraId="6BEDD3F7" w14:textId="77777777" w:rsidR="00C64F6A" w:rsidRDefault="00C64F6A" w:rsidP="00C64F6A">
      <w:pPr>
        <w:pStyle w:val="TableofFigures"/>
        <w:tabs>
          <w:tab w:val="right" w:leader="dot" w:pos="9350"/>
        </w:tabs>
        <w:rPr>
          <w:rFonts w:asciiTheme="minorHAnsi" w:eastAsiaTheme="minorEastAsia" w:hAnsiTheme="minorHAnsi"/>
          <w:noProof/>
          <w:lang w:val="en-US"/>
        </w:rPr>
      </w:pPr>
      <w:hyperlink w:anchor="_Toc217212361" w:history="1">
        <w:r w:rsidRPr="0066524C">
          <w:rPr>
            <w:rStyle w:val="Hyperlink"/>
            <w:noProof/>
          </w:rPr>
          <w:t>Figure 18: Cash Conversion Cycle (days)</w:t>
        </w:r>
        <w:r>
          <w:rPr>
            <w:noProof/>
            <w:webHidden/>
          </w:rPr>
          <w:tab/>
        </w:r>
        <w:r>
          <w:rPr>
            <w:noProof/>
            <w:webHidden/>
          </w:rPr>
          <w:fldChar w:fldCharType="begin"/>
        </w:r>
        <w:r>
          <w:rPr>
            <w:noProof/>
            <w:webHidden/>
          </w:rPr>
          <w:instrText xml:space="preserve"> PAGEREF _Toc217212361 \h </w:instrText>
        </w:r>
        <w:r>
          <w:rPr>
            <w:noProof/>
            <w:webHidden/>
          </w:rPr>
        </w:r>
        <w:r>
          <w:rPr>
            <w:noProof/>
            <w:webHidden/>
          </w:rPr>
          <w:fldChar w:fldCharType="separate"/>
        </w:r>
        <w:r>
          <w:rPr>
            <w:noProof/>
            <w:webHidden/>
          </w:rPr>
          <w:t>22</w:t>
        </w:r>
        <w:r>
          <w:rPr>
            <w:noProof/>
            <w:webHidden/>
          </w:rPr>
          <w:fldChar w:fldCharType="end"/>
        </w:r>
      </w:hyperlink>
    </w:p>
    <w:p w14:paraId="1DE9937C" w14:textId="77777777" w:rsidR="00C64F6A" w:rsidRDefault="00C64F6A" w:rsidP="00C64F6A">
      <w:pPr>
        <w:pStyle w:val="TableofFigures"/>
        <w:tabs>
          <w:tab w:val="right" w:leader="dot" w:pos="9350"/>
        </w:tabs>
        <w:rPr>
          <w:rFonts w:asciiTheme="minorHAnsi" w:eastAsiaTheme="minorEastAsia" w:hAnsiTheme="minorHAnsi"/>
          <w:noProof/>
          <w:lang w:val="en-US"/>
        </w:rPr>
      </w:pPr>
      <w:hyperlink w:anchor="_Toc217212362" w:history="1">
        <w:r w:rsidRPr="0066524C">
          <w:rPr>
            <w:rStyle w:val="Hyperlink"/>
            <w:noProof/>
          </w:rPr>
          <w:t>Figure 19: DSO (days)</w:t>
        </w:r>
        <w:r>
          <w:rPr>
            <w:noProof/>
            <w:webHidden/>
          </w:rPr>
          <w:tab/>
        </w:r>
        <w:r>
          <w:rPr>
            <w:noProof/>
            <w:webHidden/>
          </w:rPr>
          <w:fldChar w:fldCharType="begin"/>
        </w:r>
        <w:r>
          <w:rPr>
            <w:noProof/>
            <w:webHidden/>
          </w:rPr>
          <w:instrText xml:space="preserve"> PAGEREF _Toc217212362 \h </w:instrText>
        </w:r>
        <w:r>
          <w:rPr>
            <w:noProof/>
            <w:webHidden/>
          </w:rPr>
        </w:r>
        <w:r>
          <w:rPr>
            <w:noProof/>
            <w:webHidden/>
          </w:rPr>
          <w:fldChar w:fldCharType="separate"/>
        </w:r>
        <w:r>
          <w:rPr>
            <w:noProof/>
            <w:webHidden/>
          </w:rPr>
          <w:t>23</w:t>
        </w:r>
        <w:r>
          <w:rPr>
            <w:noProof/>
            <w:webHidden/>
          </w:rPr>
          <w:fldChar w:fldCharType="end"/>
        </w:r>
      </w:hyperlink>
    </w:p>
    <w:p w14:paraId="24CBAD20" w14:textId="77777777" w:rsidR="00C64F6A" w:rsidRDefault="00C64F6A" w:rsidP="00C64F6A">
      <w:pPr>
        <w:pStyle w:val="TableofFigures"/>
        <w:tabs>
          <w:tab w:val="right" w:leader="dot" w:pos="9350"/>
        </w:tabs>
        <w:rPr>
          <w:rFonts w:asciiTheme="minorHAnsi" w:eastAsiaTheme="minorEastAsia" w:hAnsiTheme="minorHAnsi"/>
          <w:noProof/>
          <w:lang w:val="en-US"/>
        </w:rPr>
      </w:pPr>
      <w:hyperlink w:anchor="_Toc217212363" w:history="1">
        <w:r w:rsidRPr="0066524C">
          <w:rPr>
            <w:rStyle w:val="Hyperlink"/>
            <w:noProof/>
          </w:rPr>
          <w:t>Figure 20: DIO (days)</w:t>
        </w:r>
        <w:r>
          <w:rPr>
            <w:noProof/>
            <w:webHidden/>
          </w:rPr>
          <w:tab/>
        </w:r>
        <w:r>
          <w:rPr>
            <w:noProof/>
            <w:webHidden/>
          </w:rPr>
          <w:fldChar w:fldCharType="begin"/>
        </w:r>
        <w:r>
          <w:rPr>
            <w:noProof/>
            <w:webHidden/>
          </w:rPr>
          <w:instrText xml:space="preserve"> PAGEREF _Toc217212363 \h </w:instrText>
        </w:r>
        <w:r>
          <w:rPr>
            <w:noProof/>
            <w:webHidden/>
          </w:rPr>
        </w:r>
        <w:r>
          <w:rPr>
            <w:noProof/>
            <w:webHidden/>
          </w:rPr>
          <w:fldChar w:fldCharType="separate"/>
        </w:r>
        <w:r>
          <w:rPr>
            <w:noProof/>
            <w:webHidden/>
          </w:rPr>
          <w:t>23</w:t>
        </w:r>
        <w:r>
          <w:rPr>
            <w:noProof/>
            <w:webHidden/>
          </w:rPr>
          <w:fldChar w:fldCharType="end"/>
        </w:r>
      </w:hyperlink>
    </w:p>
    <w:p w14:paraId="34BD7D7E" w14:textId="77777777" w:rsidR="00C64F6A" w:rsidRDefault="00C64F6A" w:rsidP="00C64F6A">
      <w:pPr>
        <w:pStyle w:val="TableofFigures"/>
        <w:tabs>
          <w:tab w:val="right" w:leader="dot" w:pos="9350"/>
        </w:tabs>
        <w:rPr>
          <w:rFonts w:asciiTheme="minorHAnsi" w:eastAsiaTheme="minorEastAsia" w:hAnsiTheme="minorHAnsi"/>
          <w:noProof/>
          <w:lang w:val="en-US"/>
        </w:rPr>
      </w:pPr>
      <w:hyperlink w:anchor="_Toc217212364" w:history="1">
        <w:r w:rsidRPr="0066524C">
          <w:rPr>
            <w:rStyle w:val="Hyperlink"/>
            <w:noProof/>
          </w:rPr>
          <w:t>Figure 21: DPO (days)</w:t>
        </w:r>
        <w:r>
          <w:rPr>
            <w:noProof/>
            <w:webHidden/>
          </w:rPr>
          <w:tab/>
        </w:r>
        <w:r>
          <w:rPr>
            <w:noProof/>
            <w:webHidden/>
          </w:rPr>
          <w:fldChar w:fldCharType="begin"/>
        </w:r>
        <w:r>
          <w:rPr>
            <w:noProof/>
            <w:webHidden/>
          </w:rPr>
          <w:instrText xml:space="preserve"> PAGEREF _Toc217212364 \h </w:instrText>
        </w:r>
        <w:r>
          <w:rPr>
            <w:noProof/>
            <w:webHidden/>
          </w:rPr>
        </w:r>
        <w:r>
          <w:rPr>
            <w:noProof/>
            <w:webHidden/>
          </w:rPr>
          <w:fldChar w:fldCharType="separate"/>
        </w:r>
        <w:r>
          <w:rPr>
            <w:noProof/>
            <w:webHidden/>
          </w:rPr>
          <w:t>24</w:t>
        </w:r>
        <w:r>
          <w:rPr>
            <w:noProof/>
            <w:webHidden/>
          </w:rPr>
          <w:fldChar w:fldCharType="end"/>
        </w:r>
      </w:hyperlink>
    </w:p>
    <w:p w14:paraId="64840E95" w14:textId="77777777" w:rsidR="00C64F6A" w:rsidRDefault="00C64F6A" w:rsidP="00C64F6A">
      <w:pPr>
        <w:pStyle w:val="TableofFigures"/>
        <w:tabs>
          <w:tab w:val="right" w:leader="dot" w:pos="9350"/>
        </w:tabs>
        <w:rPr>
          <w:rFonts w:asciiTheme="minorHAnsi" w:eastAsiaTheme="minorEastAsia" w:hAnsiTheme="minorHAnsi"/>
          <w:noProof/>
          <w:lang w:val="en-US"/>
        </w:rPr>
      </w:pPr>
      <w:hyperlink w:anchor="_Toc217212365" w:history="1">
        <w:r w:rsidRPr="0066524C">
          <w:rPr>
            <w:rStyle w:val="Hyperlink"/>
            <w:noProof/>
          </w:rPr>
          <w:t>Figure 22: Ways to Improve Working Capital Management</w:t>
        </w:r>
        <w:r>
          <w:rPr>
            <w:noProof/>
            <w:webHidden/>
          </w:rPr>
          <w:tab/>
        </w:r>
        <w:r>
          <w:rPr>
            <w:noProof/>
            <w:webHidden/>
          </w:rPr>
          <w:fldChar w:fldCharType="begin"/>
        </w:r>
        <w:r>
          <w:rPr>
            <w:noProof/>
            <w:webHidden/>
          </w:rPr>
          <w:instrText xml:space="preserve"> PAGEREF _Toc217212365 \h </w:instrText>
        </w:r>
        <w:r>
          <w:rPr>
            <w:noProof/>
            <w:webHidden/>
          </w:rPr>
        </w:r>
        <w:r>
          <w:rPr>
            <w:noProof/>
            <w:webHidden/>
          </w:rPr>
          <w:fldChar w:fldCharType="separate"/>
        </w:r>
        <w:r>
          <w:rPr>
            <w:noProof/>
            <w:webHidden/>
          </w:rPr>
          <w:t>25</w:t>
        </w:r>
        <w:r>
          <w:rPr>
            <w:noProof/>
            <w:webHidden/>
          </w:rPr>
          <w:fldChar w:fldCharType="end"/>
        </w:r>
      </w:hyperlink>
    </w:p>
    <w:p w14:paraId="393052BB" w14:textId="77777777" w:rsidR="00C64F6A" w:rsidRDefault="00C64F6A" w:rsidP="00C64F6A">
      <w:pPr>
        <w:pStyle w:val="TableofFigures"/>
        <w:tabs>
          <w:tab w:val="right" w:leader="dot" w:pos="9350"/>
        </w:tabs>
        <w:rPr>
          <w:rFonts w:asciiTheme="minorHAnsi" w:eastAsiaTheme="minorEastAsia" w:hAnsiTheme="minorHAnsi"/>
          <w:noProof/>
          <w:lang w:val="en-US"/>
        </w:rPr>
      </w:pPr>
      <w:hyperlink w:anchor="_Toc217212366" w:history="1">
        <w:r w:rsidRPr="0066524C">
          <w:rPr>
            <w:rStyle w:val="Hyperlink"/>
            <w:noProof/>
          </w:rPr>
          <w:t>Figure 23: Strategies For Improving Liquidity Ratios</w:t>
        </w:r>
        <w:r>
          <w:rPr>
            <w:noProof/>
            <w:webHidden/>
          </w:rPr>
          <w:tab/>
        </w:r>
        <w:r>
          <w:rPr>
            <w:noProof/>
            <w:webHidden/>
          </w:rPr>
          <w:fldChar w:fldCharType="begin"/>
        </w:r>
        <w:r>
          <w:rPr>
            <w:noProof/>
            <w:webHidden/>
          </w:rPr>
          <w:instrText xml:space="preserve"> PAGEREF _Toc217212366 \h </w:instrText>
        </w:r>
        <w:r>
          <w:rPr>
            <w:noProof/>
            <w:webHidden/>
          </w:rPr>
        </w:r>
        <w:r>
          <w:rPr>
            <w:noProof/>
            <w:webHidden/>
          </w:rPr>
          <w:fldChar w:fldCharType="separate"/>
        </w:r>
        <w:r>
          <w:rPr>
            <w:noProof/>
            <w:webHidden/>
          </w:rPr>
          <w:t>26</w:t>
        </w:r>
        <w:r>
          <w:rPr>
            <w:noProof/>
            <w:webHidden/>
          </w:rPr>
          <w:fldChar w:fldCharType="end"/>
        </w:r>
      </w:hyperlink>
    </w:p>
    <w:p w14:paraId="0DE2994B" w14:textId="77777777" w:rsidR="00C64F6A" w:rsidRDefault="00C64F6A" w:rsidP="00C64F6A">
      <w:pPr>
        <w:pStyle w:val="TableofFigures"/>
        <w:tabs>
          <w:tab w:val="right" w:leader="dot" w:pos="9350"/>
        </w:tabs>
        <w:rPr>
          <w:rFonts w:asciiTheme="minorHAnsi" w:eastAsiaTheme="minorEastAsia" w:hAnsiTheme="minorHAnsi"/>
          <w:noProof/>
          <w:lang w:val="en-US"/>
        </w:rPr>
      </w:pPr>
      <w:hyperlink w:anchor="_Toc217212367" w:history="1">
        <w:r w:rsidRPr="0066524C">
          <w:rPr>
            <w:rStyle w:val="Hyperlink"/>
            <w:noProof/>
          </w:rPr>
          <w:t>Figure 24: Short-Term Financing</w:t>
        </w:r>
        <w:r>
          <w:rPr>
            <w:noProof/>
            <w:webHidden/>
          </w:rPr>
          <w:tab/>
        </w:r>
        <w:r>
          <w:rPr>
            <w:noProof/>
            <w:webHidden/>
          </w:rPr>
          <w:fldChar w:fldCharType="begin"/>
        </w:r>
        <w:r>
          <w:rPr>
            <w:noProof/>
            <w:webHidden/>
          </w:rPr>
          <w:instrText xml:space="preserve"> PAGEREF _Toc217212367 \h </w:instrText>
        </w:r>
        <w:r>
          <w:rPr>
            <w:noProof/>
            <w:webHidden/>
          </w:rPr>
        </w:r>
        <w:r>
          <w:rPr>
            <w:noProof/>
            <w:webHidden/>
          </w:rPr>
          <w:fldChar w:fldCharType="separate"/>
        </w:r>
        <w:r>
          <w:rPr>
            <w:noProof/>
            <w:webHidden/>
          </w:rPr>
          <w:t>28</w:t>
        </w:r>
        <w:r>
          <w:rPr>
            <w:noProof/>
            <w:webHidden/>
          </w:rPr>
          <w:fldChar w:fldCharType="end"/>
        </w:r>
      </w:hyperlink>
    </w:p>
    <w:p w14:paraId="491F7F0E" w14:textId="77777777" w:rsidR="00C64F6A" w:rsidRDefault="00C64F6A" w:rsidP="00C64F6A">
      <w:pPr>
        <w:pStyle w:val="TableofFigures"/>
        <w:tabs>
          <w:tab w:val="right" w:leader="dot" w:pos="9350"/>
        </w:tabs>
        <w:rPr>
          <w:rFonts w:asciiTheme="minorHAnsi" w:eastAsiaTheme="minorEastAsia" w:hAnsiTheme="minorHAnsi"/>
          <w:noProof/>
          <w:lang w:val="en-US"/>
        </w:rPr>
      </w:pPr>
      <w:hyperlink w:anchor="_Toc217212368" w:history="1">
        <w:r w:rsidRPr="0066524C">
          <w:rPr>
            <w:rStyle w:val="Hyperlink"/>
            <w:noProof/>
          </w:rPr>
          <w:t>Figure 25: Short-Term Financing Sources</w:t>
        </w:r>
        <w:r>
          <w:rPr>
            <w:noProof/>
            <w:webHidden/>
          </w:rPr>
          <w:tab/>
        </w:r>
        <w:r>
          <w:rPr>
            <w:noProof/>
            <w:webHidden/>
          </w:rPr>
          <w:fldChar w:fldCharType="begin"/>
        </w:r>
        <w:r>
          <w:rPr>
            <w:noProof/>
            <w:webHidden/>
          </w:rPr>
          <w:instrText xml:space="preserve"> PAGEREF _Toc217212368 \h </w:instrText>
        </w:r>
        <w:r>
          <w:rPr>
            <w:noProof/>
            <w:webHidden/>
          </w:rPr>
        </w:r>
        <w:r>
          <w:rPr>
            <w:noProof/>
            <w:webHidden/>
          </w:rPr>
          <w:fldChar w:fldCharType="separate"/>
        </w:r>
        <w:r>
          <w:rPr>
            <w:noProof/>
            <w:webHidden/>
          </w:rPr>
          <w:t>28</w:t>
        </w:r>
        <w:r>
          <w:rPr>
            <w:noProof/>
            <w:webHidden/>
          </w:rPr>
          <w:fldChar w:fldCharType="end"/>
        </w:r>
      </w:hyperlink>
    </w:p>
    <w:p w14:paraId="585A0763" w14:textId="77777777" w:rsidR="00C64F6A" w:rsidRDefault="00C64F6A" w:rsidP="00C64F6A">
      <w:pPr>
        <w:pStyle w:val="TableofFigures"/>
        <w:tabs>
          <w:tab w:val="right" w:leader="dot" w:pos="9350"/>
        </w:tabs>
        <w:rPr>
          <w:rFonts w:asciiTheme="minorHAnsi" w:eastAsiaTheme="minorEastAsia" w:hAnsiTheme="minorHAnsi"/>
          <w:noProof/>
          <w:lang w:val="en-US"/>
        </w:rPr>
      </w:pPr>
      <w:hyperlink w:anchor="_Toc217212369" w:history="1">
        <w:r w:rsidRPr="0066524C">
          <w:rPr>
            <w:rStyle w:val="Hyperlink"/>
            <w:noProof/>
          </w:rPr>
          <w:t>Figure 26: Long-term Financing</w:t>
        </w:r>
        <w:r>
          <w:rPr>
            <w:noProof/>
            <w:webHidden/>
          </w:rPr>
          <w:tab/>
        </w:r>
        <w:r>
          <w:rPr>
            <w:noProof/>
            <w:webHidden/>
          </w:rPr>
          <w:fldChar w:fldCharType="begin"/>
        </w:r>
        <w:r>
          <w:rPr>
            <w:noProof/>
            <w:webHidden/>
          </w:rPr>
          <w:instrText xml:space="preserve"> PAGEREF _Toc217212369 \h </w:instrText>
        </w:r>
        <w:r>
          <w:rPr>
            <w:noProof/>
            <w:webHidden/>
          </w:rPr>
        </w:r>
        <w:r>
          <w:rPr>
            <w:noProof/>
            <w:webHidden/>
          </w:rPr>
          <w:fldChar w:fldCharType="separate"/>
        </w:r>
        <w:r>
          <w:rPr>
            <w:noProof/>
            <w:webHidden/>
          </w:rPr>
          <w:t>29</w:t>
        </w:r>
        <w:r>
          <w:rPr>
            <w:noProof/>
            <w:webHidden/>
          </w:rPr>
          <w:fldChar w:fldCharType="end"/>
        </w:r>
      </w:hyperlink>
    </w:p>
    <w:p w14:paraId="10DA4FDD" w14:textId="77777777" w:rsidR="00C64F6A" w:rsidRDefault="00C64F6A" w:rsidP="00C64F6A">
      <w:pPr>
        <w:pStyle w:val="TableofFigures"/>
        <w:tabs>
          <w:tab w:val="right" w:leader="dot" w:pos="9350"/>
        </w:tabs>
        <w:rPr>
          <w:rFonts w:asciiTheme="minorHAnsi" w:eastAsiaTheme="minorEastAsia" w:hAnsiTheme="minorHAnsi"/>
          <w:noProof/>
          <w:lang w:val="en-US"/>
        </w:rPr>
      </w:pPr>
      <w:hyperlink w:anchor="_Toc217212370" w:history="1">
        <w:r w:rsidRPr="0066524C">
          <w:rPr>
            <w:rStyle w:val="Hyperlink"/>
            <w:noProof/>
          </w:rPr>
          <w:t>Figure 27: Balanced Capital Structure</w:t>
        </w:r>
        <w:r>
          <w:rPr>
            <w:noProof/>
            <w:webHidden/>
          </w:rPr>
          <w:tab/>
        </w:r>
        <w:r>
          <w:rPr>
            <w:noProof/>
            <w:webHidden/>
          </w:rPr>
          <w:fldChar w:fldCharType="begin"/>
        </w:r>
        <w:r>
          <w:rPr>
            <w:noProof/>
            <w:webHidden/>
          </w:rPr>
          <w:instrText xml:space="preserve"> PAGEREF _Toc217212370 \h </w:instrText>
        </w:r>
        <w:r>
          <w:rPr>
            <w:noProof/>
            <w:webHidden/>
          </w:rPr>
        </w:r>
        <w:r>
          <w:rPr>
            <w:noProof/>
            <w:webHidden/>
          </w:rPr>
          <w:fldChar w:fldCharType="separate"/>
        </w:r>
        <w:r>
          <w:rPr>
            <w:noProof/>
            <w:webHidden/>
          </w:rPr>
          <w:t>30</w:t>
        </w:r>
        <w:r>
          <w:rPr>
            <w:noProof/>
            <w:webHidden/>
          </w:rPr>
          <w:fldChar w:fldCharType="end"/>
        </w:r>
      </w:hyperlink>
    </w:p>
    <w:p w14:paraId="22367E2B" w14:textId="77777777" w:rsidR="00C64F6A" w:rsidRDefault="00C64F6A" w:rsidP="00C64F6A">
      <w:pPr>
        <w:pStyle w:val="TableofFigures"/>
        <w:tabs>
          <w:tab w:val="right" w:leader="dot" w:pos="9350"/>
        </w:tabs>
        <w:rPr>
          <w:rFonts w:asciiTheme="minorHAnsi" w:eastAsiaTheme="minorEastAsia" w:hAnsiTheme="minorHAnsi"/>
          <w:noProof/>
          <w:lang w:val="en-US"/>
        </w:rPr>
      </w:pPr>
      <w:hyperlink w:anchor="_Toc217212371" w:history="1">
        <w:r w:rsidRPr="0066524C">
          <w:rPr>
            <w:rStyle w:val="Hyperlink"/>
            <w:noProof/>
          </w:rPr>
          <w:t>Figure 28: Divestiture</w:t>
        </w:r>
        <w:r>
          <w:rPr>
            <w:noProof/>
            <w:webHidden/>
          </w:rPr>
          <w:tab/>
        </w:r>
        <w:r>
          <w:rPr>
            <w:noProof/>
            <w:webHidden/>
          </w:rPr>
          <w:fldChar w:fldCharType="begin"/>
        </w:r>
        <w:r>
          <w:rPr>
            <w:noProof/>
            <w:webHidden/>
          </w:rPr>
          <w:instrText xml:space="preserve"> PAGEREF _Toc217212371 \h </w:instrText>
        </w:r>
        <w:r>
          <w:rPr>
            <w:noProof/>
            <w:webHidden/>
          </w:rPr>
        </w:r>
        <w:r>
          <w:rPr>
            <w:noProof/>
            <w:webHidden/>
          </w:rPr>
          <w:fldChar w:fldCharType="separate"/>
        </w:r>
        <w:r>
          <w:rPr>
            <w:noProof/>
            <w:webHidden/>
          </w:rPr>
          <w:t>31</w:t>
        </w:r>
        <w:r>
          <w:rPr>
            <w:noProof/>
            <w:webHidden/>
          </w:rPr>
          <w:fldChar w:fldCharType="end"/>
        </w:r>
      </w:hyperlink>
    </w:p>
    <w:p w14:paraId="1F9309E5" w14:textId="77777777" w:rsidR="00C64F6A" w:rsidRDefault="00C64F6A" w:rsidP="00C64F6A">
      <w:pPr>
        <w:pStyle w:val="TableofFigures"/>
        <w:tabs>
          <w:tab w:val="right" w:leader="dot" w:pos="9350"/>
        </w:tabs>
        <w:rPr>
          <w:rFonts w:asciiTheme="minorHAnsi" w:eastAsiaTheme="minorEastAsia" w:hAnsiTheme="minorHAnsi"/>
          <w:noProof/>
          <w:lang w:val="en-US"/>
        </w:rPr>
      </w:pPr>
      <w:hyperlink w:anchor="_Toc217212372" w:history="1">
        <w:r w:rsidRPr="0066524C">
          <w:rPr>
            <w:rStyle w:val="Hyperlink"/>
            <w:noProof/>
          </w:rPr>
          <w:t>Figure 29: Capital Injection</w:t>
        </w:r>
        <w:r>
          <w:rPr>
            <w:noProof/>
            <w:webHidden/>
          </w:rPr>
          <w:tab/>
        </w:r>
        <w:r>
          <w:rPr>
            <w:noProof/>
            <w:webHidden/>
          </w:rPr>
          <w:fldChar w:fldCharType="begin"/>
        </w:r>
        <w:r>
          <w:rPr>
            <w:noProof/>
            <w:webHidden/>
          </w:rPr>
          <w:instrText xml:space="preserve"> PAGEREF _Toc217212372 \h </w:instrText>
        </w:r>
        <w:r>
          <w:rPr>
            <w:noProof/>
            <w:webHidden/>
          </w:rPr>
        </w:r>
        <w:r>
          <w:rPr>
            <w:noProof/>
            <w:webHidden/>
          </w:rPr>
          <w:fldChar w:fldCharType="separate"/>
        </w:r>
        <w:r>
          <w:rPr>
            <w:noProof/>
            <w:webHidden/>
          </w:rPr>
          <w:t>32</w:t>
        </w:r>
        <w:r>
          <w:rPr>
            <w:noProof/>
            <w:webHidden/>
          </w:rPr>
          <w:fldChar w:fldCharType="end"/>
        </w:r>
      </w:hyperlink>
    </w:p>
    <w:p w14:paraId="66EF5A99" w14:textId="77777777" w:rsidR="00C64F6A" w:rsidRDefault="00C64F6A" w:rsidP="00C64F6A">
      <w:pPr>
        <w:pStyle w:val="TableofFigures"/>
        <w:tabs>
          <w:tab w:val="right" w:leader="dot" w:pos="9350"/>
        </w:tabs>
        <w:rPr>
          <w:rFonts w:asciiTheme="minorHAnsi" w:eastAsiaTheme="minorEastAsia" w:hAnsiTheme="minorHAnsi"/>
          <w:noProof/>
          <w:lang w:val="en-US"/>
        </w:rPr>
      </w:pPr>
      <w:hyperlink w:anchor="_Toc217212373" w:history="1">
        <w:r w:rsidRPr="0066524C">
          <w:rPr>
            <w:rStyle w:val="Hyperlink"/>
            <w:noProof/>
          </w:rPr>
          <w:t>Figure 30: Strategic Alliance vs Joint Venture</w:t>
        </w:r>
        <w:r>
          <w:rPr>
            <w:noProof/>
            <w:webHidden/>
          </w:rPr>
          <w:tab/>
        </w:r>
        <w:r>
          <w:rPr>
            <w:noProof/>
            <w:webHidden/>
          </w:rPr>
          <w:fldChar w:fldCharType="begin"/>
        </w:r>
        <w:r>
          <w:rPr>
            <w:noProof/>
            <w:webHidden/>
          </w:rPr>
          <w:instrText xml:space="preserve"> PAGEREF _Toc217212373 \h </w:instrText>
        </w:r>
        <w:r>
          <w:rPr>
            <w:noProof/>
            <w:webHidden/>
          </w:rPr>
        </w:r>
        <w:r>
          <w:rPr>
            <w:noProof/>
            <w:webHidden/>
          </w:rPr>
          <w:fldChar w:fldCharType="separate"/>
        </w:r>
        <w:r>
          <w:rPr>
            <w:noProof/>
            <w:webHidden/>
          </w:rPr>
          <w:t>33</w:t>
        </w:r>
        <w:r>
          <w:rPr>
            <w:noProof/>
            <w:webHidden/>
          </w:rPr>
          <w:fldChar w:fldCharType="end"/>
        </w:r>
      </w:hyperlink>
    </w:p>
    <w:p w14:paraId="07739992" w14:textId="77777777" w:rsidR="00C64F6A" w:rsidRDefault="00C64F6A" w:rsidP="00C64F6A">
      <w:pPr>
        <w:pStyle w:val="TableofFigures"/>
        <w:tabs>
          <w:tab w:val="right" w:leader="dot" w:pos="9350"/>
        </w:tabs>
        <w:rPr>
          <w:rFonts w:asciiTheme="minorHAnsi" w:eastAsiaTheme="minorEastAsia" w:hAnsiTheme="minorHAnsi"/>
          <w:noProof/>
          <w:lang w:val="en-US"/>
        </w:rPr>
      </w:pPr>
      <w:hyperlink w:anchor="_Toc217212374" w:history="1">
        <w:r w:rsidRPr="0066524C">
          <w:rPr>
            <w:rStyle w:val="Hyperlink"/>
            <w:noProof/>
          </w:rPr>
          <w:t>Figure 31: Business Taxes and Compliance</w:t>
        </w:r>
        <w:r>
          <w:rPr>
            <w:noProof/>
            <w:webHidden/>
          </w:rPr>
          <w:tab/>
        </w:r>
        <w:r>
          <w:rPr>
            <w:noProof/>
            <w:webHidden/>
          </w:rPr>
          <w:fldChar w:fldCharType="begin"/>
        </w:r>
        <w:r>
          <w:rPr>
            <w:noProof/>
            <w:webHidden/>
          </w:rPr>
          <w:instrText xml:space="preserve"> PAGEREF _Toc217212374 \h </w:instrText>
        </w:r>
        <w:r>
          <w:rPr>
            <w:noProof/>
            <w:webHidden/>
          </w:rPr>
        </w:r>
        <w:r>
          <w:rPr>
            <w:noProof/>
            <w:webHidden/>
          </w:rPr>
          <w:fldChar w:fldCharType="separate"/>
        </w:r>
        <w:r>
          <w:rPr>
            <w:noProof/>
            <w:webHidden/>
          </w:rPr>
          <w:t>35</w:t>
        </w:r>
        <w:r>
          <w:rPr>
            <w:noProof/>
            <w:webHidden/>
          </w:rPr>
          <w:fldChar w:fldCharType="end"/>
        </w:r>
      </w:hyperlink>
    </w:p>
    <w:p w14:paraId="78D71E6C" w14:textId="77777777" w:rsidR="00C64F6A" w:rsidRDefault="00C64F6A" w:rsidP="00C64F6A">
      <w:pPr>
        <w:pStyle w:val="TableofFigures"/>
        <w:tabs>
          <w:tab w:val="right" w:leader="dot" w:pos="9350"/>
        </w:tabs>
        <w:rPr>
          <w:rFonts w:asciiTheme="minorHAnsi" w:eastAsiaTheme="minorEastAsia" w:hAnsiTheme="minorHAnsi"/>
          <w:noProof/>
          <w:lang w:val="en-US"/>
        </w:rPr>
      </w:pPr>
      <w:hyperlink w:anchor="_Toc217212375" w:history="1">
        <w:r w:rsidRPr="0066524C">
          <w:rPr>
            <w:rStyle w:val="Hyperlink"/>
            <w:noProof/>
          </w:rPr>
          <w:t>Figure 32: Currency and Inflation Risk</w:t>
        </w:r>
        <w:r>
          <w:rPr>
            <w:noProof/>
            <w:webHidden/>
          </w:rPr>
          <w:tab/>
        </w:r>
        <w:r>
          <w:rPr>
            <w:noProof/>
            <w:webHidden/>
          </w:rPr>
          <w:fldChar w:fldCharType="begin"/>
        </w:r>
        <w:r>
          <w:rPr>
            <w:noProof/>
            <w:webHidden/>
          </w:rPr>
          <w:instrText xml:space="preserve"> PAGEREF _Toc217212375 \h </w:instrText>
        </w:r>
        <w:r>
          <w:rPr>
            <w:noProof/>
            <w:webHidden/>
          </w:rPr>
        </w:r>
        <w:r>
          <w:rPr>
            <w:noProof/>
            <w:webHidden/>
          </w:rPr>
          <w:fldChar w:fldCharType="separate"/>
        </w:r>
        <w:r>
          <w:rPr>
            <w:noProof/>
            <w:webHidden/>
          </w:rPr>
          <w:t>35</w:t>
        </w:r>
        <w:r>
          <w:rPr>
            <w:noProof/>
            <w:webHidden/>
          </w:rPr>
          <w:fldChar w:fldCharType="end"/>
        </w:r>
      </w:hyperlink>
    </w:p>
    <w:p w14:paraId="6FB711C3" w14:textId="77777777" w:rsidR="00C64F6A" w:rsidRDefault="00C64F6A" w:rsidP="00C64F6A">
      <w:pPr>
        <w:pStyle w:val="TableofFigures"/>
        <w:tabs>
          <w:tab w:val="right" w:leader="dot" w:pos="9350"/>
        </w:tabs>
        <w:rPr>
          <w:rFonts w:asciiTheme="minorHAnsi" w:eastAsiaTheme="minorEastAsia" w:hAnsiTheme="minorHAnsi"/>
          <w:noProof/>
          <w:lang w:val="en-US"/>
        </w:rPr>
      </w:pPr>
      <w:hyperlink w:anchor="_Toc217212376" w:history="1">
        <w:r w:rsidRPr="0066524C">
          <w:rPr>
            <w:rStyle w:val="Hyperlink"/>
            <w:noProof/>
          </w:rPr>
          <w:t>Figure 33: Corporate social responsibility (CSR) considerations</w:t>
        </w:r>
        <w:r>
          <w:rPr>
            <w:noProof/>
            <w:webHidden/>
          </w:rPr>
          <w:tab/>
        </w:r>
        <w:r>
          <w:rPr>
            <w:noProof/>
            <w:webHidden/>
          </w:rPr>
          <w:fldChar w:fldCharType="begin"/>
        </w:r>
        <w:r>
          <w:rPr>
            <w:noProof/>
            <w:webHidden/>
          </w:rPr>
          <w:instrText xml:space="preserve"> PAGEREF _Toc217212376 \h </w:instrText>
        </w:r>
        <w:r>
          <w:rPr>
            <w:noProof/>
            <w:webHidden/>
          </w:rPr>
        </w:r>
        <w:r>
          <w:rPr>
            <w:noProof/>
            <w:webHidden/>
          </w:rPr>
          <w:fldChar w:fldCharType="separate"/>
        </w:r>
        <w:r>
          <w:rPr>
            <w:noProof/>
            <w:webHidden/>
          </w:rPr>
          <w:t>36</w:t>
        </w:r>
        <w:r>
          <w:rPr>
            <w:noProof/>
            <w:webHidden/>
          </w:rPr>
          <w:fldChar w:fldCharType="end"/>
        </w:r>
      </w:hyperlink>
    </w:p>
    <w:p w14:paraId="5D3161D8" w14:textId="77777777" w:rsidR="00C64F6A" w:rsidRDefault="00C64F6A" w:rsidP="00C64F6A">
      <w:pPr>
        <w:pStyle w:val="TableofFigures"/>
        <w:tabs>
          <w:tab w:val="right" w:leader="dot" w:pos="9350"/>
        </w:tabs>
        <w:rPr>
          <w:rFonts w:asciiTheme="minorHAnsi" w:eastAsiaTheme="minorEastAsia" w:hAnsiTheme="minorHAnsi"/>
          <w:noProof/>
          <w:lang w:val="en-US"/>
        </w:rPr>
      </w:pPr>
      <w:hyperlink w:anchor="_Toc217212377" w:history="1">
        <w:r w:rsidRPr="0066524C">
          <w:rPr>
            <w:rStyle w:val="Hyperlink"/>
            <w:noProof/>
          </w:rPr>
          <w:t>Figure 34: Capital Budgeting Benefits</w:t>
        </w:r>
        <w:r>
          <w:rPr>
            <w:noProof/>
            <w:webHidden/>
          </w:rPr>
          <w:tab/>
        </w:r>
        <w:r>
          <w:rPr>
            <w:noProof/>
            <w:webHidden/>
          </w:rPr>
          <w:fldChar w:fldCharType="begin"/>
        </w:r>
        <w:r>
          <w:rPr>
            <w:noProof/>
            <w:webHidden/>
          </w:rPr>
          <w:instrText xml:space="preserve"> PAGEREF _Toc217212377 \h </w:instrText>
        </w:r>
        <w:r>
          <w:rPr>
            <w:noProof/>
            <w:webHidden/>
          </w:rPr>
        </w:r>
        <w:r>
          <w:rPr>
            <w:noProof/>
            <w:webHidden/>
          </w:rPr>
          <w:fldChar w:fldCharType="separate"/>
        </w:r>
        <w:r>
          <w:rPr>
            <w:noProof/>
            <w:webHidden/>
          </w:rPr>
          <w:t>37</w:t>
        </w:r>
        <w:r>
          <w:rPr>
            <w:noProof/>
            <w:webHidden/>
          </w:rPr>
          <w:fldChar w:fldCharType="end"/>
        </w:r>
      </w:hyperlink>
    </w:p>
    <w:p w14:paraId="4A838CFC" w14:textId="77777777" w:rsidR="00C64F6A" w:rsidRDefault="00C64F6A" w:rsidP="00C64F6A">
      <w:pPr>
        <w:spacing w:line="278" w:lineRule="auto"/>
        <w:jc w:val="left"/>
        <w:rPr>
          <w:b/>
          <w:bCs/>
          <w:sz w:val="28"/>
          <w:szCs w:val="28"/>
        </w:rPr>
      </w:pPr>
      <w:r>
        <w:rPr>
          <w:b/>
          <w:bCs/>
          <w:sz w:val="28"/>
          <w:szCs w:val="28"/>
        </w:rPr>
        <w:fldChar w:fldCharType="end"/>
      </w:r>
    </w:p>
    <w:p w14:paraId="33C48081" w14:textId="77777777" w:rsidR="00C64F6A" w:rsidRDefault="00C64F6A" w:rsidP="00C64F6A">
      <w:pPr>
        <w:spacing w:line="278" w:lineRule="auto"/>
        <w:jc w:val="left"/>
        <w:rPr>
          <w:b/>
          <w:bCs/>
          <w:sz w:val="28"/>
          <w:szCs w:val="28"/>
        </w:rPr>
      </w:pPr>
    </w:p>
    <w:p w14:paraId="1482B05B" w14:textId="77777777" w:rsidR="00C64F6A" w:rsidRDefault="00C64F6A" w:rsidP="00C64F6A">
      <w:pPr>
        <w:spacing w:line="278" w:lineRule="auto"/>
        <w:jc w:val="left"/>
        <w:rPr>
          <w:b/>
          <w:bCs/>
          <w:sz w:val="28"/>
          <w:szCs w:val="28"/>
        </w:rPr>
      </w:pPr>
    </w:p>
    <w:p w14:paraId="74B43E37" w14:textId="77777777" w:rsidR="00C64F6A" w:rsidRDefault="00C64F6A" w:rsidP="00C64F6A">
      <w:pPr>
        <w:spacing w:line="278" w:lineRule="auto"/>
        <w:jc w:val="left"/>
        <w:rPr>
          <w:b/>
          <w:bCs/>
          <w:sz w:val="28"/>
          <w:szCs w:val="28"/>
        </w:rPr>
      </w:pPr>
    </w:p>
    <w:p w14:paraId="41C3B5CC" w14:textId="77777777" w:rsidR="00C64F6A" w:rsidRDefault="00C64F6A" w:rsidP="00C64F6A">
      <w:pPr>
        <w:spacing w:line="278" w:lineRule="auto"/>
        <w:jc w:val="left"/>
        <w:rPr>
          <w:b/>
          <w:bCs/>
          <w:sz w:val="28"/>
          <w:szCs w:val="28"/>
        </w:rPr>
      </w:pPr>
    </w:p>
    <w:p w14:paraId="0C2229A8" w14:textId="77777777" w:rsidR="00C64F6A" w:rsidRDefault="00C64F6A" w:rsidP="00C64F6A">
      <w:pPr>
        <w:spacing w:line="278" w:lineRule="auto"/>
        <w:jc w:val="left"/>
        <w:rPr>
          <w:b/>
          <w:bCs/>
          <w:sz w:val="28"/>
          <w:szCs w:val="28"/>
        </w:rPr>
      </w:pPr>
    </w:p>
    <w:p w14:paraId="15A4BDA4" w14:textId="77777777" w:rsidR="00C64F6A" w:rsidRDefault="00C64F6A" w:rsidP="00C64F6A">
      <w:pPr>
        <w:spacing w:line="278" w:lineRule="auto"/>
        <w:jc w:val="left"/>
        <w:rPr>
          <w:b/>
          <w:bCs/>
          <w:sz w:val="28"/>
          <w:szCs w:val="28"/>
        </w:rPr>
      </w:pPr>
    </w:p>
    <w:p w14:paraId="6C0C0B7A" w14:textId="77777777" w:rsidR="00C64F6A" w:rsidRDefault="00C64F6A" w:rsidP="00C64F6A">
      <w:pPr>
        <w:spacing w:line="278" w:lineRule="auto"/>
        <w:jc w:val="left"/>
        <w:rPr>
          <w:b/>
          <w:bCs/>
          <w:sz w:val="28"/>
          <w:szCs w:val="28"/>
        </w:rPr>
      </w:pPr>
    </w:p>
    <w:p w14:paraId="25212B6D" w14:textId="77777777" w:rsidR="00C64F6A" w:rsidRDefault="00C64F6A" w:rsidP="00C64F6A">
      <w:pPr>
        <w:spacing w:line="278" w:lineRule="auto"/>
        <w:jc w:val="left"/>
        <w:rPr>
          <w:b/>
          <w:bCs/>
          <w:sz w:val="28"/>
          <w:szCs w:val="28"/>
        </w:rPr>
      </w:pPr>
    </w:p>
    <w:p w14:paraId="048BC1DA" w14:textId="77777777" w:rsidR="00C64F6A" w:rsidRDefault="00C64F6A" w:rsidP="00C64F6A">
      <w:pPr>
        <w:spacing w:line="278" w:lineRule="auto"/>
        <w:jc w:val="left"/>
        <w:rPr>
          <w:b/>
          <w:bCs/>
          <w:sz w:val="28"/>
          <w:szCs w:val="28"/>
        </w:rPr>
      </w:pPr>
    </w:p>
    <w:p w14:paraId="00988617" w14:textId="77777777" w:rsidR="00C64F6A" w:rsidRDefault="00C64F6A" w:rsidP="00C64F6A">
      <w:pPr>
        <w:spacing w:line="278" w:lineRule="auto"/>
        <w:jc w:val="left"/>
        <w:rPr>
          <w:b/>
          <w:bCs/>
          <w:sz w:val="28"/>
          <w:szCs w:val="28"/>
        </w:rPr>
      </w:pPr>
    </w:p>
    <w:p w14:paraId="765CD52D" w14:textId="77777777" w:rsidR="00C64F6A" w:rsidRDefault="00C64F6A" w:rsidP="00C64F6A">
      <w:pPr>
        <w:spacing w:line="278" w:lineRule="auto"/>
        <w:jc w:val="left"/>
        <w:rPr>
          <w:b/>
          <w:bCs/>
          <w:sz w:val="28"/>
          <w:szCs w:val="28"/>
        </w:rPr>
      </w:pPr>
    </w:p>
    <w:p w14:paraId="626B21B9" w14:textId="77777777" w:rsidR="00C64F6A" w:rsidRDefault="00C64F6A" w:rsidP="00C64F6A">
      <w:pPr>
        <w:spacing w:line="278" w:lineRule="auto"/>
        <w:jc w:val="left"/>
        <w:rPr>
          <w:b/>
          <w:bCs/>
          <w:sz w:val="28"/>
          <w:szCs w:val="28"/>
        </w:rPr>
      </w:pPr>
    </w:p>
    <w:p w14:paraId="42F99DAF" w14:textId="77777777" w:rsidR="00C64F6A" w:rsidRDefault="00C64F6A" w:rsidP="00C64F6A">
      <w:pPr>
        <w:spacing w:line="278" w:lineRule="auto"/>
        <w:jc w:val="left"/>
        <w:rPr>
          <w:b/>
          <w:bCs/>
          <w:sz w:val="28"/>
          <w:szCs w:val="28"/>
        </w:rPr>
      </w:pPr>
    </w:p>
    <w:p w14:paraId="7D23167E" w14:textId="77777777" w:rsidR="00C64F6A" w:rsidRDefault="00C64F6A" w:rsidP="00C64F6A">
      <w:pPr>
        <w:spacing w:line="278" w:lineRule="auto"/>
        <w:jc w:val="left"/>
        <w:rPr>
          <w:b/>
          <w:bCs/>
          <w:sz w:val="28"/>
          <w:szCs w:val="28"/>
        </w:rPr>
      </w:pPr>
    </w:p>
    <w:p w14:paraId="4622CA65" w14:textId="77777777" w:rsidR="00C64F6A" w:rsidRDefault="00C64F6A" w:rsidP="00C64F6A">
      <w:pPr>
        <w:spacing w:line="278" w:lineRule="auto"/>
        <w:jc w:val="left"/>
        <w:rPr>
          <w:b/>
          <w:bCs/>
          <w:sz w:val="28"/>
          <w:szCs w:val="28"/>
        </w:rPr>
      </w:pPr>
    </w:p>
    <w:p w14:paraId="3FBB70D0" w14:textId="77777777" w:rsidR="00C64F6A" w:rsidRDefault="00C64F6A" w:rsidP="00C64F6A">
      <w:pPr>
        <w:spacing w:line="278" w:lineRule="auto"/>
        <w:jc w:val="left"/>
        <w:rPr>
          <w:b/>
          <w:bCs/>
          <w:sz w:val="28"/>
          <w:szCs w:val="28"/>
        </w:rPr>
      </w:pPr>
    </w:p>
    <w:p w14:paraId="14E3B987" w14:textId="77777777" w:rsidR="00C64F6A" w:rsidRDefault="00C64F6A" w:rsidP="00C64F6A">
      <w:pPr>
        <w:spacing w:line="278" w:lineRule="auto"/>
        <w:jc w:val="left"/>
        <w:rPr>
          <w:b/>
          <w:bCs/>
          <w:sz w:val="28"/>
          <w:szCs w:val="28"/>
        </w:rPr>
      </w:pPr>
    </w:p>
    <w:p w14:paraId="7F511AF9" w14:textId="77777777" w:rsidR="00C64F6A" w:rsidRDefault="00C64F6A" w:rsidP="00C64F6A">
      <w:pPr>
        <w:spacing w:line="278" w:lineRule="auto"/>
        <w:jc w:val="left"/>
        <w:rPr>
          <w:b/>
          <w:bCs/>
          <w:sz w:val="28"/>
          <w:szCs w:val="28"/>
        </w:rPr>
      </w:pPr>
    </w:p>
    <w:p w14:paraId="6584C5BB" w14:textId="77777777" w:rsidR="00C64F6A" w:rsidRDefault="00C64F6A" w:rsidP="00C64F6A">
      <w:pPr>
        <w:spacing w:line="278" w:lineRule="auto"/>
        <w:jc w:val="left"/>
        <w:rPr>
          <w:b/>
          <w:bCs/>
          <w:sz w:val="28"/>
          <w:szCs w:val="28"/>
        </w:rPr>
      </w:pPr>
    </w:p>
    <w:p w14:paraId="31A279C4" w14:textId="77777777" w:rsidR="00C64F6A" w:rsidRPr="003674BD" w:rsidRDefault="00C64F6A" w:rsidP="00C64F6A">
      <w:pPr>
        <w:pStyle w:val="Heading1"/>
        <w:rPr>
          <w:lang w:val="en-US"/>
        </w:rPr>
      </w:pPr>
      <w:bookmarkStart w:id="0" w:name="_Toc217212291"/>
      <w:r w:rsidRPr="003674BD">
        <w:rPr>
          <w:lang w:val="en-US"/>
        </w:rPr>
        <w:t>1. Financial Health Check</w:t>
      </w:r>
      <w:bookmarkEnd w:id="0"/>
    </w:p>
    <w:p w14:paraId="41261E15" w14:textId="77777777" w:rsidR="00C64F6A" w:rsidRPr="003674BD" w:rsidRDefault="00C64F6A" w:rsidP="00C64F6A">
      <w:pPr>
        <w:pStyle w:val="Heading2"/>
        <w:rPr>
          <w:lang w:val="en-US"/>
        </w:rPr>
      </w:pPr>
      <w:bookmarkStart w:id="1" w:name="_Toc217212292"/>
      <w:r w:rsidRPr="003674BD">
        <w:rPr>
          <w:lang w:val="en-US"/>
        </w:rPr>
        <w:t>1.1 Purpose and approach</w:t>
      </w:r>
      <w:bookmarkEnd w:id="1"/>
    </w:p>
    <w:p w14:paraId="6E5CE936" w14:textId="77777777" w:rsidR="00C64F6A" w:rsidRPr="003674BD" w:rsidRDefault="00C64F6A" w:rsidP="00C64F6A">
      <w:pPr>
        <w:rPr>
          <w:lang w:val="en-US"/>
        </w:rPr>
      </w:pPr>
      <w:r w:rsidRPr="00B907C2">
        <w:rPr>
          <w:lang w:val="en-US"/>
        </w:rPr>
        <w:t xml:space="preserve">The financial statement analysis and ratio analysis are a systematic approach for the performance, liquidity and risk assessment of the company by converting accounting numbers into comparable indicators from time to time (Panchenko et al., 2024; </w:t>
      </w:r>
      <w:proofErr w:type="spellStart"/>
      <w:r w:rsidRPr="00B907C2">
        <w:rPr>
          <w:lang w:val="en-US"/>
        </w:rPr>
        <w:t>Sidlauskiene</w:t>
      </w:r>
      <w:proofErr w:type="spellEnd"/>
      <w:r w:rsidRPr="00B907C2">
        <w:rPr>
          <w:lang w:val="en-US"/>
        </w:rPr>
        <w:t xml:space="preserve"> et al., 2018).</w:t>
      </w:r>
      <w:r w:rsidRPr="003674BD">
        <w:rPr>
          <w:lang w:val="en-US"/>
        </w:rPr>
        <w:t xml:space="preserve"> </w:t>
      </w:r>
      <w:r w:rsidRPr="00745C69">
        <w:rPr>
          <w:lang w:val="en-US"/>
        </w:rPr>
        <w:t>The review will evaluate the profitability, liquidity, efficiency, gearing/solvency, investment, and cash-flow ratios values of the 2020</w:t>
      </w:r>
      <w:r>
        <w:rPr>
          <w:lang w:val="en-US"/>
        </w:rPr>
        <w:t>-</w:t>
      </w:r>
      <w:r w:rsidRPr="00745C69">
        <w:rPr>
          <w:lang w:val="en-US"/>
        </w:rPr>
        <w:t>2024 consolidated financial statements of General</w:t>
      </w:r>
      <w:r w:rsidRPr="006D44F4">
        <w:t xml:space="preserve"> Electronics</w:t>
      </w:r>
      <w:r w:rsidRPr="00745C69">
        <w:rPr>
          <w:lang w:val="en-US"/>
        </w:rPr>
        <w:t xml:space="preserve"> </w:t>
      </w:r>
      <w:r>
        <w:rPr>
          <w:lang w:val="en-US"/>
        </w:rPr>
        <w:t xml:space="preserve">company </w:t>
      </w:r>
      <w:r w:rsidRPr="00745C69">
        <w:rPr>
          <w:lang w:val="en-US"/>
        </w:rPr>
        <w:t>and, after that, use the Altman Z-score corporate failure predictive model to estimate the risk of default (</w:t>
      </w:r>
      <w:proofErr w:type="spellStart"/>
      <w:r w:rsidRPr="00745C69">
        <w:rPr>
          <w:lang w:val="en-US"/>
        </w:rPr>
        <w:t>Toncheva</w:t>
      </w:r>
      <w:proofErr w:type="spellEnd"/>
      <w:r w:rsidRPr="00745C69">
        <w:rPr>
          <w:lang w:val="en-US"/>
        </w:rPr>
        <w:t xml:space="preserve">, 2025; </w:t>
      </w:r>
      <w:proofErr w:type="spellStart"/>
      <w:r w:rsidRPr="00745C69">
        <w:rPr>
          <w:lang w:val="en-US"/>
        </w:rPr>
        <w:t>Braunsberger</w:t>
      </w:r>
      <w:proofErr w:type="spellEnd"/>
      <w:r w:rsidRPr="00745C69">
        <w:rPr>
          <w:lang w:val="en-US"/>
        </w:rPr>
        <w:t xml:space="preserve"> et al., 2025).</w:t>
      </w:r>
    </w:p>
    <w:p w14:paraId="7D6BB7CC" w14:textId="77777777" w:rsidR="00C64F6A" w:rsidRDefault="00C64F6A" w:rsidP="00C64F6A">
      <w:pPr>
        <w:jc w:val="center"/>
        <w:rPr>
          <w:lang w:val="en-US"/>
        </w:rPr>
      </w:pPr>
      <w:r>
        <w:rPr>
          <w:noProof/>
          <w:lang w:val="en-US"/>
        </w:rPr>
        <w:lastRenderedPageBreak/>
        <w:drawing>
          <wp:inline distT="0" distB="0" distL="0" distR="0" wp14:anchorId="3BBF5BB5" wp14:editId="372DF76F">
            <wp:extent cx="6009640" cy="4448175"/>
            <wp:effectExtent l="0" t="0" r="0" b="9525"/>
            <wp:docPr id="871232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b="5334"/>
                    <a:stretch>
                      <a:fillRect/>
                    </a:stretch>
                  </pic:blipFill>
                  <pic:spPr bwMode="auto">
                    <a:xfrm>
                      <a:off x="0" y="0"/>
                      <a:ext cx="6018499" cy="4454732"/>
                    </a:xfrm>
                    <a:prstGeom prst="rect">
                      <a:avLst/>
                    </a:prstGeom>
                    <a:noFill/>
                    <a:ln>
                      <a:noFill/>
                    </a:ln>
                    <a:extLst>
                      <a:ext uri="{53640926-AAD7-44D8-BBD7-CCE9431645EC}">
                        <a14:shadowObscured xmlns:a14="http://schemas.microsoft.com/office/drawing/2010/main"/>
                      </a:ext>
                    </a:extLst>
                  </pic:spPr>
                </pic:pic>
              </a:graphicData>
            </a:graphic>
          </wp:inline>
        </w:drawing>
      </w:r>
    </w:p>
    <w:p w14:paraId="2876FEA1" w14:textId="77777777" w:rsidR="00C64F6A" w:rsidRDefault="00C64F6A" w:rsidP="00C64F6A">
      <w:pPr>
        <w:pStyle w:val="Caption"/>
      </w:pPr>
      <w:bookmarkStart w:id="2" w:name="_Toc217212344"/>
      <w:r>
        <w:t xml:space="preserve">Figure </w:t>
      </w:r>
      <w:r>
        <w:fldChar w:fldCharType="begin"/>
      </w:r>
      <w:r>
        <w:instrText xml:space="preserve"> SEQ Figure \* ARABIC </w:instrText>
      </w:r>
      <w:r>
        <w:fldChar w:fldCharType="separate"/>
      </w:r>
      <w:r>
        <w:rPr>
          <w:noProof/>
        </w:rPr>
        <w:t>1</w:t>
      </w:r>
      <w:r>
        <w:fldChar w:fldCharType="end"/>
      </w:r>
      <w:r>
        <w:t xml:space="preserve">: </w:t>
      </w:r>
      <w:r w:rsidRPr="00984B57">
        <w:t xml:space="preserve">Financial Ratios to </w:t>
      </w:r>
      <w:r>
        <w:t>C</w:t>
      </w:r>
      <w:r w:rsidRPr="00984B57">
        <w:t xml:space="preserve">heck </w:t>
      </w:r>
      <w:r>
        <w:t>F</w:t>
      </w:r>
      <w:r w:rsidRPr="00984B57">
        <w:t xml:space="preserve">inancial </w:t>
      </w:r>
      <w:r>
        <w:t>H</w:t>
      </w:r>
      <w:r w:rsidRPr="00984B57">
        <w:t>ealth</w:t>
      </w:r>
      <w:bookmarkEnd w:id="2"/>
    </w:p>
    <w:p w14:paraId="78132127" w14:textId="77777777" w:rsidR="00C64F6A" w:rsidRPr="003674BD" w:rsidRDefault="00C64F6A" w:rsidP="00C64F6A">
      <w:pPr>
        <w:rPr>
          <w:lang w:val="en-US"/>
        </w:rPr>
      </w:pPr>
    </w:p>
    <w:p w14:paraId="10EBDDFE" w14:textId="77777777" w:rsidR="00C64F6A" w:rsidRDefault="00C64F6A" w:rsidP="00C64F6A">
      <w:pPr>
        <w:pStyle w:val="Heading2"/>
        <w:rPr>
          <w:lang w:val="en-US"/>
        </w:rPr>
      </w:pPr>
      <w:bookmarkStart w:id="3" w:name="_Toc217212293"/>
      <w:r>
        <w:rPr>
          <w:lang w:val="en-US"/>
        </w:rPr>
        <w:lastRenderedPageBreak/>
        <w:t>1.</w:t>
      </w:r>
      <w:r w:rsidRPr="003674BD">
        <w:rPr>
          <w:lang w:val="en-US"/>
        </w:rPr>
        <w:t>2 Statement-level trend overview</w:t>
      </w:r>
      <w:bookmarkEnd w:id="3"/>
    </w:p>
    <w:p w14:paraId="43B00076" w14:textId="77777777" w:rsidR="00C64F6A" w:rsidRDefault="00C64F6A" w:rsidP="00C64F6A">
      <w:pPr>
        <w:rPr>
          <w:lang w:val="en-US"/>
        </w:rPr>
      </w:pPr>
      <w:r>
        <w:rPr>
          <w:noProof/>
          <w:lang w:val="en-US"/>
        </w:rPr>
        <w:drawing>
          <wp:inline distT="0" distB="0" distL="0" distR="0" wp14:anchorId="797A3E81" wp14:editId="61BCCB41">
            <wp:extent cx="5933628" cy="3990975"/>
            <wp:effectExtent l="0" t="0" r="0" b="0"/>
            <wp:docPr id="89803669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54910" cy="4005289"/>
                    </a:xfrm>
                    <a:prstGeom prst="rect">
                      <a:avLst/>
                    </a:prstGeom>
                    <a:noFill/>
                  </pic:spPr>
                </pic:pic>
              </a:graphicData>
            </a:graphic>
          </wp:inline>
        </w:drawing>
      </w:r>
    </w:p>
    <w:p w14:paraId="520E88A1" w14:textId="77777777" w:rsidR="00C64F6A" w:rsidRDefault="00C64F6A" w:rsidP="00C64F6A">
      <w:pPr>
        <w:pStyle w:val="Caption"/>
      </w:pPr>
      <w:bookmarkStart w:id="4" w:name="_Toc217212345"/>
      <w:r>
        <w:t xml:space="preserve">Figure </w:t>
      </w:r>
      <w:r>
        <w:fldChar w:fldCharType="begin"/>
      </w:r>
      <w:r>
        <w:instrText xml:space="preserve"> SEQ Figure \* ARABIC </w:instrText>
      </w:r>
      <w:r>
        <w:fldChar w:fldCharType="separate"/>
      </w:r>
      <w:r>
        <w:rPr>
          <w:noProof/>
        </w:rPr>
        <w:t>2</w:t>
      </w:r>
      <w:r>
        <w:fldChar w:fldCharType="end"/>
      </w:r>
      <w:r>
        <w:t xml:space="preserve">: </w:t>
      </w:r>
      <w:r w:rsidRPr="00EE64AE">
        <w:t>Financial Statements</w:t>
      </w:r>
      <w:r>
        <w:t xml:space="preserve"> Benefits</w:t>
      </w:r>
      <w:bookmarkEnd w:id="4"/>
    </w:p>
    <w:p w14:paraId="129C798F" w14:textId="77777777" w:rsidR="00C64F6A" w:rsidRPr="00A60CB2" w:rsidRDefault="00C64F6A" w:rsidP="00C64F6A">
      <w:pPr>
        <w:rPr>
          <w:lang w:val="en-US"/>
        </w:rPr>
      </w:pPr>
    </w:p>
    <w:p w14:paraId="17F01A19" w14:textId="77777777" w:rsidR="00C64F6A" w:rsidRPr="003674BD" w:rsidRDefault="00C64F6A" w:rsidP="00C64F6A">
      <w:pPr>
        <w:pStyle w:val="Heading3"/>
        <w:rPr>
          <w:lang w:val="en-US"/>
        </w:rPr>
      </w:pPr>
      <w:bookmarkStart w:id="5" w:name="_Toc217212294"/>
      <w:r>
        <w:rPr>
          <w:lang w:val="en-US"/>
        </w:rPr>
        <w:t>1.</w:t>
      </w:r>
      <w:r w:rsidRPr="003674BD">
        <w:rPr>
          <w:lang w:val="en-US"/>
        </w:rPr>
        <w:t>2.1 Income statement performance</w:t>
      </w:r>
      <w:bookmarkEnd w:id="5"/>
    </w:p>
    <w:p w14:paraId="7125FEEE" w14:textId="77777777" w:rsidR="00C64F6A" w:rsidRDefault="00C64F6A" w:rsidP="00C64F6A">
      <w:pPr>
        <w:rPr>
          <w:lang w:val="en-US"/>
        </w:rPr>
      </w:pPr>
      <w:r w:rsidRPr="00DB5C2D">
        <w:rPr>
          <w:lang w:val="en-US"/>
        </w:rPr>
        <w:t>Sales showed a significant reduction from 2020 to 2024, therefore reflecting a less favorable demand environment and/or a more stressful pressure environment on market share. Gross margin has also been relatively resilient as it quickly touched an elevated level again in 2024, implying that the cost of sales was well controlled as compared to the revenue.</w:t>
      </w:r>
      <w:r w:rsidRPr="003674BD">
        <w:rPr>
          <w:lang w:val="en-US"/>
        </w:rPr>
        <w:t xml:space="preserve"> </w:t>
      </w:r>
      <w:r w:rsidRPr="001C52F7">
        <w:rPr>
          <w:lang w:val="en-US"/>
        </w:rPr>
        <w:t xml:space="preserve">The operating performance is observed to have crumpled in 2023, as the operating expenses increased sharply and led to an operating loss that was subsequently followed by fewer, but still negative operating result in 2024. The fact that the net losses persist in 20232024 suggests that there is a mismatch in the cost base and revenue scale thus fanning the volatility of earnings and undermining the ability of the firm to self-finance investment (West, 2021; </w:t>
      </w:r>
      <w:proofErr w:type="spellStart"/>
      <w:r w:rsidRPr="001C52F7">
        <w:rPr>
          <w:lang w:val="en-US"/>
        </w:rPr>
        <w:t>Toncheva</w:t>
      </w:r>
      <w:proofErr w:type="spellEnd"/>
      <w:r w:rsidRPr="001C52F7">
        <w:rPr>
          <w:lang w:val="en-US"/>
        </w:rPr>
        <w:t>, 2025).</w:t>
      </w:r>
    </w:p>
    <w:p w14:paraId="59B1E619" w14:textId="77777777" w:rsidR="00C64F6A" w:rsidRDefault="00C64F6A" w:rsidP="00C64F6A">
      <w:pPr>
        <w:rPr>
          <w:lang w:val="en-US"/>
        </w:rPr>
      </w:pPr>
      <w:r>
        <w:rPr>
          <w:noProof/>
          <w:lang w:val="en-US"/>
        </w:rPr>
        <w:lastRenderedPageBreak/>
        <w:drawing>
          <wp:inline distT="0" distB="0" distL="0" distR="0" wp14:anchorId="22CE6823" wp14:editId="637DD34A">
            <wp:extent cx="6009640" cy="4829175"/>
            <wp:effectExtent l="0" t="0" r="0" b="9525"/>
            <wp:docPr id="78080494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0">
                      <a:extLst>
                        <a:ext uri="{28A0092B-C50C-407E-A947-70E740481C1C}">
                          <a14:useLocalDpi xmlns:a14="http://schemas.microsoft.com/office/drawing/2010/main" val="0"/>
                        </a:ext>
                      </a:extLst>
                    </a:blip>
                    <a:srcRect b="20228"/>
                    <a:stretch>
                      <a:fillRect/>
                    </a:stretch>
                  </pic:blipFill>
                  <pic:spPr bwMode="auto">
                    <a:xfrm>
                      <a:off x="0" y="0"/>
                      <a:ext cx="6009899" cy="4829383"/>
                    </a:xfrm>
                    <a:prstGeom prst="rect">
                      <a:avLst/>
                    </a:prstGeom>
                    <a:noFill/>
                    <a:ln>
                      <a:noFill/>
                    </a:ln>
                    <a:extLst>
                      <a:ext uri="{53640926-AAD7-44D8-BBD7-CCE9431645EC}">
                        <a14:shadowObscured xmlns:a14="http://schemas.microsoft.com/office/drawing/2010/main"/>
                      </a:ext>
                    </a:extLst>
                  </pic:spPr>
                </pic:pic>
              </a:graphicData>
            </a:graphic>
          </wp:inline>
        </w:drawing>
      </w:r>
    </w:p>
    <w:p w14:paraId="18D52DD1" w14:textId="77777777" w:rsidR="00C64F6A" w:rsidRDefault="00C64F6A" w:rsidP="00C64F6A">
      <w:pPr>
        <w:pStyle w:val="Caption"/>
      </w:pPr>
      <w:bookmarkStart w:id="6" w:name="_Toc217212346"/>
      <w:r>
        <w:t xml:space="preserve">Figure </w:t>
      </w:r>
      <w:r>
        <w:fldChar w:fldCharType="begin"/>
      </w:r>
      <w:r>
        <w:instrText xml:space="preserve"> SEQ Figure \* ARABIC </w:instrText>
      </w:r>
      <w:r>
        <w:fldChar w:fldCharType="separate"/>
      </w:r>
      <w:r>
        <w:rPr>
          <w:noProof/>
        </w:rPr>
        <w:t>3</w:t>
      </w:r>
      <w:r>
        <w:fldChar w:fldCharType="end"/>
      </w:r>
      <w:r>
        <w:t xml:space="preserve">: </w:t>
      </w:r>
      <w:r w:rsidRPr="00E0289C">
        <w:t xml:space="preserve">Income </w:t>
      </w:r>
      <w:r>
        <w:t>S</w:t>
      </w:r>
      <w:r w:rsidRPr="00E0289C">
        <w:t xml:space="preserve">tatement </w:t>
      </w:r>
      <w:r>
        <w:t>P</w:t>
      </w:r>
      <w:r w:rsidRPr="00E0289C">
        <w:t>erformance</w:t>
      </w:r>
      <w:r>
        <w:t xml:space="preserve"> Purpose</w:t>
      </w:r>
      <w:bookmarkEnd w:id="6"/>
    </w:p>
    <w:p w14:paraId="454B7182" w14:textId="77777777" w:rsidR="00C64F6A" w:rsidRPr="003674BD" w:rsidRDefault="00C64F6A" w:rsidP="00C64F6A">
      <w:pPr>
        <w:rPr>
          <w:lang w:val="en-US"/>
        </w:rPr>
      </w:pPr>
    </w:p>
    <w:p w14:paraId="7A4E661C" w14:textId="77777777" w:rsidR="00C64F6A" w:rsidRPr="003674BD" w:rsidRDefault="00C64F6A" w:rsidP="00C64F6A">
      <w:pPr>
        <w:pStyle w:val="Heading3"/>
        <w:rPr>
          <w:lang w:val="en-US"/>
        </w:rPr>
      </w:pPr>
      <w:bookmarkStart w:id="7" w:name="_Toc217212295"/>
      <w:r>
        <w:rPr>
          <w:lang w:val="en-US"/>
        </w:rPr>
        <w:t>1.</w:t>
      </w:r>
      <w:r w:rsidRPr="003674BD">
        <w:rPr>
          <w:lang w:val="en-US"/>
        </w:rPr>
        <w:t>2.2 Balance sheet movement</w:t>
      </w:r>
      <w:bookmarkEnd w:id="7"/>
    </w:p>
    <w:p w14:paraId="2CB030DE" w14:textId="77777777" w:rsidR="00C64F6A" w:rsidRDefault="00C64F6A" w:rsidP="00C64F6A">
      <w:pPr>
        <w:rPr>
          <w:lang w:val="en-US"/>
        </w:rPr>
      </w:pPr>
      <w:r w:rsidRPr="00555E1D">
        <w:rPr>
          <w:lang w:val="en-US"/>
        </w:rPr>
        <w:t>Total assets have significantly declined by 2024 which may be due to a contraction in the business, impairment costs, or disposal of assets, whereas equity has experienced a material decline over the same period. The erosion of the equity base is significant as it reduces the loss absorption capacity of the company and increases the sensitivity to leverage in times of recession as highlighted by Mensah et al. (2025). Although total liabilities also fell from 2022 onwards, the fall in equity was proportionately higher, which weakens gearing ratios and increases perceived credit risk.</w:t>
      </w:r>
    </w:p>
    <w:p w14:paraId="7E4F6F50" w14:textId="77777777" w:rsidR="00C64F6A" w:rsidRDefault="00C64F6A" w:rsidP="00C64F6A">
      <w:pPr>
        <w:jc w:val="center"/>
        <w:rPr>
          <w:lang w:val="en-US"/>
        </w:rPr>
      </w:pPr>
      <w:r>
        <w:rPr>
          <w:noProof/>
          <w:lang w:val="en-US"/>
        </w:rPr>
        <w:lastRenderedPageBreak/>
        <w:drawing>
          <wp:inline distT="0" distB="0" distL="0" distR="0" wp14:anchorId="6D1FB025" wp14:editId="73B57BB7">
            <wp:extent cx="4575498" cy="2257425"/>
            <wp:effectExtent l="0" t="0" r="0" b="0"/>
            <wp:docPr id="193184008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1">
                      <a:extLst>
                        <a:ext uri="{28A0092B-C50C-407E-A947-70E740481C1C}">
                          <a14:useLocalDpi xmlns:a14="http://schemas.microsoft.com/office/drawing/2010/main" val="0"/>
                        </a:ext>
                      </a:extLst>
                    </a:blip>
                    <a:srcRect b="12074"/>
                    <a:stretch>
                      <a:fillRect/>
                    </a:stretch>
                  </pic:blipFill>
                  <pic:spPr bwMode="auto">
                    <a:xfrm>
                      <a:off x="0" y="0"/>
                      <a:ext cx="4587953" cy="2263570"/>
                    </a:xfrm>
                    <a:prstGeom prst="rect">
                      <a:avLst/>
                    </a:prstGeom>
                    <a:noFill/>
                    <a:ln>
                      <a:noFill/>
                    </a:ln>
                    <a:extLst>
                      <a:ext uri="{53640926-AAD7-44D8-BBD7-CCE9431645EC}">
                        <a14:shadowObscured xmlns:a14="http://schemas.microsoft.com/office/drawing/2010/main"/>
                      </a:ext>
                    </a:extLst>
                  </pic:spPr>
                </pic:pic>
              </a:graphicData>
            </a:graphic>
          </wp:inline>
        </w:drawing>
      </w:r>
    </w:p>
    <w:p w14:paraId="486E58E2" w14:textId="77777777" w:rsidR="00C64F6A" w:rsidRDefault="00C64F6A" w:rsidP="00C64F6A">
      <w:pPr>
        <w:pStyle w:val="Caption"/>
      </w:pPr>
      <w:bookmarkStart w:id="8" w:name="_Toc217212347"/>
      <w:r>
        <w:t xml:space="preserve">Figure </w:t>
      </w:r>
      <w:r>
        <w:fldChar w:fldCharType="begin"/>
      </w:r>
      <w:r>
        <w:instrText xml:space="preserve"> SEQ Figure \* ARABIC </w:instrText>
      </w:r>
      <w:r>
        <w:fldChar w:fldCharType="separate"/>
      </w:r>
      <w:r>
        <w:rPr>
          <w:noProof/>
        </w:rPr>
        <w:t>4</w:t>
      </w:r>
      <w:r>
        <w:fldChar w:fldCharType="end"/>
      </w:r>
      <w:r>
        <w:t xml:space="preserve">: </w:t>
      </w:r>
      <w:r w:rsidRPr="00E33EE5">
        <w:t xml:space="preserve">Balance </w:t>
      </w:r>
      <w:r>
        <w:t>S</w:t>
      </w:r>
      <w:r w:rsidRPr="00E33EE5">
        <w:t xml:space="preserve">heet </w:t>
      </w:r>
      <w:r>
        <w:t>Uses</w:t>
      </w:r>
      <w:bookmarkEnd w:id="8"/>
    </w:p>
    <w:p w14:paraId="4C54A3A7" w14:textId="77777777" w:rsidR="00C64F6A" w:rsidRPr="003674BD" w:rsidRDefault="00C64F6A" w:rsidP="00C64F6A">
      <w:pPr>
        <w:rPr>
          <w:lang w:val="en-US"/>
        </w:rPr>
      </w:pPr>
    </w:p>
    <w:p w14:paraId="6617176E" w14:textId="77777777" w:rsidR="00C64F6A" w:rsidRPr="003674BD" w:rsidRDefault="00C64F6A" w:rsidP="00C64F6A">
      <w:pPr>
        <w:pStyle w:val="Heading3"/>
        <w:rPr>
          <w:lang w:val="en-US"/>
        </w:rPr>
      </w:pPr>
      <w:bookmarkStart w:id="9" w:name="_Toc217212296"/>
      <w:r>
        <w:rPr>
          <w:lang w:val="en-US"/>
        </w:rPr>
        <w:t>1.</w:t>
      </w:r>
      <w:r w:rsidRPr="003674BD">
        <w:rPr>
          <w:lang w:val="en-US"/>
        </w:rPr>
        <w:t>2.3 Cash flow quality</w:t>
      </w:r>
      <w:bookmarkEnd w:id="9"/>
    </w:p>
    <w:p w14:paraId="1EEAC808" w14:textId="77777777" w:rsidR="00C64F6A" w:rsidRPr="003674BD" w:rsidRDefault="00C64F6A" w:rsidP="00C64F6A">
      <w:pPr>
        <w:rPr>
          <w:lang w:val="en-US"/>
        </w:rPr>
      </w:pPr>
      <w:r w:rsidRPr="003C2D7C">
        <w:rPr>
          <w:lang w:val="en-US"/>
        </w:rPr>
        <w:t>Cash flow operations were also positive in all the fiscal years, even when the company was experiencing a loss and this is an indicator of an earnings-cash difference due to the non-cash item and working capital changes. However, operating cash flow size decreased considerably compared to 2020, and the cash balances reduced significantly to 2024. In this case, the capacity to continue operations is becoming more interdependent on short-term credit facilities and supplier finance, thus escalating the liquidity risk (Ginting et al., 2025; Gandhi, 2025).</w:t>
      </w:r>
    </w:p>
    <w:p w14:paraId="3008920E" w14:textId="77777777" w:rsidR="00C64F6A" w:rsidRDefault="00C64F6A" w:rsidP="00C64F6A">
      <w:pPr>
        <w:jc w:val="center"/>
        <w:rPr>
          <w:lang w:val="en-US"/>
        </w:rPr>
      </w:pPr>
      <w:r>
        <w:rPr>
          <w:noProof/>
          <w:lang w:val="en-US"/>
        </w:rPr>
        <w:drawing>
          <wp:inline distT="0" distB="0" distL="0" distR="0" wp14:anchorId="14581A7D" wp14:editId="12FCDC65">
            <wp:extent cx="4179819" cy="2349987"/>
            <wp:effectExtent l="0" t="0" r="0" b="0"/>
            <wp:docPr id="143770787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187700" cy="2354418"/>
                    </a:xfrm>
                    <a:prstGeom prst="rect">
                      <a:avLst/>
                    </a:prstGeom>
                    <a:noFill/>
                  </pic:spPr>
                </pic:pic>
              </a:graphicData>
            </a:graphic>
          </wp:inline>
        </w:drawing>
      </w:r>
    </w:p>
    <w:p w14:paraId="53D7F0F0" w14:textId="77777777" w:rsidR="00C64F6A" w:rsidRPr="003674BD" w:rsidRDefault="00C64F6A" w:rsidP="00C64F6A">
      <w:pPr>
        <w:pStyle w:val="Caption"/>
      </w:pPr>
      <w:bookmarkStart w:id="10" w:name="_Toc217212348"/>
      <w:r>
        <w:t xml:space="preserve">Figure </w:t>
      </w:r>
      <w:r>
        <w:fldChar w:fldCharType="begin"/>
      </w:r>
      <w:r>
        <w:instrText xml:space="preserve"> SEQ Figure \* ARABIC </w:instrText>
      </w:r>
      <w:r>
        <w:fldChar w:fldCharType="separate"/>
      </w:r>
      <w:r>
        <w:rPr>
          <w:noProof/>
        </w:rPr>
        <w:t>5</w:t>
      </w:r>
      <w:r>
        <w:fldChar w:fldCharType="end"/>
      </w:r>
      <w:r>
        <w:t xml:space="preserve">: </w:t>
      </w:r>
      <w:r w:rsidRPr="00775990">
        <w:t xml:space="preserve">Cash </w:t>
      </w:r>
      <w:r>
        <w:t>F</w:t>
      </w:r>
      <w:r w:rsidRPr="00775990">
        <w:t xml:space="preserve">low </w:t>
      </w:r>
      <w:r>
        <w:t>Q</w:t>
      </w:r>
      <w:r w:rsidRPr="00775990">
        <w:t xml:space="preserve">uality </w:t>
      </w:r>
      <w:r>
        <w:t>Importance</w:t>
      </w:r>
      <w:bookmarkEnd w:id="10"/>
    </w:p>
    <w:p w14:paraId="1E42F677" w14:textId="77777777" w:rsidR="00C64F6A" w:rsidRDefault="00C64F6A" w:rsidP="00C64F6A">
      <w:pPr>
        <w:pStyle w:val="Heading2"/>
        <w:rPr>
          <w:lang w:val="en-US"/>
        </w:rPr>
      </w:pPr>
      <w:bookmarkStart w:id="11" w:name="_Toc217212297"/>
      <w:r>
        <w:rPr>
          <w:lang w:val="en-US"/>
        </w:rPr>
        <w:lastRenderedPageBreak/>
        <w:t>1.</w:t>
      </w:r>
      <w:r w:rsidRPr="003674BD">
        <w:rPr>
          <w:lang w:val="en-US"/>
        </w:rPr>
        <w:t>3 Full ratio analysis</w:t>
      </w:r>
      <w:bookmarkEnd w:id="11"/>
    </w:p>
    <w:p w14:paraId="09F5ED74" w14:textId="77777777" w:rsidR="00C64F6A" w:rsidRPr="00C14A73" w:rsidRDefault="00C64F6A" w:rsidP="00C64F6A">
      <w:pPr>
        <w:rPr>
          <w:lang w:val="en-US"/>
        </w:rPr>
      </w:pPr>
      <w:r>
        <w:rPr>
          <w:lang w:val="en-US"/>
        </w:rPr>
        <w:t>(Appendix 1 – Ratio Analysis Calculations)</w:t>
      </w:r>
    </w:p>
    <w:p w14:paraId="3AA333C9" w14:textId="77777777" w:rsidR="00C64F6A" w:rsidRPr="003674BD" w:rsidRDefault="00C64F6A" w:rsidP="00C64F6A">
      <w:pPr>
        <w:pStyle w:val="Heading3"/>
        <w:rPr>
          <w:lang w:val="en-US"/>
        </w:rPr>
      </w:pPr>
      <w:bookmarkStart w:id="12" w:name="_Toc217212298"/>
      <w:r>
        <w:rPr>
          <w:lang w:val="en-US"/>
        </w:rPr>
        <w:t>1.</w:t>
      </w:r>
      <w:r w:rsidRPr="003674BD">
        <w:rPr>
          <w:lang w:val="en-US"/>
        </w:rPr>
        <w:t>3.1 Profitability ratios</w:t>
      </w:r>
      <w:bookmarkEnd w:id="12"/>
    </w:p>
    <w:p w14:paraId="22068C26" w14:textId="77777777" w:rsidR="00C64F6A" w:rsidRDefault="00C64F6A" w:rsidP="00C64F6A">
      <w:pPr>
        <w:rPr>
          <w:lang w:val="en-US"/>
        </w:rPr>
      </w:pPr>
      <w:r w:rsidRPr="001547DA">
        <w:rPr>
          <w:lang w:val="en-US"/>
        </w:rPr>
        <w:t>There is a clear deterioration in the profitability. Gross profit margin is relatively static and improves in 2024 - this is a strength in the company because it suggests it still generates value from its core production and merchandising activities. The main weakness is in the level of gross profit as they have an operating margin and net margin which turned strongly negative in 2023 and were still negative in 2024.</w:t>
      </w:r>
      <w:r w:rsidRPr="003674BD">
        <w:rPr>
          <w:lang w:val="en-US"/>
        </w:rPr>
        <w:t xml:space="preserve"> </w:t>
      </w:r>
      <w:r w:rsidRPr="003F2A15">
        <w:rPr>
          <w:lang w:val="en-US"/>
        </w:rPr>
        <w:t>ROA and ROE became negative as well, and operation losses, combined with dumped equity, were both unfavorable. As a manager, these events point to the fact that the recovery of profitability will require a systematic structural restructuring of expenses (especially operating spending), and revenue growth measures, but not just efficiencies in the cost of sales (Panchenko et al., 2024; West, 2021).</w:t>
      </w:r>
    </w:p>
    <w:p w14:paraId="703B5762" w14:textId="77777777" w:rsidR="00C64F6A" w:rsidRDefault="00C64F6A" w:rsidP="00C64F6A">
      <w:pPr>
        <w:jc w:val="center"/>
        <w:rPr>
          <w:lang w:val="en-US"/>
        </w:rPr>
      </w:pPr>
      <w:r>
        <w:rPr>
          <w:noProof/>
        </w:rPr>
        <w:drawing>
          <wp:inline distT="0" distB="0" distL="0" distR="0" wp14:anchorId="099FBDE6" wp14:editId="5044E4AA">
            <wp:extent cx="4572000" cy="3533774"/>
            <wp:effectExtent l="0" t="0" r="0" b="10160"/>
            <wp:docPr id="1930448499" name="Chart 1">
              <a:extLst xmlns:a="http://schemas.openxmlformats.org/drawingml/2006/main">
                <a:ext uri="{FF2B5EF4-FFF2-40B4-BE49-F238E27FC236}">
                  <a16:creationId xmlns:a16="http://schemas.microsoft.com/office/drawing/2014/main" id="{50A99D80-6876-CE5B-CE8D-B29442C8F7B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F9432AE" w14:textId="77777777" w:rsidR="00C64F6A" w:rsidRDefault="00C64F6A" w:rsidP="00C64F6A">
      <w:pPr>
        <w:pStyle w:val="Caption"/>
      </w:pPr>
      <w:bookmarkStart w:id="13" w:name="_Toc217212349"/>
      <w:r>
        <w:t xml:space="preserve">Figure </w:t>
      </w:r>
      <w:r>
        <w:fldChar w:fldCharType="begin"/>
      </w:r>
      <w:r>
        <w:instrText xml:space="preserve"> SEQ Figure \* ARABIC </w:instrText>
      </w:r>
      <w:r>
        <w:fldChar w:fldCharType="separate"/>
      </w:r>
      <w:r>
        <w:rPr>
          <w:noProof/>
        </w:rPr>
        <w:t>6</w:t>
      </w:r>
      <w:r>
        <w:fldChar w:fldCharType="end"/>
      </w:r>
      <w:r>
        <w:t xml:space="preserve">: </w:t>
      </w:r>
      <w:r w:rsidRPr="000A7A3C">
        <w:t>Gross Profit, Operating Profit, Net Profit Margins</w:t>
      </w:r>
      <w:bookmarkEnd w:id="13"/>
    </w:p>
    <w:p w14:paraId="6368FC39" w14:textId="77777777" w:rsidR="00C64F6A" w:rsidRPr="009A47FC" w:rsidRDefault="00C64F6A" w:rsidP="00C64F6A"/>
    <w:p w14:paraId="4DA10DB1" w14:textId="77777777" w:rsidR="00C64F6A" w:rsidRDefault="00C64F6A" w:rsidP="00C64F6A">
      <w:pPr>
        <w:jc w:val="center"/>
        <w:rPr>
          <w:lang w:val="en-US"/>
        </w:rPr>
      </w:pPr>
      <w:r>
        <w:rPr>
          <w:noProof/>
        </w:rPr>
        <w:lastRenderedPageBreak/>
        <w:drawing>
          <wp:inline distT="0" distB="0" distL="0" distR="0" wp14:anchorId="7E052BDD" wp14:editId="2770C2E2">
            <wp:extent cx="4572000" cy="3500438"/>
            <wp:effectExtent l="0" t="0" r="0" b="5080"/>
            <wp:docPr id="170483583" name="Chart 1">
              <a:extLst xmlns:a="http://schemas.openxmlformats.org/drawingml/2006/main">
                <a:ext uri="{FF2B5EF4-FFF2-40B4-BE49-F238E27FC236}">
                  <a16:creationId xmlns:a16="http://schemas.microsoft.com/office/drawing/2014/main" id="{61C03EEC-8E62-8476-AF84-6156D541E8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6972A39" w14:textId="77777777" w:rsidR="00C64F6A" w:rsidRDefault="00C64F6A" w:rsidP="00C64F6A">
      <w:pPr>
        <w:pStyle w:val="Caption"/>
      </w:pPr>
      <w:bookmarkStart w:id="14" w:name="_Toc217212350"/>
      <w:r>
        <w:t xml:space="preserve">Figure </w:t>
      </w:r>
      <w:r>
        <w:fldChar w:fldCharType="begin"/>
      </w:r>
      <w:r>
        <w:instrText xml:space="preserve"> SEQ Figure \* ARABIC </w:instrText>
      </w:r>
      <w:r>
        <w:fldChar w:fldCharType="separate"/>
      </w:r>
      <w:r>
        <w:rPr>
          <w:noProof/>
        </w:rPr>
        <w:t>7</w:t>
      </w:r>
      <w:r>
        <w:fldChar w:fldCharType="end"/>
      </w:r>
      <w:r>
        <w:t xml:space="preserve">: </w:t>
      </w:r>
      <w:r w:rsidRPr="00081204">
        <w:t>ROA and ROE</w:t>
      </w:r>
      <w:bookmarkEnd w:id="14"/>
    </w:p>
    <w:p w14:paraId="603BAE43" w14:textId="77777777" w:rsidR="00C64F6A" w:rsidRPr="003674BD" w:rsidRDefault="00C64F6A" w:rsidP="00C64F6A">
      <w:pPr>
        <w:rPr>
          <w:lang w:val="en-US"/>
        </w:rPr>
      </w:pPr>
    </w:p>
    <w:p w14:paraId="6C992D35" w14:textId="77777777" w:rsidR="00C64F6A" w:rsidRPr="003674BD" w:rsidRDefault="00C64F6A" w:rsidP="00C64F6A">
      <w:pPr>
        <w:pStyle w:val="Heading3"/>
        <w:rPr>
          <w:lang w:val="en-US"/>
        </w:rPr>
      </w:pPr>
      <w:bookmarkStart w:id="15" w:name="_Toc217212299"/>
      <w:r>
        <w:rPr>
          <w:lang w:val="en-US"/>
        </w:rPr>
        <w:t>1.</w:t>
      </w:r>
      <w:r w:rsidRPr="003674BD">
        <w:rPr>
          <w:lang w:val="en-US"/>
        </w:rPr>
        <w:t>3.2 Liquidity ratios</w:t>
      </w:r>
      <w:bookmarkEnd w:id="15"/>
    </w:p>
    <w:p w14:paraId="4B684789" w14:textId="77777777" w:rsidR="00C64F6A" w:rsidRDefault="00C64F6A" w:rsidP="00C64F6A">
      <w:pPr>
        <w:rPr>
          <w:lang w:val="en-US"/>
        </w:rPr>
      </w:pPr>
      <w:r w:rsidRPr="00377133">
        <w:rPr>
          <w:lang w:val="en-US"/>
        </w:rPr>
        <w:t>Liquidity is mixed. The value of the current ratio is more than 1 throughout the period and this shows that the firm can meet its short menus of obligations in accounting circumstances. However, the cash ratio decreases significantly by 2024 indicating a shift in liquidity to the immediate period and the need for greater reliance on conversion of receivables and inventory or on short-term financing arrangements.</w:t>
      </w:r>
      <w:r w:rsidRPr="003674BD">
        <w:rPr>
          <w:lang w:val="en-US"/>
        </w:rPr>
        <w:t xml:space="preserve"> </w:t>
      </w:r>
      <w:r w:rsidRPr="004D7B6F">
        <w:rPr>
          <w:lang w:val="en-US"/>
        </w:rPr>
        <w:t>When liquidity is seen to be constant yet cash balances fall, then the liquidity quality is questioned especially in cases of protracted accounts receivable or in situations when inventory becomes harder to liquidate at book value (Chamma et al., 2025; Yolanda et al., 2025). During a recession or a restrictive credit policy, such a structure can further stress short term financing.</w:t>
      </w:r>
    </w:p>
    <w:p w14:paraId="7A8D2137" w14:textId="77777777" w:rsidR="00C64F6A" w:rsidRDefault="00C64F6A" w:rsidP="00C64F6A">
      <w:pPr>
        <w:jc w:val="center"/>
        <w:rPr>
          <w:lang w:val="en-US"/>
        </w:rPr>
      </w:pPr>
      <w:r>
        <w:rPr>
          <w:noProof/>
        </w:rPr>
        <w:lastRenderedPageBreak/>
        <w:drawing>
          <wp:inline distT="0" distB="0" distL="0" distR="0" wp14:anchorId="2BF12CD9" wp14:editId="5E524504">
            <wp:extent cx="4572000" cy="2743200"/>
            <wp:effectExtent l="0" t="0" r="0" b="0"/>
            <wp:docPr id="1542050660" name="Chart 1">
              <a:extLst xmlns:a="http://schemas.openxmlformats.org/drawingml/2006/main">
                <a:ext uri="{FF2B5EF4-FFF2-40B4-BE49-F238E27FC236}">
                  <a16:creationId xmlns:a16="http://schemas.microsoft.com/office/drawing/2014/main" id="{EBFCB582-7439-6017-DE00-E4C7B2A52F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3404201" w14:textId="77777777" w:rsidR="00C64F6A" w:rsidRDefault="00C64F6A" w:rsidP="00C64F6A">
      <w:pPr>
        <w:pStyle w:val="Caption"/>
      </w:pPr>
      <w:bookmarkStart w:id="16" w:name="_Toc217212351"/>
      <w:r>
        <w:t xml:space="preserve">Figure </w:t>
      </w:r>
      <w:r>
        <w:fldChar w:fldCharType="begin"/>
      </w:r>
      <w:r>
        <w:instrText xml:space="preserve"> SEQ Figure \* ARABIC </w:instrText>
      </w:r>
      <w:r>
        <w:fldChar w:fldCharType="separate"/>
      </w:r>
      <w:r>
        <w:rPr>
          <w:noProof/>
        </w:rPr>
        <w:t>8</w:t>
      </w:r>
      <w:r>
        <w:fldChar w:fldCharType="end"/>
      </w:r>
      <w:r>
        <w:t xml:space="preserve">: </w:t>
      </w:r>
      <w:r w:rsidRPr="00117E2E">
        <w:t>Liquidity Ratios</w:t>
      </w:r>
      <w:bookmarkEnd w:id="16"/>
    </w:p>
    <w:p w14:paraId="2330E021" w14:textId="77777777" w:rsidR="00C64F6A" w:rsidRPr="003674BD" w:rsidRDefault="00C64F6A" w:rsidP="00C64F6A">
      <w:pPr>
        <w:rPr>
          <w:lang w:val="en-US"/>
        </w:rPr>
      </w:pPr>
    </w:p>
    <w:p w14:paraId="25131B92" w14:textId="77777777" w:rsidR="00C64F6A" w:rsidRPr="003674BD" w:rsidRDefault="00C64F6A" w:rsidP="00C64F6A">
      <w:pPr>
        <w:pStyle w:val="Heading3"/>
        <w:rPr>
          <w:lang w:val="en-US"/>
        </w:rPr>
      </w:pPr>
      <w:bookmarkStart w:id="17" w:name="_Toc217212300"/>
      <w:r>
        <w:rPr>
          <w:lang w:val="en-US"/>
        </w:rPr>
        <w:t>1.</w:t>
      </w:r>
      <w:r w:rsidRPr="003674BD">
        <w:rPr>
          <w:lang w:val="en-US"/>
        </w:rPr>
        <w:t>3.3 Efficiency ratios and working capital discipline</w:t>
      </w:r>
      <w:bookmarkEnd w:id="17"/>
    </w:p>
    <w:p w14:paraId="691571C0" w14:textId="77777777" w:rsidR="00C64F6A" w:rsidRDefault="00C64F6A" w:rsidP="00C64F6A">
      <w:pPr>
        <w:rPr>
          <w:lang w:val="en-US"/>
        </w:rPr>
      </w:pPr>
      <w:r w:rsidRPr="0051353B">
        <w:rPr>
          <w:lang w:val="en-US"/>
        </w:rPr>
        <w:t>Efficiency metrics are used to demonstrate a clear increase in working capital pressure. The material deterioration of receivables turnover in the 2023-2024 period points to a slowdown of the collecting process and a high level of capital tied up in customer credit, thus confirming the deterioration in operating performance experienced. Conversely, inventory turnover has improved following 2022, which signals more effective inventory management and attenuation of stock level risk in the future, thus constituting partial strength.</w:t>
      </w:r>
      <w:r w:rsidRPr="003674BD">
        <w:rPr>
          <w:lang w:val="en-US"/>
        </w:rPr>
        <w:t xml:space="preserve"> </w:t>
      </w:r>
      <w:r w:rsidRPr="00651875">
        <w:rPr>
          <w:lang w:val="en-US"/>
        </w:rPr>
        <w:t xml:space="preserve">Nevertheless, as inventory efficiency increases, it is usually accompanied by a reduction in receivables conversion rate, which increases the cash conversion cycle and may cause a constraint on available cash, especially when operating margins become negative (Asman et al., 2022; </w:t>
      </w:r>
      <w:proofErr w:type="spellStart"/>
      <w:r w:rsidRPr="00651875">
        <w:rPr>
          <w:lang w:val="en-US"/>
        </w:rPr>
        <w:t>Eldomiaty</w:t>
      </w:r>
      <w:proofErr w:type="spellEnd"/>
      <w:r w:rsidRPr="00651875">
        <w:rPr>
          <w:lang w:val="en-US"/>
        </w:rPr>
        <w:t xml:space="preserve"> et al., 2023). The empirical literature seems to continuously indicate that extended cash conversion times are associated with reduced profitability and increased risk in a wide range of industries, which confirms the paramount role of a well-maintained working capital regulation (Ishikawa et al., 2025; Michalski et al., 2025).</w:t>
      </w:r>
    </w:p>
    <w:p w14:paraId="76B9B80D" w14:textId="77777777" w:rsidR="00C64F6A" w:rsidRDefault="00C64F6A" w:rsidP="00C64F6A">
      <w:pPr>
        <w:jc w:val="center"/>
        <w:rPr>
          <w:lang w:val="en-US"/>
        </w:rPr>
      </w:pPr>
      <w:r>
        <w:rPr>
          <w:noProof/>
        </w:rPr>
        <w:lastRenderedPageBreak/>
        <w:drawing>
          <wp:inline distT="0" distB="0" distL="0" distR="0" wp14:anchorId="152E8F89" wp14:editId="36452F85">
            <wp:extent cx="5029200" cy="4695825"/>
            <wp:effectExtent l="0" t="0" r="0" b="9525"/>
            <wp:docPr id="171254710" name="Chart 1">
              <a:extLst xmlns:a="http://schemas.openxmlformats.org/drawingml/2006/main">
                <a:ext uri="{FF2B5EF4-FFF2-40B4-BE49-F238E27FC236}">
                  <a16:creationId xmlns:a16="http://schemas.microsoft.com/office/drawing/2014/main" id="{74D84CEB-12A5-9B7C-5246-5C5D3075A1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DD6BABD" w14:textId="77777777" w:rsidR="00C64F6A" w:rsidRDefault="00C64F6A" w:rsidP="00C64F6A">
      <w:pPr>
        <w:pStyle w:val="Caption"/>
      </w:pPr>
      <w:bookmarkStart w:id="18" w:name="_Toc217212352"/>
      <w:r>
        <w:t xml:space="preserve">Figure </w:t>
      </w:r>
      <w:r>
        <w:fldChar w:fldCharType="begin"/>
      </w:r>
      <w:r>
        <w:instrText xml:space="preserve"> SEQ Figure \* ARABIC </w:instrText>
      </w:r>
      <w:r>
        <w:fldChar w:fldCharType="separate"/>
      </w:r>
      <w:r>
        <w:rPr>
          <w:noProof/>
        </w:rPr>
        <w:t>9</w:t>
      </w:r>
      <w:r>
        <w:fldChar w:fldCharType="end"/>
      </w:r>
      <w:r>
        <w:t xml:space="preserve">: </w:t>
      </w:r>
      <w:r w:rsidRPr="00A72326">
        <w:t>Efficiency Ratios</w:t>
      </w:r>
      <w:bookmarkEnd w:id="18"/>
    </w:p>
    <w:p w14:paraId="41C6D3C7" w14:textId="77777777" w:rsidR="00C64F6A" w:rsidRPr="003674BD" w:rsidRDefault="00C64F6A" w:rsidP="00C64F6A">
      <w:pPr>
        <w:rPr>
          <w:lang w:val="en-US"/>
        </w:rPr>
      </w:pPr>
    </w:p>
    <w:p w14:paraId="03B76173" w14:textId="77777777" w:rsidR="00C64F6A" w:rsidRPr="003674BD" w:rsidRDefault="00C64F6A" w:rsidP="00C64F6A">
      <w:pPr>
        <w:pStyle w:val="Heading3"/>
        <w:rPr>
          <w:lang w:val="en-US"/>
        </w:rPr>
      </w:pPr>
      <w:bookmarkStart w:id="19" w:name="_Toc217212301"/>
      <w:r>
        <w:rPr>
          <w:lang w:val="en-US"/>
        </w:rPr>
        <w:t>1.</w:t>
      </w:r>
      <w:r w:rsidRPr="003674BD">
        <w:rPr>
          <w:lang w:val="en-US"/>
        </w:rPr>
        <w:t>3.4 Gearing and solvency ratios</w:t>
      </w:r>
      <w:bookmarkEnd w:id="19"/>
    </w:p>
    <w:p w14:paraId="2D221853" w14:textId="77777777" w:rsidR="00C64F6A" w:rsidRDefault="00C64F6A" w:rsidP="00C64F6A">
      <w:pPr>
        <w:rPr>
          <w:lang w:val="en-US"/>
        </w:rPr>
      </w:pPr>
      <w:r w:rsidRPr="00807451">
        <w:rPr>
          <w:lang w:val="en-US"/>
        </w:rPr>
        <w:t>Solvency risk has increased. The debt-to-equity ratio goes up continuously, which is higher than 1 by 2024, while the equity ratio falls indicating that the firm is more leveraged and is funded less with equity than it was in 2020. Interest coverage is noticeably lower and turns negative in 2023-2024, due to negative EBIT.</w:t>
      </w:r>
      <w:r w:rsidRPr="003674BD">
        <w:rPr>
          <w:lang w:val="en-US"/>
        </w:rPr>
        <w:t xml:space="preserve"> </w:t>
      </w:r>
      <w:r w:rsidRPr="0099389D">
        <w:rPr>
          <w:lang w:val="en-US"/>
        </w:rPr>
        <w:t>Negative interest coverage is a red-flagging indicator, which means that operating profit is not enough to cover the cost of financing without cash reserves, selling assets, or borrowing (Mensah et al., 2025).  This direction magnifies the default risk through reduced lender trust and reduced covenant headroom, however, where the headline liquidity ratios may already be satisfactory.</w:t>
      </w:r>
    </w:p>
    <w:p w14:paraId="100BEDB0" w14:textId="77777777" w:rsidR="00C64F6A" w:rsidRDefault="00C64F6A" w:rsidP="00C64F6A">
      <w:pPr>
        <w:jc w:val="center"/>
        <w:rPr>
          <w:lang w:val="en-US"/>
        </w:rPr>
      </w:pPr>
      <w:r>
        <w:rPr>
          <w:noProof/>
        </w:rPr>
        <w:lastRenderedPageBreak/>
        <w:drawing>
          <wp:inline distT="0" distB="0" distL="0" distR="0" wp14:anchorId="173CD65D" wp14:editId="13F8677C">
            <wp:extent cx="4572000" cy="2743200"/>
            <wp:effectExtent l="0" t="0" r="0" b="0"/>
            <wp:docPr id="350800734" name="Chart 1">
              <a:extLst xmlns:a="http://schemas.openxmlformats.org/drawingml/2006/main">
                <a:ext uri="{FF2B5EF4-FFF2-40B4-BE49-F238E27FC236}">
                  <a16:creationId xmlns:a16="http://schemas.microsoft.com/office/drawing/2014/main" id="{4887C4D2-A57A-2061-3D77-2968C425511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4AA41FE" w14:textId="77777777" w:rsidR="00C64F6A" w:rsidRDefault="00C64F6A" w:rsidP="00C64F6A">
      <w:pPr>
        <w:pStyle w:val="Caption"/>
        <w:rPr>
          <w:lang w:val="en-US"/>
        </w:rPr>
      </w:pPr>
      <w:bookmarkStart w:id="20" w:name="_Toc217212353"/>
      <w:r>
        <w:t xml:space="preserve">Figure </w:t>
      </w:r>
      <w:r>
        <w:fldChar w:fldCharType="begin"/>
      </w:r>
      <w:r>
        <w:instrText xml:space="preserve"> SEQ Figure \* ARABIC </w:instrText>
      </w:r>
      <w:r>
        <w:fldChar w:fldCharType="separate"/>
      </w:r>
      <w:r>
        <w:rPr>
          <w:noProof/>
        </w:rPr>
        <w:t>10</w:t>
      </w:r>
      <w:r>
        <w:fldChar w:fldCharType="end"/>
      </w:r>
      <w:r>
        <w:t>: D</w:t>
      </w:r>
      <w:r w:rsidRPr="006872FB">
        <w:t xml:space="preserve">ebt, </w:t>
      </w:r>
      <w:r>
        <w:t>E</w:t>
      </w:r>
      <w:r w:rsidRPr="006872FB">
        <w:t xml:space="preserve">quity </w:t>
      </w:r>
      <w:r>
        <w:t>R</w:t>
      </w:r>
      <w:r w:rsidRPr="006872FB">
        <w:t>atios</w:t>
      </w:r>
      <w:bookmarkEnd w:id="20"/>
    </w:p>
    <w:p w14:paraId="02B28AF0" w14:textId="77777777" w:rsidR="00C64F6A" w:rsidRDefault="00C64F6A" w:rsidP="00C64F6A">
      <w:pPr>
        <w:jc w:val="center"/>
        <w:rPr>
          <w:lang w:val="en-US"/>
        </w:rPr>
      </w:pPr>
      <w:r>
        <w:rPr>
          <w:noProof/>
        </w:rPr>
        <w:drawing>
          <wp:inline distT="0" distB="0" distL="0" distR="0" wp14:anchorId="3BA6AE47" wp14:editId="0478B669">
            <wp:extent cx="4572000" cy="2743200"/>
            <wp:effectExtent l="0" t="0" r="0" b="0"/>
            <wp:docPr id="1182161556" name="Chart 1">
              <a:extLst xmlns:a="http://schemas.openxmlformats.org/drawingml/2006/main">
                <a:ext uri="{FF2B5EF4-FFF2-40B4-BE49-F238E27FC236}">
                  <a16:creationId xmlns:a16="http://schemas.microsoft.com/office/drawing/2014/main" id="{7C8E419E-11F2-C6CD-6DCD-01AC034B695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688CE9D" w14:textId="77777777" w:rsidR="00C64F6A" w:rsidRDefault="00C64F6A" w:rsidP="00C64F6A">
      <w:pPr>
        <w:pStyle w:val="Caption"/>
      </w:pPr>
      <w:bookmarkStart w:id="21" w:name="_Toc217212354"/>
      <w:r>
        <w:t xml:space="preserve">Figure </w:t>
      </w:r>
      <w:r>
        <w:fldChar w:fldCharType="begin"/>
      </w:r>
      <w:r>
        <w:instrText xml:space="preserve"> SEQ Figure \* ARABIC </w:instrText>
      </w:r>
      <w:r>
        <w:fldChar w:fldCharType="separate"/>
      </w:r>
      <w:r>
        <w:rPr>
          <w:noProof/>
        </w:rPr>
        <w:t>11</w:t>
      </w:r>
      <w:r>
        <w:fldChar w:fldCharType="end"/>
      </w:r>
      <w:r>
        <w:t xml:space="preserve">: </w:t>
      </w:r>
      <w:r w:rsidRPr="00CA449A">
        <w:t>Debt to Equity Ratio and Interest Coverage Ratio</w:t>
      </w:r>
      <w:bookmarkEnd w:id="21"/>
    </w:p>
    <w:p w14:paraId="196B2412" w14:textId="77777777" w:rsidR="00C64F6A" w:rsidRPr="003674BD" w:rsidRDefault="00C64F6A" w:rsidP="00C64F6A">
      <w:pPr>
        <w:rPr>
          <w:lang w:val="en-US"/>
        </w:rPr>
      </w:pPr>
    </w:p>
    <w:p w14:paraId="3E539883" w14:textId="77777777" w:rsidR="00C64F6A" w:rsidRPr="003674BD" w:rsidRDefault="00C64F6A" w:rsidP="00C64F6A">
      <w:pPr>
        <w:pStyle w:val="Heading3"/>
        <w:rPr>
          <w:lang w:val="en-US"/>
        </w:rPr>
      </w:pPr>
      <w:bookmarkStart w:id="22" w:name="_Toc217212302"/>
      <w:r>
        <w:rPr>
          <w:lang w:val="en-US"/>
        </w:rPr>
        <w:t>1.</w:t>
      </w:r>
      <w:r w:rsidRPr="003674BD">
        <w:rPr>
          <w:lang w:val="en-US"/>
        </w:rPr>
        <w:t>3.5 Investment and market indicators</w:t>
      </w:r>
      <w:bookmarkEnd w:id="22"/>
    </w:p>
    <w:p w14:paraId="280EA87E" w14:textId="77777777" w:rsidR="00C64F6A" w:rsidRDefault="00C64F6A" w:rsidP="00C64F6A">
      <w:pPr>
        <w:rPr>
          <w:lang w:val="en-US"/>
        </w:rPr>
      </w:pPr>
      <w:r w:rsidRPr="000B2EA0">
        <w:rPr>
          <w:lang w:val="en-US"/>
        </w:rPr>
        <w:t xml:space="preserve">The earnings per share (EPS) show a strong negative trend and remain in a negative state throughout 2021-2024, implying a decline in shareholder value and, as a result, a loss of market confidence. The shrinking of the equity base, together with persistently negative EPS, may limit the access of the firm to equity financing and increase its reliance </w:t>
      </w:r>
      <w:r w:rsidRPr="000B2EA0">
        <w:rPr>
          <w:lang w:val="en-US"/>
        </w:rPr>
        <w:lastRenderedPageBreak/>
        <w:t>on debt or restructuring initiatives, especially if the trajectory of recovery becomes less than expected (Akbar et al., 2022; Nguyen et al., 2025).</w:t>
      </w:r>
    </w:p>
    <w:p w14:paraId="5562A783" w14:textId="77777777" w:rsidR="00C64F6A" w:rsidRDefault="00C64F6A" w:rsidP="00C64F6A">
      <w:pPr>
        <w:jc w:val="center"/>
        <w:rPr>
          <w:lang w:val="en-US"/>
        </w:rPr>
      </w:pPr>
      <w:r>
        <w:rPr>
          <w:noProof/>
        </w:rPr>
        <w:drawing>
          <wp:inline distT="0" distB="0" distL="0" distR="0" wp14:anchorId="25FA7ABE" wp14:editId="15437F07">
            <wp:extent cx="4572000" cy="2743200"/>
            <wp:effectExtent l="0" t="0" r="0" b="0"/>
            <wp:docPr id="602210258" name="Chart 1">
              <a:extLst xmlns:a="http://schemas.openxmlformats.org/drawingml/2006/main">
                <a:ext uri="{FF2B5EF4-FFF2-40B4-BE49-F238E27FC236}">
                  <a16:creationId xmlns:a16="http://schemas.microsoft.com/office/drawing/2014/main" id="{54865233-51EE-F20D-44B5-2720FC34B23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4C14034" w14:textId="77777777" w:rsidR="00C64F6A" w:rsidRDefault="00C64F6A" w:rsidP="00C64F6A">
      <w:pPr>
        <w:pStyle w:val="Caption"/>
        <w:rPr>
          <w:lang w:val="en-US"/>
        </w:rPr>
      </w:pPr>
      <w:bookmarkStart w:id="23" w:name="_Toc217212355"/>
      <w:r>
        <w:t xml:space="preserve">Figure </w:t>
      </w:r>
      <w:r>
        <w:fldChar w:fldCharType="begin"/>
      </w:r>
      <w:r>
        <w:instrText xml:space="preserve"> SEQ Figure \* ARABIC </w:instrText>
      </w:r>
      <w:r>
        <w:fldChar w:fldCharType="separate"/>
      </w:r>
      <w:r>
        <w:rPr>
          <w:noProof/>
        </w:rPr>
        <w:t>12</w:t>
      </w:r>
      <w:r>
        <w:fldChar w:fldCharType="end"/>
      </w:r>
      <w:r>
        <w:t xml:space="preserve">: </w:t>
      </w:r>
      <w:r w:rsidRPr="006518DC">
        <w:t>Earnings per Share (£)</w:t>
      </w:r>
      <w:bookmarkEnd w:id="23"/>
    </w:p>
    <w:p w14:paraId="44C8EF25" w14:textId="77777777" w:rsidR="00C64F6A" w:rsidRPr="003674BD" w:rsidRDefault="00C64F6A" w:rsidP="00C64F6A">
      <w:pPr>
        <w:jc w:val="center"/>
        <w:rPr>
          <w:lang w:val="en-US"/>
        </w:rPr>
      </w:pPr>
    </w:p>
    <w:p w14:paraId="6B8B39A0" w14:textId="77777777" w:rsidR="00C64F6A" w:rsidRPr="003674BD" w:rsidRDefault="00C64F6A" w:rsidP="00C64F6A">
      <w:pPr>
        <w:pStyle w:val="Heading3"/>
        <w:rPr>
          <w:lang w:val="en-US"/>
        </w:rPr>
      </w:pPr>
      <w:bookmarkStart w:id="24" w:name="_Toc217212303"/>
      <w:r>
        <w:rPr>
          <w:lang w:val="en-US"/>
        </w:rPr>
        <w:t>1.</w:t>
      </w:r>
      <w:r w:rsidRPr="003674BD">
        <w:rPr>
          <w:lang w:val="en-US"/>
        </w:rPr>
        <w:t>3.6 Cash flow ratios</w:t>
      </w:r>
      <w:bookmarkEnd w:id="24"/>
    </w:p>
    <w:p w14:paraId="572EB180" w14:textId="77777777" w:rsidR="00C64F6A" w:rsidRPr="003674BD" w:rsidRDefault="00C64F6A" w:rsidP="00C64F6A">
      <w:pPr>
        <w:rPr>
          <w:lang w:val="en-US"/>
        </w:rPr>
      </w:pPr>
      <w:r w:rsidRPr="00781751">
        <w:rPr>
          <w:lang w:val="en-US"/>
        </w:rPr>
        <w:t>Cash flow measures are resilient and risky. Cash flow is operating and this aspect argues its strength since it depicts the continued generation of cash through core business and working-capital modifications, despite the reported accounting losses.</w:t>
      </w:r>
      <w:r>
        <w:rPr>
          <w:lang w:val="en-US"/>
        </w:rPr>
        <w:t xml:space="preserve"> </w:t>
      </w:r>
      <w:r w:rsidRPr="00781751">
        <w:rPr>
          <w:lang w:val="en-US"/>
        </w:rPr>
        <w:t>However, the operating cash flow is showing an eminent reduction in the years which means that operational cash flow is increasingly less adequate when compared to current liabilities thus posing a considerable threat when the business relies on short term finances.</w:t>
      </w:r>
      <w:r w:rsidRPr="003674BD">
        <w:rPr>
          <w:lang w:val="en-US"/>
        </w:rPr>
        <w:t xml:space="preserve"> </w:t>
      </w:r>
      <w:r w:rsidRPr="00336736">
        <w:rPr>
          <w:lang w:val="en-US"/>
        </w:rPr>
        <w:t>Free cash flow is positive for most of the years being assessed; however, it is significantly lower in 2024 compared to 2020, indicating a lower ability to invest and reduced financial flexibility (</w:t>
      </w:r>
      <w:proofErr w:type="spellStart"/>
      <w:r w:rsidRPr="00336736">
        <w:rPr>
          <w:lang w:val="en-US"/>
        </w:rPr>
        <w:t>Sienatra</w:t>
      </w:r>
      <w:proofErr w:type="spellEnd"/>
      <w:r w:rsidRPr="00336736">
        <w:rPr>
          <w:lang w:val="en-US"/>
        </w:rPr>
        <w:t xml:space="preserve"> et al., 2025). Concurrently, the cash-to-debt ratio worsens, supporting the idea that maintaining the leverage using internally generated cash is becoming increasingly difficult (Ginting et al., 2025).</w:t>
      </w:r>
    </w:p>
    <w:p w14:paraId="355C5770" w14:textId="77777777" w:rsidR="00C64F6A" w:rsidRDefault="00C64F6A" w:rsidP="00C64F6A">
      <w:pPr>
        <w:jc w:val="center"/>
        <w:rPr>
          <w:lang w:val="en-US"/>
        </w:rPr>
      </w:pPr>
      <w:r>
        <w:rPr>
          <w:noProof/>
        </w:rPr>
        <w:lastRenderedPageBreak/>
        <w:drawing>
          <wp:inline distT="0" distB="0" distL="0" distR="0" wp14:anchorId="596CE544" wp14:editId="41A4449C">
            <wp:extent cx="5305425" cy="3543300"/>
            <wp:effectExtent l="0" t="0" r="9525" b="0"/>
            <wp:docPr id="1607108072" name="Chart 1">
              <a:extLst xmlns:a="http://schemas.openxmlformats.org/drawingml/2006/main">
                <a:ext uri="{FF2B5EF4-FFF2-40B4-BE49-F238E27FC236}">
                  <a16:creationId xmlns:a16="http://schemas.microsoft.com/office/drawing/2014/main" id="{EC455B3F-FBC0-1233-3FA2-600863E423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329338A8" w14:textId="77777777" w:rsidR="00C64F6A" w:rsidRDefault="00C64F6A" w:rsidP="00C64F6A">
      <w:pPr>
        <w:pStyle w:val="Caption"/>
        <w:rPr>
          <w:lang w:val="en-US"/>
        </w:rPr>
      </w:pPr>
      <w:bookmarkStart w:id="25" w:name="_Toc217212356"/>
      <w:r>
        <w:t xml:space="preserve">Figure </w:t>
      </w:r>
      <w:r>
        <w:fldChar w:fldCharType="begin"/>
      </w:r>
      <w:r>
        <w:instrText xml:space="preserve"> SEQ Figure \* ARABIC </w:instrText>
      </w:r>
      <w:r>
        <w:fldChar w:fldCharType="separate"/>
      </w:r>
      <w:r>
        <w:rPr>
          <w:noProof/>
        </w:rPr>
        <w:t>13</w:t>
      </w:r>
      <w:r>
        <w:fldChar w:fldCharType="end"/>
      </w:r>
      <w:r>
        <w:t xml:space="preserve">: </w:t>
      </w:r>
      <w:r w:rsidRPr="00267A59">
        <w:t>Operating Cash Flow Ratio and Cash Flow to Debt Ratio</w:t>
      </w:r>
      <w:bookmarkEnd w:id="25"/>
    </w:p>
    <w:p w14:paraId="54F15E1F" w14:textId="77777777" w:rsidR="00C64F6A" w:rsidRDefault="00C64F6A" w:rsidP="00C64F6A">
      <w:pPr>
        <w:jc w:val="center"/>
        <w:rPr>
          <w:lang w:val="en-US"/>
        </w:rPr>
      </w:pPr>
      <w:r>
        <w:rPr>
          <w:noProof/>
        </w:rPr>
        <w:drawing>
          <wp:inline distT="0" distB="0" distL="0" distR="0" wp14:anchorId="55E8E585" wp14:editId="62B9F8C7">
            <wp:extent cx="5343525" cy="3800475"/>
            <wp:effectExtent l="0" t="0" r="9525" b="9525"/>
            <wp:docPr id="1665116112" name="Chart 1">
              <a:extLst xmlns:a="http://schemas.openxmlformats.org/drawingml/2006/main">
                <a:ext uri="{FF2B5EF4-FFF2-40B4-BE49-F238E27FC236}">
                  <a16:creationId xmlns:a16="http://schemas.microsoft.com/office/drawing/2014/main" id="{7D569D0A-EDCF-5613-6E54-722B47C67B4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4AB4A3FA" w14:textId="77777777" w:rsidR="00C64F6A" w:rsidRDefault="00C64F6A" w:rsidP="00C64F6A">
      <w:pPr>
        <w:pStyle w:val="Caption"/>
        <w:rPr>
          <w:lang w:val="en-US"/>
        </w:rPr>
      </w:pPr>
      <w:bookmarkStart w:id="26" w:name="_Toc217212357"/>
      <w:r>
        <w:t xml:space="preserve">Figure </w:t>
      </w:r>
      <w:r>
        <w:fldChar w:fldCharType="begin"/>
      </w:r>
      <w:r>
        <w:instrText xml:space="preserve"> SEQ Figure \* ARABIC </w:instrText>
      </w:r>
      <w:r>
        <w:fldChar w:fldCharType="separate"/>
      </w:r>
      <w:r>
        <w:rPr>
          <w:noProof/>
        </w:rPr>
        <w:t>14</w:t>
      </w:r>
      <w:r>
        <w:fldChar w:fldCharType="end"/>
      </w:r>
      <w:r>
        <w:t xml:space="preserve">: </w:t>
      </w:r>
      <w:r w:rsidRPr="005C230A">
        <w:t>Free Cash Flow (FCF)</w:t>
      </w:r>
      <w:bookmarkEnd w:id="26"/>
    </w:p>
    <w:p w14:paraId="0F038A0F" w14:textId="77777777" w:rsidR="00C64F6A" w:rsidRDefault="00C64F6A" w:rsidP="00C64F6A">
      <w:pPr>
        <w:jc w:val="center"/>
        <w:rPr>
          <w:lang w:val="en-US"/>
        </w:rPr>
      </w:pPr>
      <w:r>
        <w:rPr>
          <w:noProof/>
        </w:rPr>
        <w:lastRenderedPageBreak/>
        <w:drawing>
          <wp:inline distT="0" distB="0" distL="0" distR="0" wp14:anchorId="1389E5DA" wp14:editId="2C43A3D4">
            <wp:extent cx="4572000" cy="2743200"/>
            <wp:effectExtent l="0" t="0" r="0" b="0"/>
            <wp:docPr id="736924893" name="Chart 1">
              <a:extLst xmlns:a="http://schemas.openxmlformats.org/drawingml/2006/main">
                <a:ext uri="{FF2B5EF4-FFF2-40B4-BE49-F238E27FC236}">
                  <a16:creationId xmlns:a16="http://schemas.microsoft.com/office/drawing/2014/main" id="{043AC925-73E9-7EF7-746E-D2EC350D6B2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15D42BEE" w14:textId="77777777" w:rsidR="00C64F6A" w:rsidRDefault="00C64F6A" w:rsidP="00C64F6A">
      <w:pPr>
        <w:pStyle w:val="Caption"/>
      </w:pPr>
      <w:bookmarkStart w:id="27" w:name="_Toc217212358"/>
      <w:r>
        <w:t xml:space="preserve">Figure </w:t>
      </w:r>
      <w:r>
        <w:fldChar w:fldCharType="begin"/>
      </w:r>
      <w:r>
        <w:instrText xml:space="preserve"> SEQ Figure \* ARABIC </w:instrText>
      </w:r>
      <w:r>
        <w:fldChar w:fldCharType="separate"/>
      </w:r>
      <w:r>
        <w:rPr>
          <w:noProof/>
        </w:rPr>
        <w:t>15</w:t>
      </w:r>
      <w:r>
        <w:fldChar w:fldCharType="end"/>
      </w:r>
      <w:r>
        <w:t xml:space="preserve">: </w:t>
      </w:r>
      <w:r w:rsidRPr="0037596C">
        <w:t>OCF to Net Income</w:t>
      </w:r>
      <w:bookmarkEnd w:id="27"/>
    </w:p>
    <w:p w14:paraId="07A61212" w14:textId="77777777" w:rsidR="00C64F6A" w:rsidRPr="003674BD" w:rsidRDefault="00C64F6A" w:rsidP="00C64F6A">
      <w:pPr>
        <w:rPr>
          <w:lang w:val="en-US"/>
        </w:rPr>
      </w:pPr>
    </w:p>
    <w:p w14:paraId="090FF065" w14:textId="77777777" w:rsidR="00C64F6A" w:rsidRPr="003674BD" w:rsidRDefault="00C64F6A" w:rsidP="00C64F6A">
      <w:pPr>
        <w:pStyle w:val="Heading2"/>
        <w:rPr>
          <w:lang w:val="en-US"/>
        </w:rPr>
      </w:pPr>
      <w:bookmarkStart w:id="28" w:name="_Toc217212304"/>
      <w:r>
        <w:rPr>
          <w:lang w:val="en-US"/>
        </w:rPr>
        <w:t>1.</w:t>
      </w:r>
      <w:r w:rsidRPr="003674BD">
        <w:rPr>
          <w:lang w:val="en-US"/>
        </w:rPr>
        <w:t>4 Strengths, threats, and key implications</w:t>
      </w:r>
      <w:bookmarkEnd w:id="28"/>
    </w:p>
    <w:p w14:paraId="4385FA7A" w14:textId="77777777" w:rsidR="00C64F6A" w:rsidRPr="003674BD" w:rsidRDefault="00C64F6A" w:rsidP="00C64F6A">
      <w:pPr>
        <w:pStyle w:val="Heading3"/>
        <w:rPr>
          <w:lang w:val="en-US"/>
        </w:rPr>
      </w:pPr>
      <w:bookmarkStart w:id="29" w:name="_Toc217212305"/>
      <w:r>
        <w:rPr>
          <w:lang w:val="en-US"/>
        </w:rPr>
        <w:t>1.</w:t>
      </w:r>
      <w:r w:rsidRPr="003674BD">
        <w:rPr>
          <w:lang w:val="en-US"/>
        </w:rPr>
        <w:t>4.1 Strengths</w:t>
      </w:r>
      <w:bookmarkEnd w:id="29"/>
    </w:p>
    <w:p w14:paraId="05E70579" w14:textId="77777777" w:rsidR="00C64F6A" w:rsidRDefault="00C64F6A" w:rsidP="00C64F6A">
      <w:pPr>
        <w:rPr>
          <w:lang w:val="en-US"/>
        </w:rPr>
      </w:pPr>
      <w:r w:rsidRPr="007525CA">
        <w:rPr>
          <w:lang w:val="en-US"/>
        </w:rPr>
        <w:t>The main strengths that were located include (</w:t>
      </w:r>
      <w:proofErr w:type="spellStart"/>
      <w:r w:rsidRPr="007525CA">
        <w:rPr>
          <w:lang w:val="en-US"/>
        </w:rPr>
        <w:t>i</w:t>
      </w:r>
      <w:proofErr w:type="spellEnd"/>
      <w:r w:rsidRPr="007525CA">
        <w:rPr>
          <w:lang w:val="en-US"/>
        </w:rPr>
        <w:t>) a resilient gross margin by and large and (ii) operating cash flow that is always positive. Such results suggest that the company has a necessary operating capacity as well as an active cash-generating capacity despite net losses (Panchenko et al., 2024).</w:t>
      </w:r>
    </w:p>
    <w:p w14:paraId="0AC99CB2" w14:textId="77777777" w:rsidR="00C64F6A" w:rsidRPr="003674BD" w:rsidRDefault="00C64F6A" w:rsidP="00C64F6A">
      <w:pPr>
        <w:rPr>
          <w:lang w:val="en-US"/>
        </w:rPr>
      </w:pPr>
    </w:p>
    <w:p w14:paraId="738D12CE" w14:textId="77777777" w:rsidR="00C64F6A" w:rsidRPr="003674BD" w:rsidRDefault="00C64F6A" w:rsidP="00C64F6A">
      <w:pPr>
        <w:pStyle w:val="Heading3"/>
        <w:rPr>
          <w:lang w:val="en-US"/>
        </w:rPr>
      </w:pPr>
      <w:bookmarkStart w:id="30" w:name="_Toc217212306"/>
      <w:r>
        <w:rPr>
          <w:lang w:val="en-US"/>
        </w:rPr>
        <w:t>1.</w:t>
      </w:r>
      <w:r w:rsidRPr="003674BD">
        <w:rPr>
          <w:lang w:val="en-US"/>
        </w:rPr>
        <w:t>4.2 Threats</w:t>
      </w:r>
      <w:bookmarkEnd w:id="30"/>
    </w:p>
    <w:p w14:paraId="0617673E" w14:textId="77777777" w:rsidR="00C64F6A" w:rsidRDefault="00C64F6A" w:rsidP="00C64F6A">
      <w:pPr>
        <w:rPr>
          <w:lang w:val="en-US"/>
        </w:rPr>
      </w:pPr>
      <w:r w:rsidRPr="00CC1523">
        <w:rPr>
          <w:lang w:val="en-US"/>
        </w:rPr>
        <w:t>The main threats appear to be (</w:t>
      </w:r>
      <w:proofErr w:type="spellStart"/>
      <w:r w:rsidRPr="00CC1523">
        <w:rPr>
          <w:lang w:val="en-US"/>
        </w:rPr>
        <w:t>i</w:t>
      </w:r>
      <w:proofErr w:type="spellEnd"/>
      <w:r w:rsidRPr="00CC1523">
        <w:rPr>
          <w:lang w:val="en-US"/>
        </w:rPr>
        <w:t xml:space="preserve">) ongoing operating loss since 2023, (ii) loss of equity and associated increase in leverage, (iii) deterioration of interest coverage, and (iv) deterioration of cash liquidity. The combination of negative profitability and growing gearing is a prototypical distress path, often linked to financing issues and possible restructuring requirements in the event that recovery is not fast enough (Akbar et al., 2022; </w:t>
      </w:r>
      <w:proofErr w:type="spellStart"/>
      <w:r w:rsidRPr="00CC1523">
        <w:rPr>
          <w:lang w:val="en-US"/>
        </w:rPr>
        <w:t>Palacin</w:t>
      </w:r>
      <w:proofErr w:type="spellEnd"/>
      <w:r w:rsidRPr="00CC1523">
        <w:rPr>
          <w:lang w:val="en-US"/>
        </w:rPr>
        <w:t>-García, Alencar-Garcia and Canto-Cuevas, 2023).</w:t>
      </w:r>
    </w:p>
    <w:p w14:paraId="4AE0797C" w14:textId="77777777" w:rsidR="00C64F6A" w:rsidRPr="003674BD" w:rsidRDefault="00C64F6A" w:rsidP="00C64F6A">
      <w:pPr>
        <w:rPr>
          <w:lang w:val="en-US"/>
        </w:rPr>
      </w:pPr>
    </w:p>
    <w:p w14:paraId="20A15A39" w14:textId="77777777" w:rsidR="00C64F6A" w:rsidRDefault="00C64F6A" w:rsidP="00C64F6A">
      <w:r>
        <w:rPr>
          <w:noProof/>
        </w:rPr>
        <w:lastRenderedPageBreak/>
        <w:drawing>
          <wp:inline distT="0" distB="0" distL="0" distR="0" wp14:anchorId="39F0C85E" wp14:editId="65439B82">
            <wp:extent cx="5943600" cy="6658610"/>
            <wp:effectExtent l="0" t="0" r="0" b="8890"/>
            <wp:docPr id="4672666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266663" name=""/>
                    <pic:cNvPicPr/>
                  </pic:nvPicPr>
                  <pic:blipFill>
                    <a:blip r:embed="rId23"/>
                    <a:stretch>
                      <a:fillRect/>
                    </a:stretch>
                  </pic:blipFill>
                  <pic:spPr>
                    <a:xfrm>
                      <a:off x="0" y="0"/>
                      <a:ext cx="5943600" cy="6658610"/>
                    </a:xfrm>
                    <a:prstGeom prst="rect">
                      <a:avLst/>
                    </a:prstGeom>
                  </pic:spPr>
                </pic:pic>
              </a:graphicData>
            </a:graphic>
          </wp:inline>
        </w:drawing>
      </w:r>
    </w:p>
    <w:p w14:paraId="690EFDD1" w14:textId="77777777" w:rsidR="00C64F6A" w:rsidRDefault="00C64F6A" w:rsidP="00C64F6A">
      <w:pPr>
        <w:pStyle w:val="Caption"/>
      </w:pPr>
      <w:bookmarkStart w:id="31" w:name="_Toc217212339"/>
      <w:r>
        <w:t xml:space="preserve">Table </w:t>
      </w:r>
      <w:r>
        <w:fldChar w:fldCharType="begin"/>
      </w:r>
      <w:r>
        <w:instrText xml:space="preserve"> SEQ Table \* ARABIC </w:instrText>
      </w:r>
      <w:r>
        <w:fldChar w:fldCharType="separate"/>
      </w:r>
      <w:r>
        <w:rPr>
          <w:noProof/>
        </w:rPr>
        <w:t>1</w:t>
      </w:r>
      <w:r>
        <w:fldChar w:fldCharType="end"/>
      </w:r>
      <w:r>
        <w:t xml:space="preserve">: </w:t>
      </w:r>
      <w:r w:rsidRPr="001725A3">
        <w:t>Strengths, threats, and key implications</w:t>
      </w:r>
      <w:bookmarkEnd w:id="31"/>
    </w:p>
    <w:p w14:paraId="7F2C3535" w14:textId="77777777" w:rsidR="00C64F6A" w:rsidRDefault="00C64F6A" w:rsidP="00C64F6A"/>
    <w:p w14:paraId="5E021CE0" w14:textId="77777777" w:rsidR="00C64F6A" w:rsidRDefault="00C64F6A" w:rsidP="00C64F6A"/>
    <w:p w14:paraId="121AA980" w14:textId="77777777" w:rsidR="00C64F6A" w:rsidRDefault="00C64F6A" w:rsidP="00C64F6A"/>
    <w:p w14:paraId="23E54B19" w14:textId="77777777" w:rsidR="00C64F6A" w:rsidRPr="003674BD" w:rsidRDefault="00C64F6A" w:rsidP="00C64F6A">
      <w:pPr>
        <w:pStyle w:val="Heading2"/>
        <w:rPr>
          <w:lang w:val="en-US"/>
        </w:rPr>
      </w:pPr>
      <w:bookmarkStart w:id="32" w:name="_Toc217212307"/>
      <w:r>
        <w:rPr>
          <w:lang w:val="en-US"/>
        </w:rPr>
        <w:lastRenderedPageBreak/>
        <w:t>1.5</w:t>
      </w:r>
      <w:r w:rsidRPr="003674BD">
        <w:rPr>
          <w:lang w:val="en-US"/>
        </w:rPr>
        <w:t xml:space="preserve"> Default risk assessment using a corporate failure prediction model</w:t>
      </w:r>
      <w:bookmarkEnd w:id="32"/>
    </w:p>
    <w:p w14:paraId="2E7ECF61" w14:textId="77777777" w:rsidR="00C64F6A" w:rsidRDefault="00C64F6A" w:rsidP="00C64F6A">
      <w:pPr>
        <w:pStyle w:val="Heading3"/>
        <w:rPr>
          <w:lang w:val="en-US"/>
        </w:rPr>
      </w:pPr>
      <w:bookmarkStart w:id="33" w:name="_Toc217212308"/>
      <w:r>
        <w:rPr>
          <w:lang w:val="en-US"/>
        </w:rPr>
        <w:t>1.</w:t>
      </w:r>
      <w:r w:rsidRPr="003674BD">
        <w:rPr>
          <w:lang w:val="en-US"/>
        </w:rPr>
        <w:t>5.1 Altman Z-Score interpretation</w:t>
      </w:r>
      <w:bookmarkEnd w:id="33"/>
    </w:p>
    <w:p w14:paraId="51E69926" w14:textId="77777777" w:rsidR="00C64F6A" w:rsidRDefault="00C64F6A" w:rsidP="00C64F6A">
      <w:pPr>
        <w:pStyle w:val="Caption"/>
      </w:pPr>
      <w:r>
        <w:rPr>
          <w:noProof/>
        </w:rPr>
        <w:drawing>
          <wp:inline distT="0" distB="0" distL="0" distR="0" wp14:anchorId="6DB1B080" wp14:editId="54CD1C61">
            <wp:extent cx="5943600" cy="1682115"/>
            <wp:effectExtent l="0" t="0" r="0" b="0"/>
            <wp:docPr id="105912495" name="Picture 1" descr="A table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12495" name="Picture 1" descr="A table with numbers and text&#10;&#10;AI-generated content may be incorrect."/>
                    <pic:cNvPicPr/>
                  </pic:nvPicPr>
                  <pic:blipFill>
                    <a:blip r:embed="rId24"/>
                    <a:stretch>
                      <a:fillRect/>
                    </a:stretch>
                  </pic:blipFill>
                  <pic:spPr>
                    <a:xfrm>
                      <a:off x="0" y="0"/>
                      <a:ext cx="5943600" cy="1682115"/>
                    </a:xfrm>
                    <a:prstGeom prst="rect">
                      <a:avLst/>
                    </a:prstGeom>
                  </pic:spPr>
                </pic:pic>
              </a:graphicData>
            </a:graphic>
          </wp:inline>
        </w:drawing>
      </w:r>
    </w:p>
    <w:p w14:paraId="168E29A3" w14:textId="77777777" w:rsidR="00C64F6A" w:rsidRDefault="00C64F6A" w:rsidP="00C64F6A">
      <w:pPr>
        <w:pStyle w:val="Caption"/>
      </w:pPr>
      <w:bookmarkStart w:id="34" w:name="_Toc217212340"/>
      <w:r>
        <w:t xml:space="preserve">Table </w:t>
      </w:r>
      <w:r>
        <w:fldChar w:fldCharType="begin"/>
      </w:r>
      <w:r>
        <w:instrText xml:space="preserve"> SEQ Table \* ARABIC </w:instrText>
      </w:r>
      <w:r>
        <w:fldChar w:fldCharType="separate"/>
      </w:r>
      <w:r>
        <w:rPr>
          <w:noProof/>
        </w:rPr>
        <w:t>2</w:t>
      </w:r>
      <w:r>
        <w:fldChar w:fldCharType="end"/>
      </w:r>
      <w:r>
        <w:t>: Summary</w:t>
      </w:r>
      <w:bookmarkEnd w:id="34"/>
    </w:p>
    <w:p w14:paraId="66E01C18" w14:textId="77777777" w:rsidR="00C64F6A" w:rsidRPr="00C14A73" w:rsidRDefault="00C64F6A" w:rsidP="00C64F6A">
      <w:pPr>
        <w:rPr>
          <w:lang w:val="en-US"/>
        </w:rPr>
      </w:pPr>
      <w:r>
        <w:rPr>
          <w:lang w:val="en-US"/>
        </w:rPr>
        <w:t xml:space="preserve">(Appendix 2 – </w:t>
      </w:r>
      <w:r w:rsidRPr="00C14A73">
        <w:rPr>
          <w:lang w:val="en-US"/>
        </w:rPr>
        <w:t>Altman Z-Score Model</w:t>
      </w:r>
      <w:r>
        <w:rPr>
          <w:lang w:val="en-US"/>
        </w:rPr>
        <w:t xml:space="preserve"> Calculations)</w:t>
      </w:r>
    </w:p>
    <w:p w14:paraId="3EA2A24E" w14:textId="77777777" w:rsidR="00C64F6A" w:rsidRDefault="00C64F6A" w:rsidP="00C64F6A">
      <w:r w:rsidRPr="00EB1842">
        <w:t xml:space="preserve">The main idea with the Altman Z - Score models, which are popularly used as tools to screen and predict bankruptcy risk, is that they are probabilistic models and not deterministic ones, as they ought to respond to the characteristics of the sector and the calibration of the models (Sibanda et al., 2025; </w:t>
      </w:r>
      <w:proofErr w:type="spellStart"/>
      <w:r w:rsidRPr="00EB1842">
        <w:t>Braunsberger</w:t>
      </w:r>
      <w:proofErr w:type="spellEnd"/>
      <w:r w:rsidRPr="00EB1842">
        <w:t xml:space="preserve"> et al., 2025).</w:t>
      </w:r>
      <w:r w:rsidRPr="003674BD">
        <w:t xml:space="preserve"> </w:t>
      </w:r>
      <w:r w:rsidRPr="00F503B3">
        <w:t>Based on the calculated Z-scores, the position of the firm in 2020 (3.6379), 2021 (3.2246) and 2022 (3.0625) lies in the Safe Zone indicating low default risk. In 2023, the Z-score decreases to 2.2411 bringing the firm in the Grey Zone which is in accordance with the operating shock identified (negative EBIT component, X</w:t>
      </w:r>
      <w:r w:rsidRPr="00F503B3">
        <w:rPr>
          <w:vertAlign w:val="subscript"/>
        </w:rPr>
        <w:t>3</w:t>
      </w:r>
      <w:r w:rsidRPr="00F503B3">
        <w:t>). In 2024, the Z-score increases to 2.8196, implying that it continues to lie in the Grey Zone which means partial stabilisation but not complete return to low-risk status.</w:t>
      </w:r>
    </w:p>
    <w:p w14:paraId="00395F29" w14:textId="77777777" w:rsidR="00C64F6A" w:rsidRPr="003674BD" w:rsidRDefault="00C64F6A" w:rsidP="00C64F6A">
      <w:pPr>
        <w:rPr>
          <w:lang w:val="en-US"/>
        </w:rPr>
      </w:pPr>
    </w:p>
    <w:p w14:paraId="34044CAF" w14:textId="77777777" w:rsidR="00C64F6A" w:rsidRPr="003674BD" w:rsidRDefault="00C64F6A" w:rsidP="00C64F6A">
      <w:pPr>
        <w:pStyle w:val="Heading3"/>
        <w:rPr>
          <w:lang w:val="en-US"/>
        </w:rPr>
      </w:pPr>
      <w:bookmarkStart w:id="35" w:name="_Toc217212309"/>
      <w:r>
        <w:rPr>
          <w:lang w:val="en-US"/>
        </w:rPr>
        <w:t>1.</w:t>
      </w:r>
      <w:r w:rsidRPr="003674BD">
        <w:rPr>
          <w:lang w:val="en-US"/>
        </w:rPr>
        <w:t>5.2 Overall default-risk conclusion</w:t>
      </w:r>
      <w:bookmarkEnd w:id="35"/>
    </w:p>
    <w:p w14:paraId="23FEB689" w14:textId="77777777" w:rsidR="00C64F6A" w:rsidRPr="002259CB" w:rsidRDefault="00C64F6A" w:rsidP="00C64F6A">
      <w:r w:rsidRPr="00193ED1">
        <w:t xml:space="preserve">All in all, default risk is high but not inevitably determined. It can be noted that there was an improvement observed in the year 2024; this signifies that underlying drivers partially recovered; however, the firm remains vulnerable due to low profitability and limited liquidity. The mitigation plans should focus on restoring operating profitability, protecting </w:t>
      </w:r>
      <w:r w:rsidRPr="00193ED1">
        <w:lastRenderedPageBreak/>
        <w:t>cash as well as strengthening working-capital discipline, reducing reliance on short-term financing, making it more solvent (</w:t>
      </w:r>
      <w:proofErr w:type="spellStart"/>
      <w:r w:rsidRPr="00193ED1">
        <w:t>Eldomiaty</w:t>
      </w:r>
      <w:proofErr w:type="spellEnd"/>
      <w:r w:rsidRPr="00193ED1">
        <w:t xml:space="preserve"> et al., 2023; Gandhi, 2025).</w:t>
      </w:r>
    </w:p>
    <w:p w14:paraId="7DAD6947" w14:textId="77777777" w:rsidR="00C64F6A" w:rsidRDefault="00C64F6A" w:rsidP="00C64F6A">
      <w:pPr>
        <w:pStyle w:val="Heading1"/>
        <w:rPr>
          <w:lang w:val="en-US"/>
        </w:rPr>
      </w:pPr>
      <w:bookmarkStart w:id="36" w:name="_Toc217212310"/>
      <w:r w:rsidRPr="00480FF6">
        <w:rPr>
          <w:lang w:val="en-US"/>
        </w:rPr>
        <w:t>2. Working Capital Management Analysis</w:t>
      </w:r>
      <w:bookmarkEnd w:id="36"/>
    </w:p>
    <w:p w14:paraId="00ACBBE3" w14:textId="77777777" w:rsidR="00C64F6A" w:rsidRDefault="00C64F6A" w:rsidP="00C64F6A">
      <w:pPr>
        <w:jc w:val="center"/>
        <w:rPr>
          <w:lang w:val="en-US"/>
        </w:rPr>
      </w:pPr>
      <w:r>
        <w:rPr>
          <w:noProof/>
          <w:lang w:val="en-US"/>
        </w:rPr>
        <w:drawing>
          <wp:inline distT="0" distB="0" distL="0" distR="0" wp14:anchorId="5BC69512" wp14:editId="6C51B997">
            <wp:extent cx="3361009" cy="2684898"/>
            <wp:effectExtent l="0" t="0" r="0" b="1270"/>
            <wp:docPr id="954855844"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384476" cy="2703644"/>
                    </a:xfrm>
                    <a:prstGeom prst="rect">
                      <a:avLst/>
                    </a:prstGeom>
                    <a:noFill/>
                  </pic:spPr>
                </pic:pic>
              </a:graphicData>
            </a:graphic>
          </wp:inline>
        </w:drawing>
      </w:r>
    </w:p>
    <w:p w14:paraId="7DB0A6F0" w14:textId="77777777" w:rsidR="00C64F6A" w:rsidRDefault="00C64F6A" w:rsidP="00C64F6A">
      <w:pPr>
        <w:pStyle w:val="Caption"/>
      </w:pPr>
      <w:bookmarkStart w:id="37" w:name="_Toc217212359"/>
      <w:r>
        <w:t xml:space="preserve">Figure </w:t>
      </w:r>
      <w:r>
        <w:fldChar w:fldCharType="begin"/>
      </w:r>
      <w:r>
        <w:instrText xml:space="preserve"> SEQ Figure \* ARABIC </w:instrText>
      </w:r>
      <w:r>
        <w:fldChar w:fldCharType="separate"/>
      </w:r>
      <w:r>
        <w:rPr>
          <w:noProof/>
        </w:rPr>
        <w:t>16</w:t>
      </w:r>
      <w:r>
        <w:fldChar w:fldCharType="end"/>
      </w:r>
      <w:r>
        <w:t xml:space="preserve">: </w:t>
      </w:r>
      <w:r w:rsidRPr="00650FB3">
        <w:t>Working Capital Management</w:t>
      </w:r>
      <w:bookmarkEnd w:id="37"/>
    </w:p>
    <w:p w14:paraId="7D013D38" w14:textId="77777777" w:rsidR="00C64F6A" w:rsidRPr="00236E14" w:rsidRDefault="00C64F6A" w:rsidP="00C64F6A">
      <w:pPr>
        <w:rPr>
          <w:lang w:val="en-US"/>
        </w:rPr>
      </w:pPr>
    </w:p>
    <w:p w14:paraId="339698A3" w14:textId="77777777" w:rsidR="00C64F6A" w:rsidRDefault="00C64F6A" w:rsidP="00C64F6A">
      <w:pPr>
        <w:pStyle w:val="Heading2"/>
        <w:rPr>
          <w:lang w:val="en-US"/>
        </w:rPr>
      </w:pPr>
      <w:bookmarkStart w:id="38" w:name="_Toc217212311"/>
      <w:r w:rsidRPr="00480FF6">
        <w:rPr>
          <w:lang w:val="en-US"/>
        </w:rPr>
        <w:t>2.1 Assessment of the Cash Operating Cycle</w:t>
      </w:r>
      <w:bookmarkEnd w:id="38"/>
    </w:p>
    <w:p w14:paraId="336A7278" w14:textId="77777777" w:rsidR="00C64F6A" w:rsidRPr="0016046B" w:rsidRDefault="00C64F6A" w:rsidP="00C64F6A">
      <w:pPr>
        <w:rPr>
          <w:lang w:val="en-US"/>
        </w:rPr>
      </w:pPr>
      <w:r>
        <w:rPr>
          <w:lang w:val="en-US"/>
        </w:rPr>
        <w:t xml:space="preserve">(Appendix 3 - </w:t>
      </w:r>
      <w:r w:rsidRPr="0016046B">
        <w:rPr>
          <w:lang w:val="en-US"/>
        </w:rPr>
        <w:t>Cash Operating Cycle</w:t>
      </w:r>
      <w:r>
        <w:rPr>
          <w:lang w:val="en-US"/>
        </w:rPr>
        <w:t>)</w:t>
      </w:r>
    </w:p>
    <w:p w14:paraId="15B6237D" w14:textId="77777777" w:rsidR="00C64F6A" w:rsidRDefault="00C64F6A" w:rsidP="00C64F6A">
      <w:pPr>
        <w:jc w:val="center"/>
        <w:rPr>
          <w:lang w:val="en-US"/>
        </w:rPr>
      </w:pPr>
      <w:r>
        <w:rPr>
          <w:noProof/>
        </w:rPr>
        <w:lastRenderedPageBreak/>
        <w:drawing>
          <wp:inline distT="0" distB="0" distL="0" distR="0" wp14:anchorId="1649BED5" wp14:editId="262AB74A">
            <wp:extent cx="4286250" cy="2943225"/>
            <wp:effectExtent l="0" t="0" r="0" b="9525"/>
            <wp:docPr id="713567074" name="Chart 1">
              <a:extLst xmlns:a="http://schemas.openxmlformats.org/drawingml/2006/main">
                <a:ext uri="{FF2B5EF4-FFF2-40B4-BE49-F238E27FC236}">
                  <a16:creationId xmlns:a16="http://schemas.microsoft.com/office/drawing/2014/main" id="{E2105A39-DE8D-9A61-92EF-57B0481709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077C273D" w14:textId="77777777" w:rsidR="00C64F6A" w:rsidRPr="00B0146C" w:rsidRDefault="00C64F6A" w:rsidP="00C64F6A">
      <w:pPr>
        <w:pStyle w:val="Caption"/>
      </w:pPr>
      <w:bookmarkStart w:id="39" w:name="_Toc217212360"/>
      <w:r>
        <w:t xml:space="preserve">Figure </w:t>
      </w:r>
      <w:r>
        <w:fldChar w:fldCharType="begin"/>
      </w:r>
      <w:r>
        <w:instrText xml:space="preserve"> SEQ Figure \* ARABIC </w:instrText>
      </w:r>
      <w:r>
        <w:fldChar w:fldCharType="separate"/>
      </w:r>
      <w:r>
        <w:rPr>
          <w:noProof/>
        </w:rPr>
        <w:t>17</w:t>
      </w:r>
      <w:r>
        <w:fldChar w:fldCharType="end"/>
      </w:r>
      <w:r>
        <w:t xml:space="preserve">: </w:t>
      </w:r>
      <w:r w:rsidRPr="00E50E53">
        <w:t xml:space="preserve">Cash Operating Cycle </w:t>
      </w:r>
      <w:r>
        <w:t>Summary</w:t>
      </w:r>
      <w:bookmarkEnd w:id="39"/>
    </w:p>
    <w:p w14:paraId="40FA04CF" w14:textId="77777777" w:rsidR="00C64F6A" w:rsidRDefault="00C64F6A" w:rsidP="00C64F6A">
      <w:pPr>
        <w:rPr>
          <w:lang w:val="en-US"/>
        </w:rPr>
      </w:pPr>
      <w:r w:rsidRPr="00543A5E">
        <w:rPr>
          <w:lang w:val="en-US"/>
        </w:rPr>
        <w:t>The cash operating cycle (cash conversion cycle, CCC) forms a wide-ranging indicator for measuring a firm's efficiency in converting its working capital investments into liquid cash (Asman et al., 2022; Ishikawa et al., 2025).</w:t>
      </w:r>
      <w:r w:rsidRPr="00480FF6">
        <w:rPr>
          <w:lang w:val="en-US"/>
        </w:rPr>
        <w:t xml:space="preserve"> </w:t>
      </w:r>
      <w:r w:rsidRPr="005C4226">
        <w:rPr>
          <w:lang w:val="en-US"/>
        </w:rPr>
        <w:t>Over the period considered, the CCC of the firm continued to be widely spread, which exceeded 100 days in all years under analysis. It peaked in 107.83 days in 2020 then surged to a high in 139.87 days in 2022 and then plummeted to 133.06 days in 2023 and 115.06 days in 2024. This trend shows that there is a good quantity of capital that is tied up in the form of receivables and inventories until the cash is recouped through sales.</w:t>
      </w:r>
    </w:p>
    <w:p w14:paraId="52975523" w14:textId="77777777" w:rsidR="00C64F6A" w:rsidRDefault="00C64F6A" w:rsidP="00C64F6A">
      <w:pPr>
        <w:jc w:val="center"/>
        <w:rPr>
          <w:lang w:val="en-US"/>
        </w:rPr>
      </w:pPr>
      <w:r>
        <w:rPr>
          <w:noProof/>
        </w:rPr>
        <w:lastRenderedPageBreak/>
        <w:drawing>
          <wp:inline distT="0" distB="0" distL="0" distR="0" wp14:anchorId="4FC6576A" wp14:editId="07146CEE">
            <wp:extent cx="4838700" cy="3571875"/>
            <wp:effectExtent l="0" t="0" r="0" b="9525"/>
            <wp:docPr id="25116974" name="Chart 1">
              <a:extLst xmlns:a="http://schemas.openxmlformats.org/drawingml/2006/main">
                <a:ext uri="{FF2B5EF4-FFF2-40B4-BE49-F238E27FC236}">
                  <a16:creationId xmlns:a16="http://schemas.microsoft.com/office/drawing/2014/main" id="{CE56BC3A-C394-FC29-4BFE-C7D41A15480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12A9F4B0" w14:textId="77777777" w:rsidR="00C64F6A" w:rsidRPr="00480FF6" w:rsidRDefault="00C64F6A" w:rsidP="00C64F6A">
      <w:pPr>
        <w:pStyle w:val="Caption"/>
        <w:rPr>
          <w:lang w:val="en-US"/>
        </w:rPr>
      </w:pPr>
      <w:bookmarkStart w:id="40" w:name="_Toc217212361"/>
      <w:r>
        <w:t xml:space="preserve">Figure </w:t>
      </w:r>
      <w:r>
        <w:fldChar w:fldCharType="begin"/>
      </w:r>
      <w:r>
        <w:instrText xml:space="preserve"> SEQ Figure \* ARABIC </w:instrText>
      </w:r>
      <w:r>
        <w:fldChar w:fldCharType="separate"/>
      </w:r>
      <w:r>
        <w:rPr>
          <w:noProof/>
        </w:rPr>
        <w:t>18</w:t>
      </w:r>
      <w:r>
        <w:fldChar w:fldCharType="end"/>
      </w:r>
      <w:r>
        <w:t xml:space="preserve">: </w:t>
      </w:r>
      <w:r w:rsidRPr="0039062F">
        <w:t>Cash Conversion Cycle (days)</w:t>
      </w:r>
      <w:bookmarkEnd w:id="40"/>
    </w:p>
    <w:p w14:paraId="1D1CB6AB" w14:textId="77777777" w:rsidR="00C64F6A" w:rsidRDefault="00C64F6A" w:rsidP="00C64F6A">
      <w:pPr>
        <w:rPr>
          <w:lang w:val="en-US"/>
        </w:rPr>
      </w:pPr>
      <w:r w:rsidRPr="00C67AE4">
        <w:rPr>
          <w:lang w:val="en-US"/>
        </w:rPr>
        <w:t>Days Sales Outstanding (DSO) seems to be a key identifier of the deterioration seen as it is increasing from ~76-78 days in 2020-2022 to 97.74 days in 2023 and 105.54 days in 2024. The increase in the DSO is the reduction in the customer collection velocity, which is often accompanied by a loss of bargaining power of customers, according to lenient conditions of credits or customer financial problems in time of economic crises (Chamma &amp; Hijazi, 2025).</w:t>
      </w:r>
      <w:r w:rsidRPr="00480FF6">
        <w:rPr>
          <w:lang w:val="en-US"/>
        </w:rPr>
        <w:t xml:space="preserve"> </w:t>
      </w:r>
    </w:p>
    <w:p w14:paraId="71987078" w14:textId="77777777" w:rsidR="00C64F6A" w:rsidRDefault="00C64F6A" w:rsidP="00C64F6A">
      <w:pPr>
        <w:jc w:val="center"/>
        <w:rPr>
          <w:lang w:val="en-US"/>
        </w:rPr>
      </w:pPr>
      <w:r>
        <w:rPr>
          <w:noProof/>
        </w:rPr>
        <w:lastRenderedPageBreak/>
        <w:drawing>
          <wp:inline distT="0" distB="0" distL="0" distR="0" wp14:anchorId="35A39DC2" wp14:editId="60E7F743">
            <wp:extent cx="4572000" cy="2743200"/>
            <wp:effectExtent l="0" t="0" r="0" b="0"/>
            <wp:docPr id="2033051083" name="Chart 1">
              <a:extLst xmlns:a="http://schemas.openxmlformats.org/drawingml/2006/main">
                <a:ext uri="{FF2B5EF4-FFF2-40B4-BE49-F238E27FC236}">
                  <a16:creationId xmlns:a16="http://schemas.microsoft.com/office/drawing/2014/main" id="{9E5C1FB1-71DE-2E73-6117-8362EB203F7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001FAE33" w14:textId="77777777" w:rsidR="00C64F6A" w:rsidRDefault="00C64F6A" w:rsidP="00C64F6A">
      <w:pPr>
        <w:pStyle w:val="Caption"/>
        <w:rPr>
          <w:lang w:val="en-US"/>
        </w:rPr>
      </w:pPr>
      <w:bookmarkStart w:id="41" w:name="_Toc217212362"/>
      <w:r>
        <w:t xml:space="preserve">Figure </w:t>
      </w:r>
      <w:r>
        <w:fldChar w:fldCharType="begin"/>
      </w:r>
      <w:r>
        <w:instrText xml:space="preserve"> SEQ Figure \* ARABIC </w:instrText>
      </w:r>
      <w:r>
        <w:fldChar w:fldCharType="separate"/>
      </w:r>
      <w:r>
        <w:rPr>
          <w:noProof/>
        </w:rPr>
        <w:t>19</w:t>
      </w:r>
      <w:r>
        <w:fldChar w:fldCharType="end"/>
      </w:r>
      <w:r>
        <w:t xml:space="preserve">: </w:t>
      </w:r>
      <w:r w:rsidRPr="00CC37AE">
        <w:t>DSO (days)</w:t>
      </w:r>
      <w:bookmarkEnd w:id="41"/>
    </w:p>
    <w:p w14:paraId="5A6A7EB7" w14:textId="77777777" w:rsidR="00C64F6A" w:rsidRDefault="00C64F6A" w:rsidP="00C64F6A">
      <w:pPr>
        <w:rPr>
          <w:lang w:val="en-US"/>
        </w:rPr>
      </w:pPr>
      <w:r w:rsidRPr="00C873A4">
        <w:rPr>
          <w:lang w:val="en-US"/>
        </w:rPr>
        <w:t>Days Inventory outstanding (DIO) on the other hand shows an upward trend, as it reaches its peak of 131.04 days in 2022, before going down to 99.78 days in 2023 and later 103.12 days in 2024, hence indicating a positive change in inventory reduction and matching with demand. However, this incremental is somehow counterbalanced by a noted slowing in receivables.</w:t>
      </w:r>
      <w:r w:rsidRPr="00480FF6">
        <w:rPr>
          <w:lang w:val="en-US"/>
        </w:rPr>
        <w:t xml:space="preserve"> </w:t>
      </w:r>
    </w:p>
    <w:p w14:paraId="428C286B" w14:textId="77777777" w:rsidR="00C64F6A" w:rsidRDefault="00C64F6A" w:rsidP="00C64F6A">
      <w:pPr>
        <w:jc w:val="center"/>
        <w:rPr>
          <w:lang w:val="en-US"/>
        </w:rPr>
      </w:pPr>
      <w:r>
        <w:rPr>
          <w:noProof/>
        </w:rPr>
        <w:drawing>
          <wp:inline distT="0" distB="0" distL="0" distR="0" wp14:anchorId="3E05B2BC" wp14:editId="7BA6B7A0">
            <wp:extent cx="4572000" cy="2743200"/>
            <wp:effectExtent l="0" t="0" r="0" b="0"/>
            <wp:docPr id="219796134" name="Chart 1">
              <a:extLst xmlns:a="http://schemas.openxmlformats.org/drawingml/2006/main">
                <a:ext uri="{FF2B5EF4-FFF2-40B4-BE49-F238E27FC236}">
                  <a16:creationId xmlns:a16="http://schemas.microsoft.com/office/drawing/2014/main" id="{5F122023-5BC8-9358-3DA2-466AD5058D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15F7755A" w14:textId="77777777" w:rsidR="00C64F6A" w:rsidRDefault="00C64F6A" w:rsidP="00C64F6A">
      <w:pPr>
        <w:pStyle w:val="Caption"/>
        <w:rPr>
          <w:lang w:val="en-US"/>
        </w:rPr>
      </w:pPr>
      <w:bookmarkStart w:id="42" w:name="_Toc217212363"/>
      <w:r>
        <w:t xml:space="preserve">Figure </w:t>
      </w:r>
      <w:r>
        <w:fldChar w:fldCharType="begin"/>
      </w:r>
      <w:r>
        <w:instrText xml:space="preserve"> SEQ Figure \* ARABIC </w:instrText>
      </w:r>
      <w:r>
        <w:fldChar w:fldCharType="separate"/>
      </w:r>
      <w:r>
        <w:rPr>
          <w:noProof/>
        </w:rPr>
        <w:t>20</w:t>
      </w:r>
      <w:r>
        <w:fldChar w:fldCharType="end"/>
      </w:r>
      <w:r>
        <w:t xml:space="preserve">: </w:t>
      </w:r>
      <w:r w:rsidRPr="00B05037">
        <w:t>DIO (days)</w:t>
      </w:r>
      <w:bookmarkEnd w:id="42"/>
    </w:p>
    <w:p w14:paraId="515DC76D" w14:textId="77777777" w:rsidR="00C64F6A" w:rsidRPr="00B91039" w:rsidRDefault="00C64F6A" w:rsidP="00C64F6A">
      <w:pPr>
        <w:rPr>
          <w:lang w:val="en-US"/>
        </w:rPr>
      </w:pPr>
      <w:r w:rsidRPr="00F24C00">
        <w:rPr>
          <w:lang w:val="en-US"/>
        </w:rPr>
        <w:lastRenderedPageBreak/>
        <w:t xml:space="preserve">There is a strong positive change in Days Payables Outstanding (DPO) which peaks at 93.60 days, and it leads to the reduction of the Cash Conversion Cycle (CCC). However, this is more of a liquidity consideration than an operational efficiency factor, since this is more a measure of delayed supplier receipts than expedited internal cash flow generation. It has been shown through empiricism that CCC compression based on payables can lead to short-term relief but could put pressure on supplier relations in case of the long-term (Ginting et al., 2025; </w:t>
      </w:r>
      <w:proofErr w:type="spellStart"/>
      <w:r w:rsidRPr="00F24C00">
        <w:rPr>
          <w:lang w:val="en-US"/>
        </w:rPr>
        <w:t>Eldomiaty</w:t>
      </w:r>
      <w:proofErr w:type="spellEnd"/>
      <w:r w:rsidRPr="00F24C00">
        <w:rPr>
          <w:lang w:val="en-US"/>
        </w:rPr>
        <w:t xml:space="preserve"> et al., 2023).</w:t>
      </w:r>
    </w:p>
    <w:p w14:paraId="15B87040" w14:textId="77777777" w:rsidR="00C64F6A" w:rsidRDefault="00C64F6A" w:rsidP="00C64F6A">
      <w:pPr>
        <w:jc w:val="center"/>
        <w:rPr>
          <w:lang w:val="en-US"/>
        </w:rPr>
      </w:pPr>
      <w:r>
        <w:rPr>
          <w:noProof/>
        </w:rPr>
        <w:drawing>
          <wp:inline distT="0" distB="0" distL="0" distR="0" wp14:anchorId="45DF7374" wp14:editId="285D0C92">
            <wp:extent cx="5295900" cy="3971925"/>
            <wp:effectExtent l="0" t="0" r="0" b="9525"/>
            <wp:docPr id="1017567631" name="Chart 1">
              <a:extLst xmlns:a="http://schemas.openxmlformats.org/drawingml/2006/main">
                <a:ext uri="{FF2B5EF4-FFF2-40B4-BE49-F238E27FC236}">
                  <a16:creationId xmlns:a16="http://schemas.microsoft.com/office/drawing/2014/main" id="{2F4D88EB-8950-31A2-CD3D-3C0617E9D22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5FB6FDF2" w14:textId="77777777" w:rsidR="00C64F6A" w:rsidRPr="00480FF6" w:rsidRDefault="00C64F6A" w:rsidP="00C64F6A">
      <w:pPr>
        <w:pStyle w:val="Caption"/>
        <w:rPr>
          <w:lang w:val="en-US"/>
        </w:rPr>
      </w:pPr>
      <w:bookmarkStart w:id="43" w:name="_Toc217212364"/>
      <w:r>
        <w:t xml:space="preserve">Figure </w:t>
      </w:r>
      <w:r>
        <w:fldChar w:fldCharType="begin"/>
      </w:r>
      <w:r>
        <w:instrText xml:space="preserve"> SEQ Figure \* ARABIC </w:instrText>
      </w:r>
      <w:r>
        <w:fldChar w:fldCharType="separate"/>
      </w:r>
      <w:r>
        <w:rPr>
          <w:noProof/>
        </w:rPr>
        <w:t>21</w:t>
      </w:r>
      <w:r>
        <w:fldChar w:fldCharType="end"/>
      </w:r>
      <w:r>
        <w:t xml:space="preserve">: </w:t>
      </w:r>
      <w:r w:rsidRPr="003C6BDE">
        <w:t>DPO (days)</w:t>
      </w:r>
      <w:bookmarkEnd w:id="43"/>
    </w:p>
    <w:p w14:paraId="0A391DAF" w14:textId="77777777" w:rsidR="00C64F6A" w:rsidRPr="00480FF6" w:rsidRDefault="00C64F6A" w:rsidP="00C64F6A">
      <w:pPr>
        <w:rPr>
          <w:lang w:val="en-US"/>
        </w:rPr>
      </w:pPr>
      <w:r w:rsidRPr="00BA6D59">
        <w:rPr>
          <w:lang w:val="en-US"/>
        </w:rPr>
        <w:t>Overall, the cash conversion cycle (CCC) analysis shows that despite an improvement in the control of the inventory, the accounts receivables management is a major weakness point. Furthermore, recent improvements in the CCC have been found to be largely influenced by longer payment terms, which cannot be a sustainable medium to long-term strategy.</w:t>
      </w:r>
    </w:p>
    <w:p w14:paraId="4C348436" w14:textId="77777777" w:rsidR="00C64F6A" w:rsidRPr="00480FF6" w:rsidRDefault="00C64F6A" w:rsidP="00C64F6A">
      <w:pPr>
        <w:rPr>
          <w:lang w:val="en-US"/>
        </w:rPr>
      </w:pPr>
    </w:p>
    <w:p w14:paraId="15C0E9F4" w14:textId="77777777" w:rsidR="00C64F6A" w:rsidRPr="00480FF6" w:rsidRDefault="00C64F6A" w:rsidP="00C64F6A">
      <w:pPr>
        <w:pStyle w:val="Heading2"/>
        <w:rPr>
          <w:lang w:val="en-US"/>
        </w:rPr>
      </w:pPr>
      <w:bookmarkStart w:id="44" w:name="_Toc217212312"/>
      <w:r w:rsidRPr="00480FF6">
        <w:rPr>
          <w:lang w:val="en-US"/>
        </w:rPr>
        <w:lastRenderedPageBreak/>
        <w:t>2.2 Strategies to Improve Liquidity through Working Capital Reforms</w:t>
      </w:r>
      <w:bookmarkEnd w:id="44"/>
    </w:p>
    <w:p w14:paraId="24DC036B" w14:textId="77777777" w:rsidR="00C64F6A" w:rsidRDefault="00C64F6A" w:rsidP="00C64F6A">
      <w:pPr>
        <w:rPr>
          <w:lang w:val="en-US"/>
        </w:rPr>
      </w:pPr>
      <w:r w:rsidRPr="00347F6E">
        <w:rPr>
          <w:lang w:val="en-US"/>
        </w:rPr>
        <w:t>Reforms must concentrate on the liquidity sustainability efforts that should be effective in terms of receivables, inventories, and payables with the emphasis put on hastening the cash flows.</w:t>
      </w:r>
      <w:r>
        <w:rPr>
          <w:lang w:val="en-US"/>
        </w:rPr>
        <w:t xml:space="preserve"> </w:t>
      </w:r>
      <w:r w:rsidRPr="00347F6E">
        <w:rPr>
          <w:lang w:val="en-US"/>
        </w:rPr>
        <w:t>To begin with, there should be stricter management regarding credit. It involves reviewing customer credit policies, segmenting customers by risk, imposing more restrictive payable terms on more risk accounts, and using early-payment incentives in cases where it makes economic sense (</w:t>
      </w:r>
      <w:proofErr w:type="spellStart"/>
      <w:r w:rsidRPr="00347F6E">
        <w:rPr>
          <w:lang w:val="en-US"/>
        </w:rPr>
        <w:t>Michalkowski</w:t>
      </w:r>
      <w:proofErr w:type="spellEnd"/>
      <w:r w:rsidRPr="00347F6E">
        <w:rPr>
          <w:lang w:val="en-US"/>
        </w:rPr>
        <w:t>, 2025; Fitriani et al., 2025). Online invoicing and automated collections may also eliminate delays in administration and enhance DSO.</w:t>
      </w:r>
    </w:p>
    <w:p w14:paraId="277BE82E" w14:textId="77777777" w:rsidR="00C64F6A" w:rsidRDefault="00C64F6A" w:rsidP="00C64F6A">
      <w:pPr>
        <w:rPr>
          <w:lang w:val="en-US"/>
        </w:rPr>
      </w:pPr>
      <w:r>
        <w:rPr>
          <w:noProof/>
          <w:lang w:val="en-US"/>
        </w:rPr>
        <w:drawing>
          <wp:inline distT="0" distB="0" distL="0" distR="0" wp14:anchorId="14B8184E" wp14:editId="758924F3">
            <wp:extent cx="6028684" cy="3343275"/>
            <wp:effectExtent l="0" t="0" r="0" b="0"/>
            <wp:docPr id="53852942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047200" cy="3353543"/>
                    </a:xfrm>
                    <a:prstGeom prst="rect">
                      <a:avLst/>
                    </a:prstGeom>
                    <a:noFill/>
                  </pic:spPr>
                </pic:pic>
              </a:graphicData>
            </a:graphic>
          </wp:inline>
        </w:drawing>
      </w:r>
    </w:p>
    <w:p w14:paraId="5786EB0D" w14:textId="77777777" w:rsidR="00C64F6A" w:rsidRPr="00480FF6" w:rsidRDefault="00C64F6A" w:rsidP="00C64F6A">
      <w:pPr>
        <w:pStyle w:val="Caption"/>
        <w:rPr>
          <w:lang w:val="en-US"/>
        </w:rPr>
      </w:pPr>
      <w:bookmarkStart w:id="45" w:name="_Toc217212365"/>
      <w:r>
        <w:t xml:space="preserve">Figure </w:t>
      </w:r>
      <w:r>
        <w:fldChar w:fldCharType="begin"/>
      </w:r>
      <w:r>
        <w:instrText xml:space="preserve"> SEQ Figure \* ARABIC </w:instrText>
      </w:r>
      <w:r>
        <w:fldChar w:fldCharType="separate"/>
      </w:r>
      <w:r>
        <w:rPr>
          <w:noProof/>
        </w:rPr>
        <w:t>22</w:t>
      </w:r>
      <w:r>
        <w:fldChar w:fldCharType="end"/>
      </w:r>
      <w:r>
        <w:t xml:space="preserve">: </w:t>
      </w:r>
      <w:r w:rsidRPr="001B6D78">
        <w:t>Ways to Improve Working Capital Management</w:t>
      </w:r>
      <w:bookmarkEnd w:id="45"/>
    </w:p>
    <w:p w14:paraId="6DF4305B" w14:textId="77777777" w:rsidR="00C64F6A" w:rsidRDefault="00C64F6A" w:rsidP="00C64F6A">
      <w:pPr>
        <w:rPr>
          <w:lang w:val="en-US"/>
        </w:rPr>
      </w:pPr>
      <w:r w:rsidRPr="00D9187A">
        <w:rPr>
          <w:lang w:val="en-US"/>
        </w:rPr>
        <w:t xml:space="preserve">Secondly, inventory reforms should be aimed at cementing recent gains. Advanced demand forecasting, SKU </w:t>
      </w:r>
      <w:proofErr w:type="spellStart"/>
      <w:r w:rsidRPr="00D9187A">
        <w:rPr>
          <w:lang w:val="en-US"/>
        </w:rPr>
        <w:t>rationalisation</w:t>
      </w:r>
      <w:proofErr w:type="spellEnd"/>
      <w:r w:rsidRPr="00D9187A">
        <w:rPr>
          <w:lang w:val="en-US"/>
        </w:rPr>
        <w:t xml:space="preserve"> and a closer coordination of procurement and the sales department can avoid a risk of excess stock accumulation while holding service levels (</w:t>
      </w:r>
      <w:proofErr w:type="spellStart"/>
      <w:r w:rsidRPr="00D9187A">
        <w:rPr>
          <w:lang w:val="en-US"/>
        </w:rPr>
        <w:t>Eldomiaty</w:t>
      </w:r>
      <w:proofErr w:type="spellEnd"/>
      <w:r w:rsidRPr="00D9187A">
        <w:rPr>
          <w:lang w:val="en-US"/>
        </w:rPr>
        <w:t xml:space="preserve"> et al., 2023). There is consistency in the evidence that lower day’s inventory outstanding (DIO) is related to better profitability and a reduced liquidity risk, especially during volatile demand years (Asman et al., 2022).</w:t>
      </w:r>
    </w:p>
    <w:p w14:paraId="4BEFFCB5" w14:textId="77777777" w:rsidR="00C64F6A" w:rsidRDefault="00C64F6A" w:rsidP="00C64F6A">
      <w:pPr>
        <w:rPr>
          <w:lang w:val="en-US"/>
        </w:rPr>
      </w:pPr>
      <w:r>
        <w:rPr>
          <w:noProof/>
          <w:lang w:val="en-US"/>
        </w:rPr>
        <w:lastRenderedPageBreak/>
        <w:drawing>
          <wp:inline distT="0" distB="0" distL="0" distR="0" wp14:anchorId="295B7C75" wp14:editId="35C269D9">
            <wp:extent cx="5915025" cy="3325559"/>
            <wp:effectExtent l="0" t="0" r="0" b="8255"/>
            <wp:docPr id="195737132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922951" cy="3330015"/>
                    </a:xfrm>
                    <a:prstGeom prst="rect">
                      <a:avLst/>
                    </a:prstGeom>
                    <a:noFill/>
                  </pic:spPr>
                </pic:pic>
              </a:graphicData>
            </a:graphic>
          </wp:inline>
        </w:drawing>
      </w:r>
    </w:p>
    <w:p w14:paraId="50BE8A17" w14:textId="77777777" w:rsidR="00C64F6A" w:rsidRPr="00480FF6" w:rsidRDefault="00C64F6A" w:rsidP="00C64F6A">
      <w:pPr>
        <w:pStyle w:val="Caption"/>
        <w:rPr>
          <w:lang w:val="en-US"/>
        </w:rPr>
      </w:pPr>
      <w:bookmarkStart w:id="46" w:name="_Toc217212366"/>
      <w:r>
        <w:t xml:space="preserve">Figure </w:t>
      </w:r>
      <w:r>
        <w:fldChar w:fldCharType="begin"/>
      </w:r>
      <w:r>
        <w:instrText xml:space="preserve"> SEQ Figure \* ARABIC </w:instrText>
      </w:r>
      <w:r>
        <w:fldChar w:fldCharType="separate"/>
      </w:r>
      <w:r>
        <w:rPr>
          <w:noProof/>
        </w:rPr>
        <w:t>23</w:t>
      </w:r>
      <w:r>
        <w:fldChar w:fldCharType="end"/>
      </w:r>
      <w:r>
        <w:t xml:space="preserve">: </w:t>
      </w:r>
      <w:r w:rsidRPr="000B0C67">
        <w:t>Strategies For Improving Liquidity Ratios</w:t>
      </w:r>
      <w:bookmarkEnd w:id="46"/>
    </w:p>
    <w:p w14:paraId="38C46222" w14:textId="77777777" w:rsidR="00C64F6A" w:rsidRPr="00480FF6" w:rsidRDefault="00C64F6A" w:rsidP="00C64F6A">
      <w:pPr>
        <w:rPr>
          <w:lang w:val="en-US"/>
        </w:rPr>
      </w:pPr>
      <w:r w:rsidRPr="007F5A78">
        <w:rPr>
          <w:lang w:val="en-US"/>
        </w:rPr>
        <w:t>Third, the management of payables should shift to strategic supplier finance model as opposed to reactive delay model. Despite the short-term liquidity benefits gained through the extension of the days payable outstanding, the long-term solutions include renegotiation of payment terms on the basis of volume commitments, adoption of dynamic discounting, or using supply-chain finance providers (Chamma et al., 2025). These are the strategies that protect relations with suppliers but also enhance financial liquidity.</w:t>
      </w:r>
    </w:p>
    <w:p w14:paraId="60F57AA8" w14:textId="77777777" w:rsidR="00C64F6A" w:rsidRDefault="00C64F6A" w:rsidP="00C64F6A">
      <w:pPr>
        <w:rPr>
          <w:lang w:val="en-US"/>
        </w:rPr>
      </w:pPr>
      <w:r w:rsidRPr="00435AD1">
        <w:rPr>
          <w:lang w:val="en-US"/>
        </w:rPr>
        <w:t>Collectively, these reforms would include a reduction in the duration of the CCC, not because of the imposition of further financial stress, but by increasing operational efficiency to improve resilience and take the edge off of the need for short-term borrowing.</w:t>
      </w:r>
    </w:p>
    <w:p w14:paraId="446F63BC" w14:textId="77777777" w:rsidR="00C64F6A" w:rsidRDefault="00C64F6A" w:rsidP="00C64F6A">
      <w:pPr>
        <w:rPr>
          <w:lang w:val="en-US"/>
        </w:rPr>
      </w:pPr>
    </w:p>
    <w:p w14:paraId="005201EF" w14:textId="77777777" w:rsidR="00C64F6A" w:rsidRDefault="00C64F6A" w:rsidP="00C64F6A">
      <w:pPr>
        <w:rPr>
          <w:lang w:val="en-US"/>
        </w:rPr>
      </w:pPr>
    </w:p>
    <w:p w14:paraId="6520F11C" w14:textId="77777777" w:rsidR="00C64F6A" w:rsidRDefault="00C64F6A" w:rsidP="00C64F6A">
      <w:pPr>
        <w:rPr>
          <w:lang w:val="en-US"/>
        </w:rPr>
      </w:pPr>
    </w:p>
    <w:p w14:paraId="3BCE9D5C" w14:textId="77777777" w:rsidR="00C64F6A" w:rsidRDefault="00C64F6A" w:rsidP="00C64F6A">
      <w:pPr>
        <w:rPr>
          <w:lang w:val="en-US"/>
        </w:rPr>
      </w:pPr>
    </w:p>
    <w:p w14:paraId="0077A0A7" w14:textId="77777777" w:rsidR="00C64F6A" w:rsidRPr="00480FF6" w:rsidRDefault="00C64F6A" w:rsidP="00C64F6A">
      <w:pPr>
        <w:rPr>
          <w:lang w:val="en-US"/>
        </w:rPr>
      </w:pPr>
    </w:p>
    <w:p w14:paraId="085ACC10" w14:textId="77777777" w:rsidR="00C64F6A" w:rsidRDefault="00C64F6A" w:rsidP="00C64F6A">
      <w:pPr>
        <w:rPr>
          <w:lang w:val="en-US"/>
        </w:rPr>
      </w:pPr>
      <w:r>
        <w:rPr>
          <w:noProof/>
        </w:rPr>
        <w:lastRenderedPageBreak/>
        <w:drawing>
          <wp:inline distT="0" distB="0" distL="0" distR="0" wp14:anchorId="7E637F66" wp14:editId="4A1B5687">
            <wp:extent cx="5943600" cy="5181600"/>
            <wp:effectExtent l="0" t="0" r="0" b="0"/>
            <wp:docPr id="264977313"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977313" name="Picture 1" descr="A table with text on it&#10;&#10;AI-generated content may be incorrect."/>
                    <pic:cNvPicPr/>
                  </pic:nvPicPr>
                  <pic:blipFill>
                    <a:blip r:embed="rId33"/>
                    <a:stretch>
                      <a:fillRect/>
                    </a:stretch>
                  </pic:blipFill>
                  <pic:spPr>
                    <a:xfrm>
                      <a:off x="0" y="0"/>
                      <a:ext cx="5943600" cy="5181600"/>
                    </a:xfrm>
                    <a:prstGeom prst="rect">
                      <a:avLst/>
                    </a:prstGeom>
                  </pic:spPr>
                </pic:pic>
              </a:graphicData>
            </a:graphic>
          </wp:inline>
        </w:drawing>
      </w:r>
    </w:p>
    <w:p w14:paraId="1E53276E" w14:textId="77777777" w:rsidR="00C64F6A" w:rsidRDefault="00C64F6A" w:rsidP="00C64F6A">
      <w:pPr>
        <w:pStyle w:val="Caption"/>
      </w:pPr>
      <w:bookmarkStart w:id="47" w:name="_Toc217212341"/>
      <w:r>
        <w:t xml:space="preserve">Table </w:t>
      </w:r>
      <w:r>
        <w:fldChar w:fldCharType="begin"/>
      </w:r>
      <w:r>
        <w:instrText xml:space="preserve"> SEQ Table \* ARABIC </w:instrText>
      </w:r>
      <w:r>
        <w:fldChar w:fldCharType="separate"/>
      </w:r>
      <w:r>
        <w:rPr>
          <w:noProof/>
        </w:rPr>
        <w:t>3</w:t>
      </w:r>
      <w:r>
        <w:fldChar w:fldCharType="end"/>
      </w:r>
      <w:r>
        <w:t xml:space="preserve">: </w:t>
      </w:r>
      <w:r w:rsidRPr="00526FEB">
        <w:t>Strategies to Improve Liquidity through Working Capital Reforms</w:t>
      </w:r>
      <w:bookmarkEnd w:id="47"/>
    </w:p>
    <w:p w14:paraId="771C6CFA" w14:textId="77777777" w:rsidR="00C64F6A" w:rsidRPr="00480FF6" w:rsidRDefault="00C64F6A" w:rsidP="00C64F6A"/>
    <w:p w14:paraId="188DBC5B" w14:textId="77777777" w:rsidR="00C64F6A" w:rsidRDefault="00C64F6A" w:rsidP="00C64F6A">
      <w:pPr>
        <w:pStyle w:val="Heading2"/>
        <w:rPr>
          <w:lang w:val="en-US"/>
        </w:rPr>
      </w:pPr>
      <w:bookmarkStart w:id="48" w:name="_Toc217212313"/>
      <w:r w:rsidRPr="00480FF6">
        <w:rPr>
          <w:lang w:val="en-US"/>
        </w:rPr>
        <w:lastRenderedPageBreak/>
        <w:t>2.3 Short-Term versus Long-Term Financing Options</w:t>
      </w:r>
      <w:bookmarkEnd w:id="48"/>
    </w:p>
    <w:p w14:paraId="107F9ECB" w14:textId="77777777" w:rsidR="00C64F6A" w:rsidRDefault="00C64F6A" w:rsidP="00C64F6A">
      <w:pPr>
        <w:jc w:val="center"/>
        <w:rPr>
          <w:lang w:val="en-US"/>
        </w:rPr>
      </w:pPr>
      <w:r>
        <w:rPr>
          <w:noProof/>
          <w:lang w:val="en-US"/>
        </w:rPr>
        <w:drawing>
          <wp:inline distT="0" distB="0" distL="0" distR="0" wp14:anchorId="15D3573B" wp14:editId="67C63245">
            <wp:extent cx="4254581" cy="1781175"/>
            <wp:effectExtent l="0" t="0" r="0" b="0"/>
            <wp:docPr id="154804709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l="964" t="9551" r="3019" b="18094"/>
                    <a:stretch>
                      <a:fillRect/>
                    </a:stretch>
                  </pic:blipFill>
                  <pic:spPr bwMode="auto">
                    <a:xfrm>
                      <a:off x="0" y="0"/>
                      <a:ext cx="4286485" cy="1794531"/>
                    </a:xfrm>
                    <a:prstGeom prst="rect">
                      <a:avLst/>
                    </a:prstGeom>
                    <a:noFill/>
                    <a:ln>
                      <a:noFill/>
                    </a:ln>
                    <a:extLst>
                      <a:ext uri="{53640926-AAD7-44D8-BBD7-CCE9431645EC}">
                        <a14:shadowObscured xmlns:a14="http://schemas.microsoft.com/office/drawing/2010/main"/>
                      </a:ext>
                    </a:extLst>
                  </pic:spPr>
                </pic:pic>
              </a:graphicData>
            </a:graphic>
          </wp:inline>
        </w:drawing>
      </w:r>
    </w:p>
    <w:p w14:paraId="0AFB79E9" w14:textId="77777777" w:rsidR="00C64F6A" w:rsidRPr="00046CF0" w:rsidRDefault="00C64F6A" w:rsidP="00C64F6A">
      <w:pPr>
        <w:pStyle w:val="Caption"/>
        <w:rPr>
          <w:lang w:val="en-US"/>
        </w:rPr>
      </w:pPr>
      <w:bookmarkStart w:id="49" w:name="_Toc217212367"/>
      <w:r>
        <w:t xml:space="preserve">Figure </w:t>
      </w:r>
      <w:r>
        <w:fldChar w:fldCharType="begin"/>
      </w:r>
      <w:r>
        <w:instrText xml:space="preserve"> SEQ Figure \* ARABIC </w:instrText>
      </w:r>
      <w:r>
        <w:fldChar w:fldCharType="separate"/>
      </w:r>
      <w:r>
        <w:rPr>
          <w:noProof/>
        </w:rPr>
        <w:t>24</w:t>
      </w:r>
      <w:r>
        <w:fldChar w:fldCharType="end"/>
      </w:r>
      <w:r>
        <w:t xml:space="preserve">: </w:t>
      </w:r>
      <w:r w:rsidRPr="00B02200">
        <w:t>Short-Term Financing</w:t>
      </w:r>
      <w:bookmarkEnd w:id="49"/>
    </w:p>
    <w:p w14:paraId="6C80A0E8" w14:textId="77777777" w:rsidR="00C64F6A" w:rsidRDefault="00C64F6A" w:rsidP="00C64F6A">
      <w:pPr>
        <w:rPr>
          <w:lang w:val="en-US"/>
        </w:rPr>
      </w:pPr>
      <w:r w:rsidRPr="00794DF0">
        <w:rPr>
          <w:lang w:val="en-US"/>
        </w:rPr>
        <w:t>A proper financing mix should be the foundation of the working-capital structure. Lines of credit, overdrafts, and trade credit are short-term financing options that bring in the desired flexibility and access to liquid assets at any moment; therefore, making them highly appropriate when dealing with seasonal changes on the working capital (Gandhi, 2025).</w:t>
      </w:r>
      <w:r w:rsidRPr="00480FF6">
        <w:rPr>
          <w:lang w:val="en-US"/>
        </w:rPr>
        <w:t xml:space="preserve"> </w:t>
      </w:r>
      <w:r w:rsidRPr="00F31620">
        <w:rPr>
          <w:lang w:val="en-US"/>
        </w:rPr>
        <w:t>Short term funding has been used to reduce the fluctuations of cash flows at times of operating losses. However, overdependence on this kind of financing inflates refinancing risk and exposes the firm to interest-rate and rollover risks, in case of negative operating margins (Mensah et al., 2025).</w:t>
      </w:r>
    </w:p>
    <w:p w14:paraId="1DA9C624" w14:textId="77777777" w:rsidR="00C64F6A" w:rsidRDefault="00C64F6A" w:rsidP="00C64F6A">
      <w:pPr>
        <w:jc w:val="center"/>
        <w:rPr>
          <w:lang w:val="en-US"/>
        </w:rPr>
      </w:pPr>
      <w:r>
        <w:rPr>
          <w:noProof/>
          <w:lang w:val="en-US"/>
        </w:rPr>
        <w:lastRenderedPageBreak/>
        <w:drawing>
          <wp:inline distT="0" distB="0" distL="0" distR="0" wp14:anchorId="398377FA" wp14:editId="039E95C7">
            <wp:extent cx="4608114" cy="5029200"/>
            <wp:effectExtent l="0" t="0" r="2540" b="0"/>
            <wp:docPr id="7823671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613092" cy="5034632"/>
                    </a:xfrm>
                    <a:prstGeom prst="rect">
                      <a:avLst/>
                    </a:prstGeom>
                    <a:noFill/>
                  </pic:spPr>
                </pic:pic>
              </a:graphicData>
            </a:graphic>
          </wp:inline>
        </w:drawing>
      </w:r>
    </w:p>
    <w:p w14:paraId="15230F40" w14:textId="77777777" w:rsidR="00C64F6A" w:rsidRPr="00480FF6" w:rsidRDefault="00C64F6A" w:rsidP="00C64F6A">
      <w:pPr>
        <w:pStyle w:val="Caption"/>
        <w:rPr>
          <w:lang w:val="en-US"/>
        </w:rPr>
      </w:pPr>
      <w:bookmarkStart w:id="50" w:name="_Toc217212368"/>
      <w:r>
        <w:t xml:space="preserve">Figure </w:t>
      </w:r>
      <w:r>
        <w:fldChar w:fldCharType="begin"/>
      </w:r>
      <w:r>
        <w:instrText xml:space="preserve"> SEQ Figure \* ARABIC </w:instrText>
      </w:r>
      <w:r>
        <w:fldChar w:fldCharType="separate"/>
      </w:r>
      <w:r>
        <w:rPr>
          <w:noProof/>
        </w:rPr>
        <w:t>25</w:t>
      </w:r>
      <w:r>
        <w:fldChar w:fldCharType="end"/>
      </w:r>
      <w:r>
        <w:t xml:space="preserve">: </w:t>
      </w:r>
      <w:r w:rsidRPr="00BB0A1A">
        <w:t>Short-Term Financing</w:t>
      </w:r>
      <w:r>
        <w:t xml:space="preserve"> Sources</w:t>
      </w:r>
      <w:bookmarkEnd w:id="50"/>
    </w:p>
    <w:p w14:paraId="7D0CB841" w14:textId="77777777" w:rsidR="00C64F6A" w:rsidRDefault="00C64F6A" w:rsidP="00C64F6A">
      <w:pPr>
        <w:rPr>
          <w:lang w:val="en-US"/>
        </w:rPr>
      </w:pPr>
      <w:r w:rsidRPr="00564F8B">
        <w:rPr>
          <w:lang w:val="en-US"/>
        </w:rPr>
        <w:t>Conversely, long term financing, such as term loans, bonds and long term lease obligations, is part of stability and provides better maturity matching with long lived assets. Although, remuneration for such financing are often greater, this reduces liquidity pressure and creates the foundation for strategic restructuring activities during times of recovery (Shen, 2017; Kumar et al., 2025). In the face of the enterprise's lengthy cash conversion cycle and increases in default risk roles, heavy reliance on short-term financing increases a business's vulnerability to deteriorating credit conditions.</w:t>
      </w:r>
    </w:p>
    <w:p w14:paraId="6C0583AE" w14:textId="77777777" w:rsidR="00C64F6A" w:rsidRDefault="00C64F6A" w:rsidP="00C64F6A">
      <w:pPr>
        <w:jc w:val="center"/>
        <w:rPr>
          <w:lang w:val="en-US"/>
        </w:rPr>
      </w:pPr>
      <w:r>
        <w:rPr>
          <w:noProof/>
          <w:lang w:val="en-US"/>
        </w:rPr>
        <w:lastRenderedPageBreak/>
        <w:drawing>
          <wp:inline distT="0" distB="0" distL="0" distR="0" wp14:anchorId="75E4B29B" wp14:editId="61A4D0CE">
            <wp:extent cx="3799331" cy="1794742"/>
            <wp:effectExtent l="0" t="0" r="0" b="0"/>
            <wp:docPr id="113906948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l="789" t="2841" r="1702" b="14249"/>
                    <a:stretch>
                      <a:fillRect/>
                    </a:stretch>
                  </pic:blipFill>
                  <pic:spPr bwMode="auto">
                    <a:xfrm>
                      <a:off x="0" y="0"/>
                      <a:ext cx="3815047" cy="1802166"/>
                    </a:xfrm>
                    <a:prstGeom prst="rect">
                      <a:avLst/>
                    </a:prstGeom>
                    <a:noFill/>
                    <a:ln>
                      <a:noFill/>
                    </a:ln>
                    <a:extLst>
                      <a:ext uri="{53640926-AAD7-44D8-BBD7-CCE9431645EC}">
                        <a14:shadowObscured xmlns:a14="http://schemas.microsoft.com/office/drawing/2010/main"/>
                      </a:ext>
                    </a:extLst>
                  </pic:spPr>
                </pic:pic>
              </a:graphicData>
            </a:graphic>
          </wp:inline>
        </w:drawing>
      </w:r>
    </w:p>
    <w:p w14:paraId="2A99A3F9" w14:textId="77777777" w:rsidR="00C64F6A" w:rsidRPr="00480FF6" w:rsidRDefault="00C64F6A" w:rsidP="00C64F6A">
      <w:pPr>
        <w:pStyle w:val="Caption"/>
        <w:rPr>
          <w:lang w:val="en-US"/>
        </w:rPr>
      </w:pPr>
      <w:bookmarkStart w:id="51" w:name="_Toc217212369"/>
      <w:r>
        <w:t xml:space="preserve">Figure </w:t>
      </w:r>
      <w:r>
        <w:fldChar w:fldCharType="begin"/>
      </w:r>
      <w:r>
        <w:instrText xml:space="preserve"> SEQ Figure \* ARABIC </w:instrText>
      </w:r>
      <w:r>
        <w:fldChar w:fldCharType="separate"/>
      </w:r>
      <w:r>
        <w:rPr>
          <w:noProof/>
        </w:rPr>
        <w:t>26</w:t>
      </w:r>
      <w:r>
        <w:fldChar w:fldCharType="end"/>
      </w:r>
      <w:r>
        <w:t>: L</w:t>
      </w:r>
      <w:r w:rsidRPr="00115593">
        <w:t xml:space="preserve">ong-term </w:t>
      </w:r>
      <w:r>
        <w:t>F</w:t>
      </w:r>
      <w:r w:rsidRPr="00115593">
        <w:t>inancing</w:t>
      </w:r>
      <w:bookmarkEnd w:id="51"/>
    </w:p>
    <w:p w14:paraId="63344160" w14:textId="77777777" w:rsidR="00C64F6A" w:rsidRDefault="00C64F6A" w:rsidP="00C64F6A">
      <w:pPr>
        <w:rPr>
          <w:lang w:val="en-US"/>
        </w:rPr>
      </w:pPr>
      <w:r w:rsidRPr="007F0CF2">
        <w:rPr>
          <w:lang w:val="en-US"/>
        </w:rPr>
        <w:t xml:space="preserve">The best plan may involve a well-balanced financing plan whereby short term financing is selectively used to absorb genuine working-capital volatility, with increased dependence on long-term capital to support structural working-capital requirements and capital expenditures. This mixed structure is more financially flexible and is aligned with best-practice rules observed in companies that experience disturbances and eventual recovery (Akbar et al., 2022; </w:t>
      </w:r>
      <w:proofErr w:type="spellStart"/>
      <w:r w:rsidRPr="007F0CF2">
        <w:rPr>
          <w:lang w:val="en-US"/>
        </w:rPr>
        <w:t>Sienatra</w:t>
      </w:r>
      <w:proofErr w:type="spellEnd"/>
      <w:r w:rsidRPr="007F0CF2">
        <w:rPr>
          <w:lang w:val="en-US"/>
        </w:rPr>
        <w:t> et al., 2025).</w:t>
      </w:r>
    </w:p>
    <w:p w14:paraId="66BCE95F" w14:textId="77777777" w:rsidR="00C64F6A" w:rsidRDefault="00C64F6A" w:rsidP="00C64F6A">
      <w:pPr>
        <w:jc w:val="center"/>
        <w:rPr>
          <w:lang w:val="en-US"/>
        </w:rPr>
      </w:pPr>
      <w:r>
        <w:rPr>
          <w:noProof/>
          <w:lang w:val="en-US"/>
        </w:rPr>
        <w:drawing>
          <wp:inline distT="0" distB="0" distL="0" distR="0" wp14:anchorId="0AEB4947" wp14:editId="7F66E57B">
            <wp:extent cx="4038600" cy="2270591"/>
            <wp:effectExtent l="0" t="0" r="0" b="0"/>
            <wp:docPr id="484103807"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4065686" cy="2285819"/>
                    </a:xfrm>
                    <a:prstGeom prst="rect">
                      <a:avLst/>
                    </a:prstGeom>
                    <a:noFill/>
                  </pic:spPr>
                </pic:pic>
              </a:graphicData>
            </a:graphic>
          </wp:inline>
        </w:drawing>
      </w:r>
    </w:p>
    <w:p w14:paraId="7851D81F" w14:textId="77777777" w:rsidR="00C64F6A" w:rsidRDefault="00C64F6A" w:rsidP="00C64F6A">
      <w:pPr>
        <w:pStyle w:val="Caption"/>
      </w:pPr>
      <w:bookmarkStart w:id="52" w:name="_Toc217212370"/>
      <w:r>
        <w:t xml:space="preserve">Figure </w:t>
      </w:r>
      <w:r>
        <w:fldChar w:fldCharType="begin"/>
      </w:r>
      <w:r>
        <w:instrText xml:space="preserve"> SEQ Figure \* ARABIC </w:instrText>
      </w:r>
      <w:r>
        <w:fldChar w:fldCharType="separate"/>
      </w:r>
      <w:r>
        <w:rPr>
          <w:noProof/>
        </w:rPr>
        <w:t>27</w:t>
      </w:r>
      <w:r>
        <w:fldChar w:fldCharType="end"/>
      </w:r>
      <w:r>
        <w:t xml:space="preserve">: </w:t>
      </w:r>
      <w:r w:rsidRPr="000A6C47">
        <w:t>Balanced Capital Structure</w:t>
      </w:r>
      <w:bookmarkEnd w:id="52"/>
    </w:p>
    <w:p w14:paraId="76DD0BB4" w14:textId="77777777" w:rsidR="00C64F6A" w:rsidRPr="00480FF6" w:rsidRDefault="00C64F6A" w:rsidP="00C64F6A"/>
    <w:p w14:paraId="1916EEB5" w14:textId="77777777" w:rsidR="00C64F6A" w:rsidRDefault="00C64F6A" w:rsidP="00C64F6A">
      <w:r>
        <w:rPr>
          <w:noProof/>
        </w:rPr>
        <w:lastRenderedPageBreak/>
        <w:drawing>
          <wp:inline distT="0" distB="0" distL="0" distR="0" wp14:anchorId="297EA4D5" wp14:editId="7A8650AC">
            <wp:extent cx="5943600" cy="6252845"/>
            <wp:effectExtent l="0" t="0" r="0" b="0"/>
            <wp:docPr id="806766158" name="Picture 1" descr="A green and white chart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766158" name="Picture 1" descr="A green and white chart with white text&#10;&#10;AI-generated content may be incorrect."/>
                    <pic:cNvPicPr/>
                  </pic:nvPicPr>
                  <pic:blipFill>
                    <a:blip r:embed="rId38"/>
                    <a:stretch>
                      <a:fillRect/>
                    </a:stretch>
                  </pic:blipFill>
                  <pic:spPr>
                    <a:xfrm>
                      <a:off x="0" y="0"/>
                      <a:ext cx="5943600" cy="6252845"/>
                    </a:xfrm>
                    <a:prstGeom prst="rect">
                      <a:avLst/>
                    </a:prstGeom>
                  </pic:spPr>
                </pic:pic>
              </a:graphicData>
            </a:graphic>
          </wp:inline>
        </w:drawing>
      </w:r>
    </w:p>
    <w:p w14:paraId="1FD0420A" w14:textId="77777777" w:rsidR="00C64F6A" w:rsidRDefault="00C64F6A" w:rsidP="00C64F6A">
      <w:pPr>
        <w:pStyle w:val="Caption"/>
      </w:pPr>
      <w:bookmarkStart w:id="53" w:name="_Toc217212342"/>
      <w:r>
        <w:t xml:space="preserve">Table </w:t>
      </w:r>
      <w:r>
        <w:fldChar w:fldCharType="begin"/>
      </w:r>
      <w:r>
        <w:instrText xml:space="preserve"> SEQ Table \* ARABIC </w:instrText>
      </w:r>
      <w:r>
        <w:fldChar w:fldCharType="separate"/>
      </w:r>
      <w:r>
        <w:rPr>
          <w:noProof/>
        </w:rPr>
        <w:t>4</w:t>
      </w:r>
      <w:r>
        <w:fldChar w:fldCharType="end"/>
      </w:r>
      <w:r>
        <w:t xml:space="preserve">: </w:t>
      </w:r>
      <w:r w:rsidRPr="009061E9">
        <w:t>Short-Term versus Long-Term Financing Options</w:t>
      </w:r>
      <w:bookmarkEnd w:id="53"/>
    </w:p>
    <w:p w14:paraId="13823A86" w14:textId="77777777" w:rsidR="00C64F6A" w:rsidRDefault="00C64F6A" w:rsidP="00C64F6A"/>
    <w:p w14:paraId="060BE5B3" w14:textId="77777777" w:rsidR="00C64F6A" w:rsidRPr="00533F7A" w:rsidRDefault="00C64F6A" w:rsidP="00C64F6A">
      <w:pPr>
        <w:pStyle w:val="Heading1"/>
        <w:rPr>
          <w:lang w:val="en-US"/>
        </w:rPr>
      </w:pPr>
      <w:bookmarkStart w:id="54" w:name="_Toc217212314"/>
      <w:r w:rsidRPr="00533F7A">
        <w:rPr>
          <w:lang w:val="en-US"/>
        </w:rPr>
        <w:lastRenderedPageBreak/>
        <w:t>3. Strategic Financial Restructuring Plan</w:t>
      </w:r>
      <w:bookmarkEnd w:id="54"/>
    </w:p>
    <w:p w14:paraId="1177AE4A" w14:textId="77777777" w:rsidR="00C64F6A" w:rsidRPr="00533F7A" w:rsidRDefault="00C64F6A" w:rsidP="00C64F6A">
      <w:pPr>
        <w:pStyle w:val="Heading2"/>
        <w:rPr>
          <w:lang w:val="en-US"/>
        </w:rPr>
      </w:pPr>
      <w:bookmarkStart w:id="55" w:name="_Toc217212315"/>
      <w:r w:rsidRPr="00533F7A">
        <w:rPr>
          <w:lang w:val="en-US"/>
        </w:rPr>
        <w:t>3.1 Rationale for Financial Restructuring</w:t>
      </w:r>
      <w:bookmarkEnd w:id="55"/>
    </w:p>
    <w:p w14:paraId="37661171" w14:textId="77777777" w:rsidR="00C64F6A" w:rsidRPr="00533F7A" w:rsidRDefault="00C64F6A" w:rsidP="00C64F6A">
      <w:pPr>
        <w:rPr>
          <w:lang w:val="en-US"/>
        </w:rPr>
      </w:pPr>
      <w:r w:rsidRPr="00226DE7">
        <w:rPr>
          <w:lang w:val="en-US"/>
        </w:rPr>
        <w:t>The recent financial history of the firm suggests a high risk of financial difficulties because of continued operating losses, a fall in equity and worsening liquidity ratios. Consequently, financial restructuring is imperative not only to cure the solvency but also to improve financial flexibility in the long term, and foster value creation.</w:t>
      </w:r>
      <w:r w:rsidRPr="00533F7A">
        <w:rPr>
          <w:lang w:val="en-US"/>
        </w:rPr>
        <w:t xml:space="preserve"> </w:t>
      </w:r>
      <w:r w:rsidRPr="002C2C5B">
        <w:rPr>
          <w:lang w:val="en-US"/>
        </w:rPr>
        <w:t>Earlier studies highlight that the restructuring process must correspond to the stage of the life cycle of the firm and the intensity of distress and holistic repair of balance sheets alongside realignment of strategy (Akbar et al., 2022; Nguyen et al., 2025). In this regard, a multi-pronged reorganization strategy comprising of divestiture, capital infusion as well as selective strategic convergence are suggested.</w:t>
      </w:r>
    </w:p>
    <w:p w14:paraId="61B7FD9B" w14:textId="77777777" w:rsidR="00C64F6A" w:rsidRPr="00533F7A" w:rsidRDefault="00C64F6A" w:rsidP="00C64F6A">
      <w:pPr>
        <w:rPr>
          <w:lang w:val="en-US"/>
        </w:rPr>
      </w:pPr>
    </w:p>
    <w:p w14:paraId="6A89102D" w14:textId="77777777" w:rsidR="00C64F6A" w:rsidRPr="00533F7A" w:rsidRDefault="00C64F6A" w:rsidP="00C64F6A">
      <w:pPr>
        <w:pStyle w:val="Heading2"/>
        <w:rPr>
          <w:lang w:val="en-US"/>
        </w:rPr>
      </w:pPr>
      <w:bookmarkStart w:id="56" w:name="_Toc217212316"/>
      <w:r w:rsidRPr="00533F7A">
        <w:rPr>
          <w:lang w:val="en-US"/>
        </w:rPr>
        <w:t>3.2 Recommended Financial Restructuring Options</w:t>
      </w:r>
      <w:bookmarkEnd w:id="56"/>
    </w:p>
    <w:p w14:paraId="273E8BA1" w14:textId="77777777" w:rsidR="00C64F6A" w:rsidRDefault="00C64F6A" w:rsidP="00C64F6A">
      <w:pPr>
        <w:pStyle w:val="Heading3"/>
        <w:rPr>
          <w:lang w:val="en-US"/>
        </w:rPr>
      </w:pPr>
      <w:bookmarkStart w:id="57" w:name="_Toc217212317"/>
      <w:r w:rsidRPr="00533F7A">
        <w:rPr>
          <w:lang w:val="en-US"/>
        </w:rPr>
        <w:t>3.2.1 Divestiture of non-core or underperforming assets</w:t>
      </w:r>
      <w:bookmarkEnd w:id="57"/>
    </w:p>
    <w:p w14:paraId="257F6DF1" w14:textId="77777777" w:rsidR="00C64F6A" w:rsidRDefault="00C64F6A" w:rsidP="00C64F6A">
      <w:pPr>
        <w:jc w:val="center"/>
        <w:rPr>
          <w:lang w:val="en-US"/>
        </w:rPr>
      </w:pPr>
      <w:r>
        <w:rPr>
          <w:noProof/>
          <w:lang w:val="en-US"/>
        </w:rPr>
        <w:drawing>
          <wp:inline distT="0" distB="0" distL="0" distR="0" wp14:anchorId="0DD1D9C3" wp14:editId="469BCA4F">
            <wp:extent cx="4401926" cy="3352800"/>
            <wp:effectExtent l="0" t="0" r="0" b="0"/>
            <wp:docPr id="2130808170"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403176" cy="3353752"/>
                    </a:xfrm>
                    <a:prstGeom prst="rect">
                      <a:avLst/>
                    </a:prstGeom>
                    <a:noFill/>
                  </pic:spPr>
                </pic:pic>
              </a:graphicData>
            </a:graphic>
          </wp:inline>
        </w:drawing>
      </w:r>
    </w:p>
    <w:p w14:paraId="24A970D9" w14:textId="77777777" w:rsidR="00C64F6A" w:rsidRPr="00373A15" w:rsidRDefault="00C64F6A" w:rsidP="00C64F6A">
      <w:pPr>
        <w:pStyle w:val="Caption"/>
        <w:rPr>
          <w:lang w:val="en-US"/>
        </w:rPr>
      </w:pPr>
      <w:bookmarkStart w:id="58" w:name="_Toc217212371"/>
      <w:r>
        <w:lastRenderedPageBreak/>
        <w:t xml:space="preserve">Figure </w:t>
      </w:r>
      <w:r>
        <w:fldChar w:fldCharType="begin"/>
      </w:r>
      <w:r>
        <w:instrText xml:space="preserve"> SEQ Figure \* ARABIC </w:instrText>
      </w:r>
      <w:r>
        <w:fldChar w:fldCharType="separate"/>
      </w:r>
      <w:r>
        <w:rPr>
          <w:noProof/>
        </w:rPr>
        <w:t>28</w:t>
      </w:r>
      <w:r>
        <w:fldChar w:fldCharType="end"/>
      </w:r>
      <w:r>
        <w:t xml:space="preserve">: </w:t>
      </w:r>
      <w:r w:rsidRPr="0096703B">
        <w:t>Divestiture</w:t>
      </w:r>
      <w:bookmarkEnd w:id="58"/>
    </w:p>
    <w:p w14:paraId="135AF473" w14:textId="77777777" w:rsidR="00C64F6A" w:rsidRDefault="00C64F6A" w:rsidP="00C64F6A">
      <w:pPr>
        <w:rPr>
          <w:lang w:val="en-US"/>
        </w:rPr>
      </w:pPr>
      <w:r w:rsidRPr="00166CCE">
        <w:rPr>
          <w:lang w:val="en-US"/>
        </w:rPr>
        <w:t>Divestiture is a sensible first step to free up liquidity, reduce asset intensity and refocus management efforts on value-creating core operations. Empirical research has shown that the divestment of non-core or persistently underperforming assets may strengthen liquidity, reduce leverage and help more operational efficiency, without substantially eroding long term competitiveness (</w:t>
      </w:r>
      <w:proofErr w:type="spellStart"/>
      <w:r w:rsidRPr="00166CCE">
        <w:rPr>
          <w:lang w:val="en-US"/>
        </w:rPr>
        <w:t>PalacIN</w:t>
      </w:r>
      <w:proofErr w:type="spellEnd"/>
      <w:r w:rsidRPr="00166CCE">
        <w:rPr>
          <w:lang w:val="en-US"/>
        </w:rPr>
        <w:t xml:space="preserve">-A Sanchez et al., 2023; </w:t>
      </w:r>
      <w:proofErr w:type="spellStart"/>
      <w:r w:rsidRPr="00166CCE">
        <w:rPr>
          <w:lang w:val="en-US"/>
        </w:rPr>
        <w:t>Potharla</w:t>
      </w:r>
      <w:proofErr w:type="spellEnd"/>
      <w:r w:rsidRPr="00166CCE">
        <w:rPr>
          <w:lang w:val="en-US"/>
        </w:rPr>
        <w:t>, 2025).</w:t>
      </w:r>
      <w:r w:rsidRPr="00533F7A">
        <w:rPr>
          <w:lang w:val="en-US"/>
        </w:rPr>
        <w:t xml:space="preserve"> </w:t>
      </w:r>
      <w:r w:rsidRPr="00B867F3">
        <w:rPr>
          <w:lang w:val="en-US"/>
        </w:rPr>
        <w:t xml:space="preserve">In the case of </w:t>
      </w:r>
      <w:r w:rsidRPr="00957591">
        <w:rPr>
          <w:lang w:val="en-US"/>
        </w:rPr>
        <w:t>General Electronics</w:t>
      </w:r>
      <w:r w:rsidRPr="00B867F3">
        <w:rPr>
          <w:lang w:val="en-US"/>
        </w:rPr>
        <w:t>, the proceeds of the divestiture may be deployed to settle the short-term debt or to finance the working capital field and as such directly strengthen the balance sheet. However, the disposal of assets should be done cautiously to prevent value-destructive fire sales especially in unfavorable economic situations (Chandak, 2017).</w:t>
      </w:r>
    </w:p>
    <w:p w14:paraId="23609B6C" w14:textId="77777777" w:rsidR="00C64F6A" w:rsidRPr="00533F7A" w:rsidRDefault="00C64F6A" w:rsidP="00C64F6A">
      <w:pPr>
        <w:rPr>
          <w:lang w:val="en-US"/>
        </w:rPr>
      </w:pPr>
    </w:p>
    <w:p w14:paraId="4C374830" w14:textId="77777777" w:rsidR="00C64F6A" w:rsidRDefault="00C64F6A" w:rsidP="00C64F6A">
      <w:pPr>
        <w:pStyle w:val="Heading3"/>
        <w:rPr>
          <w:lang w:val="en-US"/>
        </w:rPr>
      </w:pPr>
      <w:bookmarkStart w:id="59" w:name="_Toc217212318"/>
      <w:r w:rsidRPr="00533F7A">
        <w:rPr>
          <w:lang w:val="en-US"/>
        </w:rPr>
        <w:t xml:space="preserve">3.2.2 Equity injection and </w:t>
      </w:r>
      <w:r>
        <w:rPr>
          <w:lang w:val="en-US"/>
        </w:rPr>
        <w:t>recapitalization</w:t>
      </w:r>
      <w:bookmarkEnd w:id="59"/>
    </w:p>
    <w:p w14:paraId="7FD93DFD" w14:textId="77777777" w:rsidR="00C64F6A" w:rsidRDefault="00C64F6A" w:rsidP="00C64F6A">
      <w:pPr>
        <w:jc w:val="center"/>
        <w:rPr>
          <w:lang w:val="en-US"/>
        </w:rPr>
      </w:pPr>
      <w:r>
        <w:rPr>
          <w:noProof/>
          <w:lang w:val="en-US"/>
        </w:rPr>
        <w:drawing>
          <wp:inline distT="0" distB="0" distL="0" distR="0" wp14:anchorId="61AD0294" wp14:editId="4548C55A">
            <wp:extent cx="4267200" cy="1942214"/>
            <wp:effectExtent l="0" t="0" r="0" b="1270"/>
            <wp:docPr id="47069195"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40">
                      <a:extLst>
                        <a:ext uri="{28A0092B-C50C-407E-A947-70E740481C1C}">
                          <a14:useLocalDpi xmlns:a14="http://schemas.microsoft.com/office/drawing/2010/main" val="0"/>
                        </a:ext>
                      </a:extLst>
                    </a:blip>
                    <a:srcRect b="14907"/>
                    <a:stretch>
                      <a:fillRect/>
                    </a:stretch>
                  </pic:blipFill>
                  <pic:spPr bwMode="auto">
                    <a:xfrm>
                      <a:off x="0" y="0"/>
                      <a:ext cx="4272819" cy="1944772"/>
                    </a:xfrm>
                    <a:prstGeom prst="rect">
                      <a:avLst/>
                    </a:prstGeom>
                    <a:noFill/>
                    <a:ln>
                      <a:noFill/>
                    </a:ln>
                    <a:extLst>
                      <a:ext uri="{53640926-AAD7-44D8-BBD7-CCE9431645EC}">
                        <a14:shadowObscured xmlns:a14="http://schemas.microsoft.com/office/drawing/2010/main"/>
                      </a:ext>
                    </a:extLst>
                  </pic:spPr>
                </pic:pic>
              </a:graphicData>
            </a:graphic>
          </wp:inline>
        </w:drawing>
      </w:r>
    </w:p>
    <w:p w14:paraId="4C2C09F9" w14:textId="77777777" w:rsidR="00C64F6A" w:rsidRPr="00373A15" w:rsidRDefault="00C64F6A" w:rsidP="00C64F6A">
      <w:pPr>
        <w:pStyle w:val="Caption"/>
        <w:rPr>
          <w:lang w:val="en-US"/>
        </w:rPr>
      </w:pPr>
      <w:bookmarkStart w:id="60" w:name="_Toc217212372"/>
      <w:r>
        <w:t xml:space="preserve">Figure </w:t>
      </w:r>
      <w:r>
        <w:fldChar w:fldCharType="begin"/>
      </w:r>
      <w:r>
        <w:instrText xml:space="preserve"> SEQ Figure \* ARABIC </w:instrText>
      </w:r>
      <w:r>
        <w:fldChar w:fldCharType="separate"/>
      </w:r>
      <w:r>
        <w:rPr>
          <w:noProof/>
        </w:rPr>
        <w:t>29</w:t>
      </w:r>
      <w:r>
        <w:fldChar w:fldCharType="end"/>
      </w:r>
      <w:r>
        <w:t xml:space="preserve">: </w:t>
      </w:r>
      <w:r w:rsidRPr="004E7A5D">
        <w:t>Capital Injectio</w:t>
      </w:r>
      <w:r>
        <w:t>n</w:t>
      </w:r>
      <w:bookmarkEnd w:id="60"/>
    </w:p>
    <w:p w14:paraId="5087610F" w14:textId="77777777" w:rsidR="00C64F6A" w:rsidRDefault="00C64F6A" w:rsidP="00C64F6A">
      <w:pPr>
        <w:rPr>
          <w:lang w:val="en-US"/>
        </w:rPr>
      </w:pPr>
      <w:r w:rsidRPr="00D342AB">
        <w:rPr>
          <w:lang w:val="en-US"/>
        </w:rPr>
        <w:t>In view of the dissipation of shareholders equity and the concurrent increase in the ratio of leverage, an equity injection forms an integral part of corporate restructuring. Such an injection may be operationalized through mechanisms which include rights issue, private equity placement, or participation of strategic investors. Equity recapitalization is aimed to improve the financial markets, as well as to reduce financial risk and to build creditor confidence to lessen the refinancing pressure (Mensah et al., 2025).</w:t>
      </w:r>
      <w:r w:rsidRPr="00533F7A">
        <w:rPr>
          <w:lang w:val="en-US"/>
        </w:rPr>
        <w:t xml:space="preserve"> </w:t>
      </w:r>
      <w:r w:rsidRPr="00095ED8">
        <w:rPr>
          <w:lang w:val="en-US"/>
        </w:rPr>
        <w:t xml:space="preserve">Issuing equity can dilute the existing stockholders; however, the available literature indicates that under distress, dilution can be value-neutral in consideration of the fact that it prevents </w:t>
      </w:r>
      <w:r w:rsidRPr="00095ED8">
        <w:rPr>
          <w:lang w:val="en-US"/>
        </w:rPr>
        <w:lastRenderedPageBreak/>
        <w:t>insolvency and enables recovery (</w:t>
      </w:r>
      <w:proofErr w:type="spellStart"/>
      <w:r w:rsidRPr="00095ED8">
        <w:rPr>
          <w:lang w:val="en-US"/>
        </w:rPr>
        <w:t>Sienatra</w:t>
      </w:r>
      <w:proofErr w:type="spellEnd"/>
      <w:r w:rsidRPr="00095ED8">
        <w:rPr>
          <w:lang w:val="en-US"/>
        </w:rPr>
        <w:t xml:space="preserve"> et al., 2025). A plausible equity injection in combination with administration changes might demonstrate the desire to achieve long-term viability as well as regain trust in the market.</w:t>
      </w:r>
    </w:p>
    <w:p w14:paraId="74A360DA" w14:textId="77777777" w:rsidR="00C64F6A" w:rsidRPr="00533F7A" w:rsidRDefault="00C64F6A" w:rsidP="00C64F6A">
      <w:pPr>
        <w:rPr>
          <w:lang w:val="en-US"/>
        </w:rPr>
      </w:pPr>
    </w:p>
    <w:p w14:paraId="3AC77452" w14:textId="77777777" w:rsidR="00C64F6A" w:rsidRDefault="00C64F6A" w:rsidP="00C64F6A">
      <w:pPr>
        <w:pStyle w:val="Heading3"/>
        <w:rPr>
          <w:lang w:val="en-US"/>
        </w:rPr>
      </w:pPr>
      <w:bookmarkStart w:id="61" w:name="_Toc217212319"/>
      <w:r w:rsidRPr="00533F7A">
        <w:rPr>
          <w:lang w:val="en-US"/>
        </w:rPr>
        <w:t>3.2.3 Strategic merger or alliance</w:t>
      </w:r>
      <w:bookmarkEnd w:id="61"/>
    </w:p>
    <w:p w14:paraId="10C641A3" w14:textId="77777777" w:rsidR="00C64F6A" w:rsidRDefault="00C64F6A" w:rsidP="00C64F6A">
      <w:pPr>
        <w:jc w:val="center"/>
        <w:rPr>
          <w:lang w:val="en-US"/>
        </w:rPr>
      </w:pPr>
      <w:r>
        <w:rPr>
          <w:noProof/>
          <w:lang w:val="en-US"/>
        </w:rPr>
        <w:drawing>
          <wp:inline distT="0" distB="0" distL="0" distR="0" wp14:anchorId="13C7E284" wp14:editId="7649AD1A">
            <wp:extent cx="4402667" cy="1981200"/>
            <wp:effectExtent l="0" t="0" r="0" b="0"/>
            <wp:docPr id="222775776"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407923" cy="1983565"/>
                    </a:xfrm>
                    <a:prstGeom prst="rect">
                      <a:avLst/>
                    </a:prstGeom>
                    <a:noFill/>
                  </pic:spPr>
                </pic:pic>
              </a:graphicData>
            </a:graphic>
          </wp:inline>
        </w:drawing>
      </w:r>
    </w:p>
    <w:p w14:paraId="20D0C782" w14:textId="77777777" w:rsidR="00C64F6A" w:rsidRPr="00373A15" w:rsidRDefault="00C64F6A" w:rsidP="00C64F6A">
      <w:pPr>
        <w:pStyle w:val="Caption"/>
        <w:rPr>
          <w:lang w:val="en-US"/>
        </w:rPr>
      </w:pPr>
      <w:bookmarkStart w:id="62" w:name="_Toc217212373"/>
      <w:r>
        <w:t xml:space="preserve">Figure </w:t>
      </w:r>
      <w:r>
        <w:fldChar w:fldCharType="begin"/>
      </w:r>
      <w:r>
        <w:instrText xml:space="preserve"> SEQ Figure \* ARABIC </w:instrText>
      </w:r>
      <w:r>
        <w:fldChar w:fldCharType="separate"/>
      </w:r>
      <w:r>
        <w:rPr>
          <w:noProof/>
        </w:rPr>
        <w:t>30</w:t>
      </w:r>
      <w:r>
        <w:fldChar w:fldCharType="end"/>
      </w:r>
      <w:r>
        <w:t xml:space="preserve">: </w:t>
      </w:r>
      <w:r w:rsidRPr="009A1E35">
        <w:t>Strategic Alliance vs Joint Venture</w:t>
      </w:r>
      <w:bookmarkEnd w:id="62"/>
    </w:p>
    <w:p w14:paraId="04829009" w14:textId="77777777" w:rsidR="00C64F6A" w:rsidRPr="00533F7A" w:rsidRDefault="00C64F6A" w:rsidP="00C64F6A">
      <w:pPr>
        <w:rPr>
          <w:lang w:val="en-US"/>
        </w:rPr>
      </w:pPr>
      <w:r w:rsidRPr="00480866">
        <w:rPr>
          <w:lang w:val="en-US"/>
        </w:rPr>
        <w:t>A merger or strategic alliance with a financially stronger or complementary firm could potentially provide access to capital, technology and market scale. Such arrangements may engender the cost synergies, augments the bargaining power with suppliers and customers, stabilizes the cash flows (Kumar et al., 2025).</w:t>
      </w:r>
      <w:r w:rsidRPr="00533F7A">
        <w:rPr>
          <w:lang w:val="en-US"/>
        </w:rPr>
        <w:t xml:space="preserve"> </w:t>
      </w:r>
      <w:r w:rsidRPr="007C280B">
        <w:rPr>
          <w:lang w:val="en-US"/>
        </w:rPr>
        <w:t>Mergers which have been made in times of distress have been shown to add value in terms of correcting structural shortcomings, as opposed to delaying failure (Akbar et al., 2022). However, integration risks, and cultural misalignments as well as complexity of implementation require a close consideration before one can consider such a strategy.</w:t>
      </w:r>
    </w:p>
    <w:p w14:paraId="1FDC5987" w14:textId="77777777" w:rsidR="00C64F6A" w:rsidRPr="00533F7A" w:rsidRDefault="00C64F6A" w:rsidP="00C64F6A">
      <w:pPr>
        <w:rPr>
          <w:lang w:val="en-US"/>
        </w:rPr>
      </w:pPr>
    </w:p>
    <w:p w14:paraId="6363429E" w14:textId="77777777" w:rsidR="00C64F6A" w:rsidRDefault="00C64F6A" w:rsidP="00C64F6A">
      <w:pPr>
        <w:pStyle w:val="Heading2"/>
        <w:rPr>
          <w:lang w:val="en-US"/>
        </w:rPr>
      </w:pPr>
      <w:bookmarkStart w:id="63" w:name="_Toc217212320"/>
      <w:r w:rsidRPr="00533F7A">
        <w:rPr>
          <w:lang w:val="en-US"/>
        </w:rPr>
        <w:t>3.3 Impact on Shareholder Value, Debt Structure, and Operational Flexibility</w:t>
      </w:r>
      <w:bookmarkEnd w:id="63"/>
    </w:p>
    <w:p w14:paraId="71FF988A" w14:textId="77777777" w:rsidR="00C64F6A" w:rsidRPr="00533F7A" w:rsidRDefault="00C64F6A" w:rsidP="00C64F6A">
      <w:pPr>
        <w:rPr>
          <w:lang w:val="en-US"/>
        </w:rPr>
      </w:pPr>
      <w:r w:rsidRPr="00360960">
        <w:rPr>
          <w:lang w:val="en-US"/>
        </w:rPr>
        <w:t xml:space="preserve">From the perspective of shareholders, restructuring attempts to arrest value erosion, as well as re-constituting a framework conducive to sustainable returns. The divestiture of non-core assets paired with equity injection are expected to improve the return metrics in </w:t>
      </w:r>
      <w:r w:rsidRPr="00360960">
        <w:rPr>
          <w:lang w:val="en-US"/>
        </w:rPr>
        <w:lastRenderedPageBreak/>
        <w:t xml:space="preserve">the long run by reducing financial risk and stabilizing the earnings notwithstanding the possible dilution on the equity side of the business in the short run (Chandak, 2017; </w:t>
      </w:r>
      <w:proofErr w:type="spellStart"/>
      <w:r w:rsidRPr="00360960">
        <w:rPr>
          <w:lang w:val="en-US"/>
        </w:rPr>
        <w:t>Sienatra</w:t>
      </w:r>
      <w:proofErr w:type="spellEnd"/>
      <w:r w:rsidRPr="00360960">
        <w:rPr>
          <w:lang w:val="en-US"/>
        </w:rPr>
        <w:t xml:space="preserve"> et</w:t>
      </w:r>
      <w:r>
        <w:rPr>
          <w:lang w:val="en-US"/>
        </w:rPr>
        <w:t xml:space="preserve"> </w:t>
      </w:r>
      <w:r w:rsidRPr="00360960">
        <w:rPr>
          <w:lang w:val="en-US"/>
        </w:rPr>
        <w:t>al., 2025). Furthermore, better solvency and liquidity may lower the firm's cost of capital, thereby adding to the long-term shareholder value (West, 2021).</w:t>
      </w:r>
    </w:p>
    <w:p w14:paraId="758BCA9C" w14:textId="77777777" w:rsidR="00C64F6A" w:rsidRPr="00533F7A" w:rsidRDefault="00C64F6A" w:rsidP="00C64F6A">
      <w:pPr>
        <w:rPr>
          <w:lang w:val="en-US"/>
        </w:rPr>
      </w:pPr>
      <w:r w:rsidRPr="0097044A">
        <w:rPr>
          <w:lang w:val="en-US"/>
        </w:rPr>
        <w:t>In terms of debt architecture, the suggested initiatives are expected to reduce the reliance on short-term funding and increase maturity match. Divestment proceeds used to set off the immediate-term obligations, as well as through injections of new equity, are expected to lower the leverage ratios and interest obligations and thus, bolster interest-coverage metrics and overall credit quality (Mensah et al., 2025). In turn, the restructuring is estimated to provide a buffer that will be conducive to renegotiating debt covenants and, later, refinancing residual indebtedness on more favorable terms.</w:t>
      </w:r>
    </w:p>
    <w:p w14:paraId="0EE8B2D8" w14:textId="77777777" w:rsidR="00C64F6A" w:rsidRPr="00533F7A" w:rsidRDefault="00C64F6A" w:rsidP="00C64F6A">
      <w:pPr>
        <w:rPr>
          <w:lang w:val="en-US"/>
        </w:rPr>
      </w:pPr>
      <w:r w:rsidRPr="00056CDE">
        <w:rPr>
          <w:lang w:val="en-US"/>
        </w:rPr>
        <w:t>Operational Flexibility is also expected to go up. A stronger balance sheet gives management the ability to selectively invest in initiatives to boost productivity, upgrade digital systems and optimize working capital to reduce excessive strain on liquidity (Panchenko et al., 2024). Strategic alliances or mergers could further supplement flexibility via risk and resource sharing particularly within environments of volatile demand.</w:t>
      </w:r>
    </w:p>
    <w:p w14:paraId="1021B8CD" w14:textId="77777777" w:rsidR="00C64F6A" w:rsidRPr="00533F7A" w:rsidRDefault="00C64F6A" w:rsidP="00C64F6A">
      <w:pPr>
        <w:rPr>
          <w:lang w:val="en-US"/>
        </w:rPr>
      </w:pPr>
    </w:p>
    <w:p w14:paraId="78BB4A04" w14:textId="77777777" w:rsidR="00C64F6A" w:rsidRPr="00533F7A" w:rsidRDefault="00C64F6A" w:rsidP="00C64F6A">
      <w:pPr>
        <w:pStyle w:val="Heading2"/>
        <w:rPr>
          <w:lang w:val="en-US"/>
        </w:rPr>
      </w:pPr>
      <w:bookmarkStart w:id="64" w:name="_Toc217212321"/>
      <w:r w:rsidRPr="00533F7A">
        <w:rPr>
          <w:lang w:val="en-US"/>
        </w:rPr>
        <w:lastRenderedPageBreak/>
        <w:t>3.4 International and Ethical Considerations</w:t>
      </w:r>
      <w:bookmarkEnd w:id="64"/>
    </w:p>
    <w:p w14:paraId="44136879" w14:textId="77777777" w:rsidR="00C64F6A" w:rsidRDefault="00C64F6A" w:rsidP="00C64F6A">
      <w:pPr>
        <w:pStyle w:val="Heading3"/>
        <w:rPr>
          <w:lang w:val="en-US"/>
        </w:rPr>
      </w:pPr>
      <w:bookmarkStart w:id="65" w:name="_Toc217212322"/>
      <w:r w:rsidRPr="00533F7A">
        <w:rPr>
          <w:lang w:val="en-US"/>
        </w:rPr>
        <w:t>3.4.1 Taxation and regulatory environment</w:t>
      </w:r>
      <w:bookmarkEnd w:id="65"/>
    </w:p>
    <w:p w14:paraId="379BCEE3" w14:textId="77777777" w:rsidR="00C64F6A" w:rsidRDefault="00C64F6A" w:rsidP="00C64F6A">
      <w:pPr>
        <w:jc w:val="center"/>
        <w:rPr>
          <w:lang w:val="en-US"/>
        </w:rPr>
      </w:pPr>
      <w:r>
        <w:rPr>
          <w:noProof/>
          <w:lang w:val="en-US"/>
        </w:rPr>
        <w:drawing>
          <wp:inline distT="0" distB="0" distL="0" distR="0" wp14:anchorId="0382C5C5" wp14:editId="4AE9CBD7">
            <wp:extent cx="3377046" cy="2724150"/>
            <wp:effectExtent l="0" t="0" r="0" b="0"/>
            <wp:docPr id="1442223262"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3381430" cy="2727687"/>
                    </a:xfrm>
                    <a:prstGeom prst="rect">
                      <a:avLst/>
                    </a:prstGeom>
                    <a:noFill/>
                  </pic:spPr>
                </pic:pic>
              </a:graphicData>
            </a:graphic>
          </wp:inline>
        </w:drawing>
      </w:r>
    </w:p>
    <w:p w14:paraId="6F5CA7A3" w14:textId="77777777" w:rsidR="00C64F6A" w:rsidRPr="00284A75" w:rsidRDefault="00C64F6A" w:rsidP="00C64F6A">
      <w:pPr>
        <w:pStyle w:val="Caption"/>
        <w:rPr>
          <w:lang w:val="en-US"/>
        </w:rPr>
      </w:pPr>
      <w:bookmarkStart w:id="66" w:name="_Toc217212374"/>
      <w:r>
        <w:t xml:space="preserve">Figure </w:t>
      </w:r>
      <w:r>
        <w:fldChar w:fldCharType="begin"/>
      </w:r>
      <w:r>
        <w:instrText xml:space="preserve"> SEQ Figure \* ARABIC </w:instrText>
      </w:r>
      <w:r>
        <w:fldChar w:fldCharType="separate"/>
      </w:r>
      <w:r>
        <w:rPr>
          <w:noProof/>
        </w:rPr>
        <w:t>31</w:t>
      </w:r>
      <w:r>
        <w:fldChar w:fldCharType="end"/>
      </w:r>
      <w:r>
        <w:t xml:space="preserve">: </w:t>
      </w:r>
      <w:r w:rsidRPr="00F92910">
        <w:t>Business Taxes and Complianc</w:t>
      </w:r>
      <w:r>
        <w:t>e</w:t>
      </w:r>
      <w:bookmarkEnd w:id="66"/>
    </w:p>
    <w:p w14:paraId="50981BDD" w14:textId="77777777" w:rsidR="00C64F6A" w:rsidRDefault="00C64F6A" w:rsidP="00C64F6A">
      <w:pPr>
        <w:rPr>
          <w:lang w:val="en-US"/>
        </w:rPr>
      </w:pPr>
      <w:r w:rsidRPr="00661E81">
        <w:rPr>
          <w:lang w:val="en-US"/>
        </w:rPr>
        <w:t>Re-structuring choices by internationals must consider the tax and regulatory implications that may be incurred. The transfer of assets and transfers involving equity may create capital gains taxes, withhold taxes, or raise the eyebrows of the authorities pursuing the topic of transfer pricing, thus affecting net proceeds (</w:t>
      </w:r>
      <w:proofErr w:type="spellStart"/>
      <w:r w:rsidRPr="00661E81">
        <w:rPr>
          <w:lang w:val="en-US"/>
        </w:rPr>
        <w:t>Mkadmi</w:t>
      </w:r>
      <w:proofErr w:type="spellEnd"/>
      <w:r w:rsidRPr="00661E81">
        <w:rPr>
          <w:lang w:val="en-US"/>
        </w:rPr>
        <w:t xml:space="preserve"> et al., 2024). To this end, a clear tax planning framework, which is consistent with regulatory requirements, is necessary to reduce image damage and to preempt compliance risks in the future.</w:t>
      </w:r>
    </w:p>
    <w:p w14:paraId="7671CCAA" w14:textId="77777777" w:rsidR="00C64F6A" w:rsidRPr="00533F7A" w:rsidRDefault="00C64F6A" w:rsidP="00C64F6A">
      <w:pPr>
        <w:rPr>
          <w:lang w:val="en-US"/>
        </w:rPr>
      </w:pPr>
    </w:p>
    <w:p w14:paraId="06C59EBB" w14:textId="77777777" w:rsidR="00C64F6A" w:rsidRDefault="00C64F6A" w:rsidP="00C64F6A">
      <w:pPr>
        <w:pStyle w:val="Heading3"/>
        <w:rPr>
          <w:lang w:val="en-US"/>
        </w:rPr>
      </w:pPr>
      <w:bookmarkStart w:id="67" w:name="_Toc217212323"/>
      <w:r w:rsidRPr="00533F7A">
        <w:rPr>
          <w:lang w:val="en-US"/>
        </w:rPr>
        <w:lastRenderedPageBreak/>
        <w:t>3.4.2 Currency and inflation risk</w:t>
      </w:r>
      <w:bookmarkEnd w:id="67"/>
    </w:p>
    <w:p w14:paraId="666720E8" w14:textId="77777777" w:rsidR="00C64F6A" w:rsidRDefault="00C64F6A" w:rsidP="00C64F6A">
      <w:pPr>
        <w:rPr>
          <w:lang w:val="en-US"/>
        </w:rPr>
      </w:pPr>
      <w:r>
        <w:rPr>
          <w:noProof/>
          <w:lang w:val="en-US"/>
        </w:rPr>
        <w:drawing>
          <wp:inline distT="0" distB="0" distL="0" distR="0" wp14:anchorId="063DD691" wp14:editId="0D5D3BE4">
            <wp:extent cx="6019800" cy="3429056"/>
            <wp:effectExtent l="0" t="0" r="0" b="0"/>
            <wp:docPr id="716516494"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6029143" cy="3434378"/>
                    </a:xfrm>
                    <a:prstGeom prst="rect">
                      <a:avLst/>
                    </a:prstGeom>
                    <a:noFill/>
                  </pic:spPr>
                </pic:pic>
              </a:graphicData>
            </a:graphic>
          </wp:inline>
        </w:drawing>
      </w:r>
    </w:p>
    <w:p w14:paraId="1D664E3B" w14:textId="77777777" w:rsidR="00C64F6A" w:rsidRPr="00284A75" w:rsidRDefault="00C64F6A" w:rsidP="00C64F6A">
      <w:pPr>
        <w:pStyle w:val="Caption"/>
        <w:rPr>
          <w:lang w:val="en-US"/>
        </w:rPr>
      </w:pPr>
      <w:bookmarkStart w:id="68" w:name="_Toc217212375"/>
      <w:r>
        <w:t xml:space="preserve">Figure </w:t>
      </w:r>
      <w:r>
        <w:fldChar w:fldCharType="begin"/>
      </w:r>
      <w:r>
        <w:instrText xml:space="preserve"> SEQ Figure \* ARABIC </w:instrText>
      </w:r>
      <w:r>
        <w:fldChar w:fldCharType="separate"/>
      </w:r>
      <w:r>
        <w:rPr>
          <w:noProof/>
        </w:rPr>
        <w:t>32</w:t>
      </w:r>
      <w:r>
        <w:fldChar w:fldCharType="end"/>
      </w:r>
      <w:r>
        <w:t xml:space="preserve">: </w:t>
      </w:r>
      <w:r w:rsidRPr="005E3D66">
        <w:t xml:space="preserve">Currency and </w:t>
      </w:r>
      <w:r>
        <w:t>I</w:t>
      </w:r>
      <w:r w:rsidRPr="005E3D66">
        <w:t xml:space="preserve">nflation </w:t>
      </w:r>
      <w:r>
        <w:t>R</w:t>
      </w:r>
      <w:r w:rsidRPr="005E3D66">
        <w:t>isk</w:t>
      </w:r>
      <w:bookmarkEnd w:id="68"/>
    </w:p>
    <w:p w14:paraId="78D40120" w14:textId="77777777" w:rsidR="00C64F6A" w:rsidRDefault="00C64F6A" w:rsidP="00C64F6A">
      <w:pPr>
        <w:rPr>
          <w:lang w:val="en-US"/>
        </w:rPr>
      </w:pPr>
      <w:r w:rsidRPr="00EB1DFA">
        <w:rPr>
          <w:lang w:val="en-US"/>
        </w:rPr>
        <w:t>When restructuring involves foreign investors, asset sales and/or cross-border mergers, exposure to fluctuations in exchange rate and inflationary pressures is profound. Volatility in exchange rate can have a material effect on valuation, debt servicing obligations and post-merger cash flow projections. Consequently, hedging instruments and currency-matched financing instruments should be part of the restructuring framework in order to protect value (Shen, 2017). Inflationary dynamics will also potentially undermine real returns, making adaptation in cost structures as well as the choice of pricing strategies essential.</w:t>
      </w:r>
    </w:p>
    <w:p w14:paraId="783C24B4" w14:textId="77777777" w:rsidR="00C64F6A" w:rsidRPr="00533F7A" w:rsidRDefault="00C64F6A" w:rsidP="00C64F6A">
      <w:pPr>
        <w:rPr>
          <w:lang w:val="en-US"/>
        </w:rPr>
      </w:pPr>
    </w:p>
    <w:p w14:paraId="365905CD" w14:textId="77777777" w:rsidR="00C64F6A" w:rsidRDefault="00C64F6A" w:rsidP="00C64F6A">
      <w:pPr>
        <w:pStyle w:val="Heading3"/>
        <w:rPr>
          <w:lang w:val="en-US"/>
        </w:rPr>
      </w:pPr>
      <w:bookmarkStart w:id="69" w:name="_Toc217212324"/>
      <w:r w:rsidRPr="00533F7A">
        <w:rPr>
          <w:lang w:val="en-US"/>
        </w:rPr>
        <w:lastRenderedPageBreak/>
        <w:t>3.4.3 Corporate social responsibility (CSR) considerations</w:t>
      </w:r>
      <w:bookmarkEnd w:id="69"/>
    </w:p>
    <w:p w14:paraId="10405F6B" w14:textId="77777777" w:rsidR="00C64F6A" w:rsidRDefault="00C64F6A" w:rsidP="00C64F6A">
      <w:pPr>
        <w:rPr>
          <w:lang w:val="en-US"/>
        </w:rPr>
      </w:pPr>
      <w:r>
        <w:rPr>
          <w:noProof/>
          <w:lang w:val="en-US"/>
        </w:rPr>
        <w:drawing>
          <wp:inline distT="0" distB="0" distL="0" distR="0" wp14:anchorId="4CCF4AAE" wp14:editId="4770DF89">
            <wp:extent cx="5962650" cy="3352334"/>
            <wp:effectExtent l="0" t="0" r="0" b="635"/>
            <wp:docPr id="924777221"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968635" cy="3355699"/>
                    </a:xfrm>
                    <a:prstGeom prst="rect">
                      <a:avLst/>
                    </a:prstGeom>
                    <a:noFill/>
                  </pic:spPr>
                </pic:pic>
              </a:graphicData>
            </a:graphic>
          </wp:inline>
        </w:drawing>
      </w:r>
    </w:p>
    <w:p w14:paraId="10994C76" w14:textId="77777777" w:rsidR="00C64F6A" w:rsidRPr="00284A75" w:rsidRDefault="00C64F6A" w:rsidP="00C64F6A">
      <w:pPr>
        <w:pStyle w:val="Caption"/>
        <w:rPr>
          <w:lang w:val="en-US"/>
        </w:rPr>
      </w:pPr>
      <w:bookmarkStart w:id="70" w:name="_Toc217212376"/>
      <w:r>
        <w:t xml:space="preserve">Figure </w:t>
      </w:r>
      <w:r>
        <w:fldChar w:fldCharType="begin"/>
      </w:r>
      <w:r>
        <w:instrText xml:space="preserve"> SEQ Figure \* ARABIC </w:instrText>
      </w:r>
      <w:r>
        <w:fldChar w:fldCharType="separate"/>
      </w:r>
      <w:r>
        <w:rPr>
          <w:noProof/>
        </w:rPr>
        <w:t>33</w:t>
      </w:r>
      <w:r>
        <w:fldChar w:fldCharType="end"/>
      </w:r>
      <w:r>
        <w:t xml:space="preserve">: </w:t>
      </w:r>
      <w:r w:rsidRPr="00B31EFB">
        <w:t>Corporate social responsibility (CSR) considerations</w:t>
      </w:r>
      <w:bookmarkEnd w:id="70"/>
    </w:p>
    <w:p w14:paraId="6417145F" w14:textId="77777777" w:rsidR="00C64F6A" w:rsidRPr="00533F7A" w:rsidRDefault="00C64F6A" w:rsidP="00C64F6A">
      <w:pPr>
        <w:rPr>
          <w:lang w:val="en-US"/>
        </w:rPr>
      </w:pPr>
      <w:r w:rsidRPr="00F61747">
        <w:rPr>
          <w:lang w:val="en-US"/>
        </w:rPr>
        <w:t>Ethical issues play a leading role in the debate of sustainable restructuring. Measures like employee layoffs, unjustified supplier payments or high-cutting tax policies can produce small returns on short-term performance indicators and also kill long-term legitimacy and stakeholder confidence. Empirical research shows that companies that take into account corporate social responsibility in their restructuring efforts are more likely to experience high performing over time and increased stakeholder support (Almutairi and Abdelazim, 2024). Ethical restructuring should therefore emphasize open communication, fairness to staff and suppliers and adherence to social and environmental norms.</w:t>
      </w:r>
    </w:p>
    <w:p w14:paraId="6475619E" w14:textId="77777777" w:rsidR="00C64F6A" w:rsidRPr="00533F7A" w:rsidRDefault="00C64F6A" w:rsidP="00C64F6A">
      <w:pPr>
        <w:rPr>
          <w:lang w:val="en-US"/>
        </w:rPr>
      </w:pPr>
    </w:p>
    <w:p w14:paraId="062ED3D4" w14:textId="77777777" w:rsidR="00C64F6A" w:rsidRPr="00533F7A" w:rsidRDefault="00C64F6A" w:rsidP="00C64F6A">
      <w:pPr>
        <w:pStyle w:val="Heading2"/>
        <w:rPr>
          <w:lang w:val="en-US"/>
        </w:rPr>
      </w:pPr>
      <w:bookmarkStart w:id="71" w:name="_Toc217212325"/>
      <w:r w:rsidRPr="00533F7A">
        <w:rPr>
          <w:lang w:val="en-US"/>
        </w:rPr>
        <w:t>3.5 Overall Strategic Assessment</w:t>
      </w:r>
      <w:bookmarkEnd w:id="71"/>
    </w:p>
    <w:p w14:paraId="4D810EEF" w14:textId="77777777" w:rsidR="00C64F6A" w:rsidRPr="00533F7A" w:rsidRDefault="00C64F6A" w:rsidP="00C64F6A">
      <w:pPr>
        <w:rPr>
          <w:lang w:val="en-US"/>
        </w:rPr>
      </w:pPr>
      <w:r w:rsidRPr="00B47F40">
        <w:rPr>
          <w:lang w:val="en-US"/>
        </w:rPr>
        <w:t xml:space="preserve">In sum, a combined restructuring strategy, which is focused on selective divestiture, equity injection, and selective strategic consolidation, is the most balanced path toward reestablishing financial stability. This way, it boosts the prospects of shareholder value, strengthens debt structure, and adds to operational flexibility, all while it reduces financial </w:t>
      </w:r>
      <w:r w:rsidRPr="00B47F40">
        <w:rPr>
          <w:lang w:val="en-US"/>
        </w:rPr>
        <w:lastRenderedPageBreak/>
        <w:t xml:space="preserve">risks on an international level and meets ethical obligations. If executed in a coherent and transparent way, the proposed restructuring framework has the potential of moving the firm from a state of heightened financial distress to a position of sustainable recovery and long-term value creation (Akbar et al., 2022; </w:t>
      </w:r>
      <w:proofErr w:type="spellStart"/>
      <w:r w:rsidRPr="00B47F40">
        <w:rPr>
          <w:lang w:val="en-US"/>
        </w:rPr>
        <w:t>Sienatra</w:t>
      </w:r>
      <w:proofErr w:type="spellEnd"/>
      <w:r w:rsidRPr="00B47F40">
        <w:rPr>
          <w:lang w:val="en-US"/>
        </w:rPr>
        <w:t xml:space="preserve"> et al., 2025).</w:t>
      </w:r>
    </w:p>
    <w:p w14:paraId="6B26B306" w14:textId="77777777" w:rsidR="00C64F6A" w:rsidRDefault="00C64F6A" w:rsidP="00C64F6A"/>
    <w:p w14:paraId="46AEE2F8" w14:textId="77777777" w:rsidR="00C64F6A" w:rsidRPr="00F64FF4" w:rsidRDefault="00C64F6A" w:rsidP="00C64F6A">
      <w:pPr>
        <w:pStyle w:val="Heading1"/>
        <w:rPr>
          <w:lang w:val="en-US"/>
        </w:rPr>
      </w:pPr>
      <w:bookmarkStart w:id="72" w:name="_Toc217212326"/>
      <w:r w:rsidRPr="00F64FF4">
        <w:rPr>
          <w:lang w:val="en-US"/>
        </w:rPr>
        <w:t>4. Investment Appraisal and Capital Budgeting</w:t>
      </w:r>
      <w:bookmarkEnd w:id="72"/>
    </w:p>
    <w:p w14:paraId="3E460C40" w14:textId="77777777" w:rsidR="00C64F6A" w:rsidRDefault="00C64F6A" w:rsidP="00C64F6A">
      <w:pPr>
        <w:pStyle w:val="Heading2"/>
        <w:rPr>
          <w:lang w:val="en-US"/>
        </w:rPr>
      </w:pPr>
      <w:bookmarkStart w:id="73" w:name="_Toc217212327"/>
      <w:r w:rsidRPr="00F64FF4">
        <w:rPr>
          <w:lang w:val="en-US"/>
        </w:rPr>
        <w:t>4.1 Rationale for Capital Budgeting under Financial Constraints</w:t>
      </w:r>
      <w:bookmarkEnd w:id="73"/>
    </w:p>
    <w:p w14:paraId="2050CA05" w14:textId="77777777" w:rsidR="00C64F6A" w:rsidRDefault="00C64F6A" w:rsidP="00C64F6A">
      <w:pPr>
        <w:rPr>
          <w:lang w:val="en-US"/>
        </w:rPr>
      </w:pPr>
      <w:r>
        <w:rPr>
          <w:noProof/>
          <w:lang w:val="en-US"/>
        </w:rPr>
        <w:drawing>
          <wp:inline distT="0" distB="0" distL="0" distR="0" wp14:anchorId="503C5AF1" wp14:editId="3679B707">
            <wp:extent cx="5905500" cy="3100388"/>
            <wp:effectExtent l="0" t="0" r="0" b="5080"/>
            <wp:docPr id="1033047276"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926211" cy="3111261"/>
                    </a:xfrm>
                    <a:prstGeom prst="rect">
                      <a:avLst/>
                    </a:prstGeom>
                    <a:noFill/>
                  </pic:spPr>
                </pic:pic>
              </a:graphicData>
            </a:graphic>
          </wp:inline>
        </w:drawing>
      </w:r>
    </w:p>
    <w:p w14:paraId="5662E254" w14:textId="77777777" w:rsidR="00C64F6A" w:rsidRPr="0092122E" w:rsidRDefault="00C64F6A" w:rsidP="00C64F6A">
      <w:pPr>
        <w:pStyle w:val="Caption"/>
        <w:rPr>
          <w:lang w:val="en-US"/>
        </w:rPr>
      </w:pPr>
      <w:bookmarkStart w:id="74" w:name="_Toc217212377"/>
      <w:r>
        <w:t xml:space="preserve">Figure </w:t>
      </w:r>
      <w:r>
        <w:fldChar w:fldCharType="begin"/>
      </w:r>
      <w:r>
        <w:instrText xml:space="preserve"> SEQ Figure \* ARABIC </w:instrText>
      </w:r>
      <w:r>
        <w:fldChar w:fldCharType="separate"/>
      </w:r>
      <w:r>
        <w:rPr>
          <w:noProof/>
        </w:rPr>
        <w:t>34</w:t>
      </w:r>
      <w:r>
        <w:fldChar w:fldCharType="end"/>
      </w:r>
      <w:r>
        <w:t xml:space="preserve">: </w:t>
      </w:r>
      <w:r w:rsidRPr="006C7D29">
        <w:t>Capital Budgeting</w:t>
      </w:r>
      <w:r>
        <w:t xml:space="preserve"> Benefits</w:t>
      </w:r>
      <w:bookmarkEnd w:id="74"/>
    </w:p>
    <w:p w14:paraId="2A91996B" w14:textId="77777777" w:rsidR="00C64F6A" w:rsidRPr="00F64FF4" w:rsidRDefault="00C64F6A" w:rsidP="00C64F6A">
      <w:pPr>
        <w:rPr>
          <w:lang w:val="en-US"/>
        </w:rPr>
      </w:pPr>
      <w:r w:rsidRPr="000C5B00">
        <w:rPr>
          <w:lang w:val="en-US"/>
        </w:rPr>
        <w:t>Capital budgeting choices are vital when companies are facing increased challenges on profitability and liquidity since improper project choice will continue to add strain on financial stability (Panchenko et al., 2024; West, 2021). Given the current operating losses at the firm, the declining cash balances at the firm, and high levels of default risk, investment appraisal should focus on creating value, recovering cash immediately and containing risk, rather than focusing on growth agenda.</w:t>
      </w:r>
      <w:r w:rsidRPr="00F64FF4">
        <w:rPr>
          <w:lang w:val="en-US"/>
        </w:rPr>
        <w:t xml:space="preserve"> </w:t>
      </w:r>
      <w:r w:rsidRPr="00B753E2">
        <w:rPr>
          <w:lang w:val="en-US"/>
        </w:rPr>
        <w:t xml:space="preserve">The use of a suite of appraisal techniques that include Payback Period (PBP), Accounting Rate of Return (ARR), Net </w:t>
      </w:r>
      <w:r w:rsidRPr="00B753E2">
        <w:rPr>
          <w:lang w:val="en-US"/>
        </w:rPr>
        <w:lastRenderedPageBreak/>
        <w:t>Present Value (NPV), Profitability Index (PI) and Internal Rate of Return (IRR) enables a more thorough analysis that takes into account liquidity impacts, accounting profitability, shareholder value creation, and risk-adjusted returns (</w:t>
      </w:r>
      <w:proofErr w:type="spellStart"/>
      <w:r w:rsidRPr="00B753E2">
        <w:rPr>
          <w:lang w:val="en-US"/>
        </w:rPr>
        <w:t>Awodire</w:t>
      </w:r>
      <w:proofErr w:type="spellEnd"/>
      <w:r w:rsidRPr="00B753E2">
        <w:rPr>
          <w:lang w:val="en-US"/>
        </w:rPr>
        <w:t xml:space="preserve"> et al., 2023; </w:t>
      </w:r>
      <w:proofErr w:type="spellStart"/>
      <w:r w:rsidRPr="00B753E2">
        <w:rPr>
          <w:lang w:val="en-US"/>
        </w:rPr>
        <w:t>Purnamasari</w:t>
      </w:r>
      <w:proofErr w:type="spellEnd"/>
      <w:r w:rsidRPr="00B753E2">
        <w:rPr>
          <w:lang w:val="en-US"/>
        </w:rPr>
        <w:t xml:space="preserve"> et al., 2024). The evaluation is done using a 10% discount rate and simplified straight line devaluation of zero, under a capital rationing menace of 60 million pounds.</w:t>
      </w:r>
    </w:p>
    <w:p w14:paraId="2EB75CBD" w14:textId="77777777" w:rsidR="00C64F6A" w:rsidRPr="00F64FF4" w:rsidRDefault="00C64F6A" w:rsidP="00C64F6A">
      <w:pPr>
        <w:rPr>
          <w:lang w:val="en-US"/>
        </w:rPr>
      </w:pPr>
    </w:p>
    <w:p w14:paraId="4B6D8159" w14:textId="77777777" w:rsidR="00C64F6A" w:rsidRDefault="00C64F6A" w:rsidP="00C64F6A">
      <w:pPr>
        <w:pStyle w:val="Heading2"/>
        <w:rPr>
          <w:lang w:val="en-US"/>
        </w:rPr>
      </w:pPr>
      <w:bookmarkStart w:id="75" w:name="_Toc217212328"/>
      <w:r w:rsidRPr="00F64FF4">
        <w:rPr>
          <w:lang w:val="en-US"/>
        </w:rPr>
        <w:t>4.2 Individual Project Evaluation</w:t>
      </w:r>
      <w:bookmarkEnd w:id="75"/>
    </w:p>
    <w:p w14:paraId="43080022" w14:textId="77777777" w:rsidR="00C64F6A" w:rsidRPr="00B753E2" w:rsidRDefault="00C64F6A" w:rsidP="00C64F6A">
      <w:pPr>
        <w:rPr>
          <w:lang w:val="en-US"/>
        </w:rPr>
      </w:pPr>
      <w:r>
        <w:rPr>
          <w:noProof/>
        </w:rPr>
        <w:drawing>
          <wp:inline distT="0" distB="0" distL="0" distR="0" wp14:anchorId="766F5B76" wp14:editId="2914A87E">
            <wp:extent cx="5943600" cy="1767840"/>
            <wp:effectExtent l="0" t="0" r="0" b="3810"/>
            <wp:docPr id="1338281759" name="Picture 1" descr="A table with number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281759" name="Picture 1" descr="A table with numbers and symbols&#10;&#10;AI-generated content may be incorrect."/>
                    <pic:cNvPicPr/>
                  </pic:nvPicPr>
                  <pic:blipFill>
                    <a:blip r:embed="rId46"/>
                    <a:stretch>
                      <a:fillRect/>
                    </a:stretch>
                  </pic:blipFill>
                  <pic:spPr>
                    <a:xfrm>
                      <a:off x="0" y="0"/>
                      <a:ext cx="5943600" cy="1767840"/>
                    </a:xfrm>
                    <a:prstGeom prst="rect">
                      <a:avLst/>
                    </a:prstGeom>
                  </pic:spPr>
                </pic:pic>
              </a:graphicData>
            </a:graphic>
          </wp:inline>
        </w:drawing>
      </w:r>
    </w:p>
    <w:p w14:paraId="24F9F929" w14:textId="77777777" w:rsidR="00C64F6A" w:rsidRDefault="00C64F6A" w:rsidP="00C64F6A">
      <w:pPr>
        <w:pStyle w:val="Caption"/>
      </w:pPr>
      <w:bookmarkStart w:id="76" w:name="_Toc217212343"/>
      <w:r>
        <w:t xml:space="preserve">Table </w:t>
      </w:r>
      <w:r>
        <w:fldChar w:fldCharType="begin"/>
      </w:r>
      <w:r>
        <w:instrText xml:space="preserve"> SEQ Table \* ARABIC </w:instrText>
      </w:r>
      <w:r>
        <w:fldChar w:fldCharType="separate"/>
      </w:r>
      <w:r>
        <w:rPr>
          <w:noProof/>
        </w:rPr>
        <w:t>5</w:t>
      </w:r>
      <w:r>
        <w:fldChar w:fldCharType="end"/>
      </w:r>
      <w:r>
        <w:t xml:space="preserve">: </w:t>
      </w:r>
      <w:r w:rsidRPr="00C04878">
        <w:t>Consolidated Investment Appraisal Summary</w:t>
      </w:r>
      <w:bookmarkEnd w:id="76"/>
    </w:p>
    <w:p w14:paraId="24D86773" w14:textId="77777777" w:rsidR="00C64F6A" w:rsidRPr="0016046B" w:rsidRDefault="00C64F6A" w:rsidP="00C64F6A">
      <w:r>
        <w:t xml:space="preserve">(Appendix 4 - </w:t>
      </w:r>
      <w:r w:rsidRPr="0016046B">
        <w:t>Investment Appraisal</w:t>
      </w:r>
      <w:r>
        <w:t>s)</w:t>
      </w:r>
    </w:p>
    <w:p w14:paraId="1D055A2E" w14:textId="77777777" w:rsidR="00C64F6A" w:rsidRPr="00F64FF4" w:rsidRDefault="00C64F6A" w:rsidP="00C64F6A">
      <w:pPr>
        <w:rPr>
          <w:lang w:val="en-US"/>
        </w:rPr>
      </w:pPr>
      <w:r w:rsidRPr="006D3CC9">
        <w:rPr>
          <w:lang w:val="en-US"/>
        </w:rPr>
        <w:t>Project A requires an initial investment of £40 mil. and generates varying but reasonably steady cash flow amounts during a period of five years. The resultant payback period of 3.4 years refers to a rather fast capital recouping in the scenario hence, an attractive gain when the liquidity aspect of the firm is tackled. However, the accounting rate of return (ARR) of 7% is relatively low suggesting limited accounting profitability.</w:t>
      </w:r>
      <w:r w:rsidRPr="00F64FF4">
        <w:rPr>
          <w:lang w:val="en-US"/>
        </w:rPr>
        <w:t xml:space="preserve"> </w:t>
      </w:r>
      <w:r w:rsidRPr="00C43B51">
        <w:rPr>
          <w:lang w:val="en-US"/>
        </w:rPr>
        <w:t>From the perspective of shareholder value, Project A has a net present value of GBP1.3242 million and a profitability index of 1.0331, with an internal rate of return of 11.35 per cent which just exceeds the 10 per cent discount rate. These findings suggest that while Project A does yield economic value, the margin provided by the project is shrinking and provides little buffer against either ineffectiveness of forecasting or unlucky shocks.</w:t>
      </w:r>
      <w:r>
        <w:rPr>
          <w:lang w:val="en-US"/>
        </w:rPr>
        <w:t xml:space="preserve"> </w:t>
      </w:r>
      <w:r w:rsidRPr="00285FBC">
        <w:rPr>
          <w:lang w:val="en-US"/>
        </w:rPr>
        <w:t>Majority of internal rate of returns is also moderate, which means moderate risk of the projects, because the cash flows do not seem to be extreme front-loaded, but are rather predictable in a reasonable way.</w:t>
      </w:r>
    </w:p>
    <w:p w14:paraId="71616169" w14:textId="77777777" w:rsidR="00C64F6A" w:rsidRPr="00F64FF4" w:rsidRDefault="00C64F6A" w:rsidP="00C64F6A">
      <w:pPr>
        <w:rPr>
          <w:lang w:val="en-US"/>
        </w:rPr>
      </w:pPr>
      <w:r w:rsidRPr="00891E69">
        <w:rPr>
          <w:lang w:val="en-US"/>
        </w:rPr>
        <w:lastRenderedPageBreak/>
        <w:t xml:space="preserve">Project B has an initial capital outlay of 30m. and constant annual cash inflows. Though with an operational simplicity, which reduces the complexity of forecasting, the financial performance of the project is weak. </w:t>
      </w:r>
      <w:proofErr w:type="spellStart"/>
      <w:r w:rsidRPr="00891E69">
        <w:rPr>
          <w:lang w:val="en-US"/>
        </w:rPr>
        <w:t>Its</w:t>
      </w:r>
      <w:proofErr w:type="spellEnd"/>
      <w:r w:rsidRPr="00891E69">
        <w:rPr>
          <w:lang w:val="en-US"/>
        </w:rPr>
        <w:t xml:space="preserve"> payback period of 5.0 years is the slowest of the alternatives considered thus increasing liquidity strain.</w:t>
      </w:r>
      <w:r w:rsidRPr="00F64FF4">
        <w:rPr>
          <w:lang w:val="en-US"/>
        </w:rPr>
        <w:t xml:space="preserve"> </w:t>
      </w:r>
      <w:r w:rsidRPr="00155823">
        <w:rPr>
          <w:lang w:val="en-US"/>
        </w:rPr>
        <w:t>The ARR of 0% traders the no accounting profitability but negative NPV of -£7.2553 million, PI of 0.7582 and the IRR of 0 indicates unequivocally value erosion. According to both shareholder value and liquidity measure, Project B does not follow accepted investment criteria and would worsen the monetary strains of the firm.</w:t>
      </w:r>
      <w:r w:rsidRPr="00F64FF4">
        <w:rPr>
          <w:lang w:val="en-US"/>
        </w:rPr>
        <w:t xml:space="preserve"> </w:t>
      </w:r>
      <w:r w:rsidRPr="00A46C76">
        <w:rPr>
          <w:lang w:val="en-US"/>
        </w:rPr>
        <w:t xml:space="preserve">The literature is consistent in its view that initiatives which have negative net present values should be rejected, irrespective of other metrics, especially under capital constrained circumstances (West, 2021; </w:t>
      </w:r>
      <w:proofErr w:type="spellStart"/>
      <w:r w:rsidRPr="00A46C76">
        <w:rPr>
          <w:lang w:val="en-US"/>
        </w:rPr>
        <w:t>Darmansyah</w:t>
      </w:r>
      <w:proofErr w:type="spellEnd"/>
      <w:r w:rsidRPr="00A46C76">
        <w:rPr>
          <w:lang w:val="en-US"/>
        </w:rPr>
        <w:t>, Ali et al., 2025).</w:t>
      </w:r>
    </w:p>
    <w:p w14:paraId="3FE2FD05" w14:textId="77777777" w:rsidR="00C64F6A" w:rsidRPr="00F64FF4" w:rsidRDefault="00C64F6A" w:rsidP="00C64F6A">
      <w:pPr>
        <w:rPr>
          <w:lang w:val="en-US"/>
        </w:rPr>
      </w:pPr>
      <w:r w:rsidRPr="007235AA">
        <w:rPr>
          <w:lang w:val="en-US"/>
        </w:rPr>
        <w:t>Project C has the highest initial investment at the cost of £50 million but gives out sharply increasing cash inflows especially in the later years. The payback period of 3.6 years is relatively below that of Project A, although the investment outlay is higher, which indicates a high cash generating business. Project C has the greatest ARR of 10</w:t>
      </w:r>
      <w:r>
        <w:rPr>
          <w:lang w:val="en-US"/>
        </w:rPr>
        <w:t>%</w:t>
      </w:r>
      <w:r w:rsidRPr="007235AA">
        <w:rPr>
          <w:lang w:val="en-US"/>
        </w:rPr>
        <w:t xml:space="preserve"> implied it is more profitable in terms of accounting.</w:t>
      </w:r>
      <w:r w:rsidRPr="00F64FF4">
        <w:rPr>
          <w:lang w:val="en-US"/>
        </w:rPr>
        <w:t xml:space="preserve"> </w:t>
      </w:r>
      <w:r w:rsidRPr="002B79A9">
        <w:rPr>
          <w:lang w:val="en-US"/>
        </w:rPr>
        <w:t>More importantly, it provides the highest net present value (NPV), which is valued at 4.2254 million sterling, while profitability index (PI) stands at 1.0845, with an internal rate of return (IRR) at 12.72</w:t>
      </w:r>
      <w:r>
        <w:rPr>
          <w:lang w:val="en-US"/>
        </w:rPr>
        <w:t>%</w:t>
      </w:r>
      <w:r w:rsidRPr="002B79A9">
        <w:rPr>
          <w:lang w:val="en-US"/>
        </w:rPr>
        <w:t xml:space="preserve">, making it a clear winner over the cost of capital. These indicators together indicate that Project C </w:t>
      </w:r>
      <w:proofErr w:type="spellStart"/>
      <w:r w:rsidRPr="002B79A9">
        <w:rPr>
          <w:lang w:val="en-US"/>
        </w:rPr>
        <w:t>maximises</w:t>
      </w:r>
      <w:proofErr w:type="spellEnd"/>
      <w:r w:rsidRPr="002B79A9">
        <w:rPr>
          <w:lang w:val="en-US"/>
        </w:rPr>
        <w:t xml:space="preserve"> shareholder value and provides the highest economic return for each pound invested in it.</w:t>
      </w:r>
      <w:r w:rsidRPr="00F64FF4">
        <w:rPr>
          <w:lang w:val="en-US"/>
        </w:rPr>
        <w:t xml:space="preserve"> </w:t>
      </w:r>
      <w:r w:rsidRPr="005C30BC">
        <w:rPr>
          <w:lang w:val="en-US"/>
        </w:rPr>
        <w:t>However, its cash-flows are skewed towards the later years, thus increasing vulnerability to the demand risk and macro-economic unpredictability in the future years (</w:t>
      </w:r>
      <w:proofErr w:type="spellStart"/>
      <w:r w:rsidRPr="005C30BC">
        <w:rPr>
          <w:lang w:val="en-US"/>
        </w:rPr>
        <w:t>Toncheva</w:t>
      </w:r>
      <w:proofErr w:type="spellEnd"/>
      <w:r w:rsidRPr="005C30BC">
        <w:rPr>
          <w:lang w:val="en-US"/>
        </w:rPr>
        <w:t>, 2025).</w:t>
      </w:r>
    </w:p>
    <w:p w14:paraId="021176AC" w14:textId="77777777" w:rsidR="00C64F6A" w:rsidRPr="00F64FF4" w:rsidRDefault="00C64F6A" w:rsidP="00C64F6A">
      <w:pPr>
        <w:rPr>
          <w:lang w:val="en-US"/>
        </w:rPr>
      </w:pPr>
    </w:p>
    <w:p w14:paraId="73024D64" w14:textId="77777777" w:rsidR="00C64F6A" w:rsidRPr="00F64FF4" w:rsidRDefault="00C64F6A" w:rsidP="00C64F6A">
      <w:pPr>
        <w:pStyle w:val="Heading2"/>
        <w:rPr>
          <w:lang w:val="en-US"/>
        </w:rPr>
      </w:pPr>
      <w:bookmarkStart w:id="77" w:name="_Toc217212329"/>
      <w:r w:rsidRPr="00F64FF4">
        <w:rPr>
          <w:lang w:val="en-US"/>
        </w:rPr>
        <w:t>4.3 Capital Rationing and Project Selection</w:t>
      </w:r>
      <w:bookmarkEnd w:id="77"/>
    </w:p>
    <w:p w14:paraId="3A5FFC47" w14:textId="77777777" w:rsidR="00C64F6A" w:rsidRPr="00F64FF4" w:rsidRDefault="00C64F6A" w:rsidP="00C64F6A">
      <w:pPr>
        <w:rPr>
          <w:lang w:val="en-US"/>
        </w:rPr>
      </w:pPr>
      <w:r w:rsidRPr="009A59B5">
        <w:rPr>
          <w:lang w:val="en-US"/>
        </w:rPr>
        <w:t xml:space="preserve">Under capital rationing, the firm can use a maximum of </w:t>
      </w:r>
      <w:r w:rsidRPr="00F64FF4">
        <w:rPr>
          <w:lang w:val="en-US"/>
        </w:rPr>
        <w:t>£</w:t>
      </w:r>
      <w:r w:rsidRPr="009A59B5">
        <w:rPr>
          <w:lang w:val="en-US"/>
        </w:rPr>
        <w:t xml:space="preserve">60 million, excluding the possibility for all three projects to be undertaken. Project B is immediately ruled out because of its net present value and failure to meet all the appraisal criteria. Consequently, the feasible alternatives to invest in are either Project C on its own at a </w:t>
      </w:r>
      <w:r w:rsidRPr="009A59B5">
        <w:rPr>
          <w:lang w:val="en-US"/>
        </w:rPr>
        <w:lastRenderedPageBreak/>
        <w:t xml:space="preserve">cost of </w:t>
      </w:r>
      <w:r w:rsidRPr="00F64FF4">
        <w:rPr>
          <w:lang w:val="en-US"/>
        </w:rPr>
        <w:t>£</w:t>
      </w:r>
      <w:r w:rsidRPr="009A59B5">
        <w:rPr>
          <w:lang w:val="en-US"/>
        </w:rPr>
        <w:t xml:space="preserve">50 million, or Project A on its own at </w:t>
      </w:r>
      <w:r w:rsidRPr="00F64FF4">
        <w:rPr>
          <w:lang w:val="en-US"/>
        </w:rPr>
        <w:t>£</w:t>
      </w:r>
      <w:r w:rsidRPr="009A59B5">
        <w:rPr>
          <w:lang w:val="en-US"/>
        </w:rPr>
        <w:t>40 million.</w:t>
      </w:r>
      <w:r w:rsidRPr="00F64FF4">
        <w:rPr>
          <w:lang w:val="en-US"/>
        </w:rPr>
        <w:t xml:space="preserve"> </w:t>
      </w:r>
      <w:r w:rsidRPr="00B57223">
        <w:rPr>
          <w:lang w:val="en-US"/>
        </w:rPr>
        <w:t>It is anticipated that the joint venture in Projects A and B will exceed the capital limit and is thus inadmissible since Project B brings about a value erosion; the co- Located implementation of Projects A and C is also likely to transgress the limit of £60million.</w:t>
      </w:r>
    </w:p>
    <w:p w14:paraId="0F5DFF72" w14:textId="77777777" w:rsidR="00C64F6A" w:rsidRPr="00F64FF4" w:rsidRDefault="00C64F6A" w:rsidP="00C64F6A">
      <w:pPr>
        <w:rPr>
          <w:lang w:val="en-US"/>
        </w:rPr>
      </w:pPr>
      <w:r w:rsidRPr="00556BCA">
        <w:rPr>
          <w:lang w:val="en-US"/>
        </w:rPr>
        <w:t>In cases of capital rationing, Profitability Index and Net Present Value are the determining marks to measure the created value per unit of capital (</w:t>
      </w:r>
      <w:proofErr w:type="spellStart"/>
      <w:r w:rsidRPr="00556BCA">
        <w:rPr>
          <w:lang w:val="en-US"/>
        </w:rPr>
        <w:t>Purnamasari</w:t>
      </w:r>
      <w:proofErr w:type="spellEnd"/>
      <w:r w:rsidRPr="00556BCA">
        <w:rPr>
          <w:lang w:val="en-US"/>
        </w:rPr>
        <w:t xml:space="preserve"> et al., 2024; Kaoma, </w:t>
      </w:r>
      <w:proofErr w:type="spellStart"/>
      <w:r w:rsidRPr="00556BCA">
        <w:rPr>
          <w:lang w:val="en-US"/>
        </w:rPr>
        <w:t>Mwanaumo</w:t>
      </w:r>
      <w:proofErr w:type="spellEnd"/>
      <w:r w:rsidRPr="00556BCA">
        <w:rPr>
          <w:lang w:val="en-US"/>
        </w:rPr>
        <w:t xml:space="preserve"> et al., 2025).</w:t>
      </w:r>
      <w:r w:rsidRPr="00F64FF4">
        <w:rPr>
          <w:lang w:val="en-US"/>
        </w:rPr>
        <w:t xml:space="preserve"> </w:t>
      </w:r>
      <w:r w:rsidRPr="00840FA8">
        <w:rPr>
          <w:lang w:val="en-US"/>
        </w:rPr>
        <w:t>Under both of the evaluative criteria, Project C has dominance over Project A, which has a greater PI, significantly exceeding NPV. Although Project A has a slightly faster cash recovery, the difference in the payback periods is minimal and not significant enough to counter Project C that will create higher values. Therefore, Project C ought to be chosen in terms of mere financial considerations.</w:t>
      </w:r>
    </w:p>
    <w:p w14:paraId="241D6F1D" w14:textId="77777777" w:rsidR="00C64F6A" w:rsidRPr="00F64FF4" w:rsidRDefault="00C64F6A" w:rsidP="00C64F6A">
      <w:pPr>
        <w:rPr>
          <w:lang w:val="en-US"/>
        </w:rPr>
      </w:pPr>
    </w:p>
    <w:p w14:paraId="183C75F1" w14:textId="77777777" w:rsidR="00C64F6A" w:rsidRPr="00F64FF4" w:rsidRDefault="00C64F6A" w:rsidP="00C64F6A">
      <w:pPr>
        <w:pStyle w:val="Heading2"/>
        <w:rPr>
          <w:lang w:val="en-US"/>
        </w:rPr>
      </w:pPr>
      <w:bookmarkStart w:id="78" w:name="_Toc217212330"/>
      <w:r w:rsidRPr="00F64FF4">
        <w:rPr>
          <w:lang w:val="en-US"/>
        </w:rPr>
        <w:t>4.4 Alignment with the Firm’s Financial Performance and Risk Profile</w:t>
      </w:r>
      <w:bookmarkEnd w:id="78"/>
    </w:p>
    <w:p w14:paraId="62856030" w14:textId="77777777" w:rsidR="00C64F6A" w:rsidRPr="00F64FF4" w:rsidRDefault="00C64F6A" w:rsidP="00C64F6A">
      <w:pPr>
        <w:rPr>
          <w:lang w:val="en-US"/>
        </w:rPr>
      </w:pPr>
      <w:r w:rsidRPr="00D56D78">
        <w:rPr>
          <w:lang w:val="en-US"/>
        </w:rPr>
        <w:t>The firm's recent financial performance is characterized by negative operating margins, deteriorating liquidity and heightened defaults risk signals. In such circumstances investment decisions will require a balancing of the seeking of value maximization and the imperative of financial resilience. Project C's superior net present value, and internal rate of return support long term shareholder value, therefore assuage the restoration of investor confidence, as well as the augmentation of equity eventually (</w:t>
      </w:r>
      <w:proofErr w:type="spellStart"/>
      <w:r w:rsidRPr="00D56D78">
        <w:rPr>
          <w:lang w:val="en-US"/>
        </w:rPr>
        <w:t>Sienatra</w:t>
      </w:r>
      <w:proofErr w:type="spellEnd"/>
      <w:r w:rsidRPr="00D56D78">
        <w:rPr>
          <w:lang w:val="en-US"/>
        </w:rPr>
        <w:t xml:space="preserve"> et al., 2025). Its accounting rate of return of 10</w:t>
      </w:r>
      <w:r>
        <w:rPr>
          <w:lang w:val="en-US"/>
        </w:rPr>
        <w:t xml:space="preserve">% </w:t>
      </w:r>
      <w:r w:rsidRPr="00D56D78">
        <w:rPr>
          <w:lang w:val="en-US"/>
        </w:rPr>
        <w:t>is in accordance with optimizing accounting profitability, which has been losing in recent years.</w:t>
      </w:r>
    </w:p>
    <w:p w14:paraId="31C7EFC6" w14:textId="77777777" w:rsidR="00C64F6A" w:rsidRPr="00F64FF4" w:rsidRDefault="00C64F6A" w:rsidP="00C64F6A">
      <w:pPr>
        <w:rPr>
          <w:lang w:val="en-US"/>
        </w:rPr>
      </w:pPr>
      <w:r w:rsidRPr="00C418FB">
        <w:rPr>
          <w:lang w:val="en-US"/>
        </w:rPr>
        <w:t>However, the higher initial cost and back-loaded cash flows of Project C increase the exposure of the firm to the liquidity risk, especially considering the long cash-conversion cycle and high reliance on short-term financing (Asman et al., 2022; Ishikawa, Gemba et al., 2025). The possible mitigation of this risk here could be to offset the investment with more severe working-capital restrictions and a more evenly balanced financing structure, the latter as suggested above.</w:t>
      </w:r>
      <w:r w:rsidRPr="00F64FF4">
        <w:rPr>
          <w:lang w:val="en-US"/>
        </w:rPr>
        <w:t xml:space="preserve"> </w:t>
      </w:r>
      <w:r w:rsidRPr="002E5C57">
        <w:rPr>
          <w:lang w:val="en-US"/>
        </w:rPr>
        <w:t xml:space="preserve">In contrast, while Project A offers slightly better rapid cash recovery, with its relatively poor net present value and internal rate of return margin, it </w:t>
      </w:r>
      <w:r w:rsidRPr="002E5C57">
        <w:rPr>
          <w:lang w:val="en-US"/>
        </w:rPr>
        <w:lastRenderedPageBreak/>
        <w:t>affords very limited protection against forecast uncertainty and inflationary pressures, thus making it a less suitable one to underpin long-term recovery.</w:t>
      </w:r>
    </w:p>
    <w:p w14:paraId="5E464CB4" w14:textId="77777777" w:rsidR="00C64F6A" w:rsidRPr="00F64FF4" w:rsidRDefault="00C64F6A" w:rsidP="00C64F6A">
      <w:pPr>
        <w:rPr>
          <w:lang w:val="en-US"/>
        </w:rPr>
      </w:pPr>
    </w:p>
    <w:p w14:paraId="49F9840F" w14:textId="77777777" w:rsidR="00C64F6A" w:rsidRDefault="00C64F6A" w:rsidP="00C64F6A">
      <w:pPr>
        <w:pStyle w:val="Heading2"/>
        <w:rPr>
          <w:lang w:val="en-US"/>
        </w:rPr>
      </w:pPr>
      <w:bookmarkStart w:id="79" w:name="_Toc217212331"/>
      <w:r w:rsidRPr="00F64FF4">
        <w:rPr>
          <w:lang w:val="en-US"/>
        </w:rPr>
        <w:t>4.5 Final Investment Recommendation</w:t>
      </w:r>
      <w:bookmarkEnd w:id="79"/>
    </w:p>
    <w:p w14:paraId="044C1828" w14:textId="77777777" w:rsidR="00C64F6A" w:rsidRPr="00F14180" w:rsidRDefault="00C64F6A" w:rsidP="00C64F6A">
      <w:pPr>
        <w:rPr>
          <w:lang w:val="en-US"/>
        </w:rPr>
      </w:pPr>
      <w:r>
        <w:rPr>
          <w:noProof/>
          <w:lang w:val="en-US"/>
        </w:rPr>
        <w:drawing>
          <wp:inline distT="0" distB="0" distL="0" distR="0" wp14:anchorId="1890AF89" wp14:editId="01AAD25F">
            <wp:extent cx="6058535" cy="628650"/>
            <wp:effectExtent l="0" t="0" r="0" b="0"/>
            <wp:docPr id="1028658177"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6058535" cy="628650"/>
                    </a:xfrm>
                    <a:prstGeom prst="rect">
                      <a:avLst/>
                    </a:prstGeom>
                    <a:noFill/>
                  </pic:spPr>
                </pic:pic>
              </a:graphicData>
            </a:graphic>
          </wp:inline>
        </w:drawing>
      </w:r>
    </w:p>
    <w:p w14:paraId="76476ECD" w14:textId="77777777" w:rsidR="00C64F6A" w:rsidRPr="00F64FF4" w:rsidRDefault="00C64F6A" w:rsidP="00C64F6A">
      <w:pPr>
        <w:rPr>
          <w:lang w:val="en-US"/>
        </w:rPr>
      </w:pPr>
      <w:r w:rsidRPr="006A0351">
        <w:rPr>
          <w:lang w:val="en-US"/>
        </w:rPr>
        <w:t>By considering all appraisal methods, as well as the limited financial situation of the firm, Project C will be the choice of investment in terms of capital ratios. It is the highest shareholder concern, provides the best risk-adjusted return and provides the best profitability ratios when compared to its alternatives.</w:t>
      </w:r>
      <w:r w:rsidRPr="00F64FF4">
        <w:rPr>
          <w:lang w:val="en-US"/>
        </w:rPr>
        <w:t xml:space="preserve"> </w:t>
      </w:r>
      <w:r w:rsidRPr="008C097E">
        <w:rPr>
          <w:lang w:val="en-US"/>
        </w:rPr>
        <w:t>Although it involves a greater upfront commitment of capital and the firm bears the risk of a higher degree of uncertainty in the long run, the risk is justified by the project having a robust NPV and IRR and can be overcome by being disciplined in managing liquidity of the firm and aligning the financing.</w:t>
      </w:r>
    </w:p>
    <w:p w14:paraId="2D72981F" w14:textId="77777777" w:rsidR="00C64F6A" w:rsidRPr="00F64FF4" w:rsidRDefault="00C64F6A" w:rsidP="00C64F6A">
      <w:pPr>
        <w:rPr>
          <w:lang w:val="en-US"/>
        </w:rPr>
      </w:pPr>
      <w:r w:rsidRPr="003266E2">
        <w:rPr>
          <w:lang w:val="en-US"/>
        </w:rPr>
        <w:t>Project A can be considered as a secondary option only whereby liquidity terms are to worsen significantly or whereby financing avenues are to be tighter. Project B should not be considered at all.</w:t>
      </w:r>
      <w:r>
        <w:rPr>
          <w:lang w:val="en-US"/>
        </w:rPr>
        <w:t xml:space="preserve"> </w:t>
      </w:r>
      <w:r w:rsidRPr="00B04723">
        <w:rPr>
          <w:lang w:val="en-US"/>
        </w:rPr>
        <w:t xml:space="preserve">Overall, the decision to prioritize Project C reflects the company's capital budgeting strategy, which is directed by the strategic goal of stabilizing the company's financial position and simultaneously rebuilding long-term value (West, \\2021; </w:t>
      </w:r>
      <w:proofErr w:type="spellStart"/>
      <w:r w:rsidRPr="00B04723">
        <w:rPr>
          <w:lang w:val="en-US"/>
        </w:rPr>
        <w:t>Darmansyah</w:t>
      </w:r>
      <w:proofErr w:type="spellEnd"/>
      <w:r w:rsidRPr="00B04723">
        <w:rPr>
          <w:lang w:val="en-US"/>
        </w:rPr>
        <w:t xml:space="preserve"> et al., 2025).</w:t>
      </w:r>
    </w:p>
    <w:p w14:paraId="2042BB99" w14:textId="77777777" w:rsidR="00C64F6A" w:rsidRDefault="00C64F6A" w:rsidP="00C64F6A"/>
    <w:p w14:paraId="3B23AA5C" w14:textId="77777777" w:rsidR="00C64F6A" w:rsidRDefault="00C64F6A" w:rsidP="00C64F6A"/>
    <w:p w14:paraId="624B53BA" w14:textId="77777777" w:rsidR="00C64F6A" w:rsidRDefault="00C64F6A" w:rsidP="00C64F6A"/>
    <w:p w14:paraId="7ED7EB45" w14:textId="77777777" w:rsidR="00C64F6A" w:rsidRDefault="00C64F6A" w:rsidP="00C64F6A"/>
    <w:p w14:paraId="3C69BB11" w14:textId="77777777" w:rsidR="00C64F6A" w:rsidRDefault="00C64F6A" w:rsidP="00C64F6A">
      <w:pPr>
        <w:pStyle w:val="Heading1"/>
      </w:pPr>
      <w:bookmarkStart w:id="80" w:name="_Toc217212332"/>
      <w:r w:rsidRPr="00F05EFD">
        <w:lastRenderedPageBreak/>
        <w:t>References</w:t>
      </w:r>
      <w:bookmarkEnd w:id="80"/>
    </w:p>
    <w:p w14:paraId="3F3A3E89" w14:textId="77777777" w:rsidR="00C64F6A" w:rsidRPr="0014293C" w:rsidRDefault="00C64F6A" w:rsidP="00C64F6A">
      <w:r w:rsidRPr="0014293C">
        <w:t xml:space="preserve">Akbar, M., Hussain, A., Sokolova, M. and Sabahat, T. (2022) ‘Financial distress, firm life cycle, and corporate restructuring decisions: Evidence from Pakistan’s economy’, </w:t>
      </w:r>
      <w:r w:rsidRPr="00624C4F">
        <w:rPr>
          <w:i/>
          <w:iCs/>
        </w:rPr>
        <w:t>Economies</w:t>
      </w:r>
      <w:r w:rsidRPr="0014293C">
        <w:t xml:space="preserve">, 10(7), p. 175. </w:t>
      </w:r>
      <w:hyperlink r:id="rId48" w:tgtFrame="_new" w:history="1">
        <w:r w:rsidRPr="0014293C">
          <w:rPr>
            <w:rStyle w:val="Hyperlink"/>
          </w:rPr>
          <w:t>https://doi.org/10.3390/economies10070175</w:t>
        </w:r>
      </w:hyperlink>
    </w:p>
    <w:p w14:paraId="387DF2EC" w14:textId="77777777" w:rsidR="00C64F6A" w:rsidRPr="0014293C" w:rsidRDefault="00C64F6A" w:rsidP="00C64F6A">
      <w:r w:rsidRPr="0014293C">
        <w:t xml:space="preserve">Almutairi, A. and Abdelazim, S.I. (2024) ‘The impact of CSR on tax avoidance: The moderating role of political connections’, </w:t>
      </w:r>
      <w:r w:rsidRPr="00624C4F">
        <w:rPr>
          <w:i/>
          <w:iCs/>
        </w:rPr>
        <w:t>Sustainability</w:t>
      </w:r>
      <w:r w:rsidRPr="0014293C">
        <w:t xml:space="preserve">, 17(1), p. 195. </w:t>
      </w:r>
      <w:hyperlink r:id="rId49" w:history="1">
        <w:r w:rsidRPr="0014293C">
          <w:rPr>
            <w:rStyle w:val="Hyperlink"/>
          </w:rPr>
          <w:t>https://doi.org/10.3390/su17010195</w:t>
        </w:r>
      </w:hyperlink>
    </w:p>
    <w:p w14:paraId="52DD29D1" w14:textId="77777777" w:rsidR="00C64F6A" w:rsidRPr="0014293C" w:rsidRDefault="00C64F6A" w:rsidP="00C64F6A">
      <w:r w:rsidRPr="0014293C">
        <w:t xml:space="preserve">Asman, F.N., Fernandez, D., Jamaludin, N.A. and Zaki, H.O. (2022) ‘Cash conversion cycle and firm’s performance’, </w:t>
      </w:r>
      <w:r w:rsidRPr="00624C4F">
        <w:rPr>
          <w:i/>
          <w:iCs/>
        </w:rPr>
        <w:t>International Journal of Academic Research in Business and Social Sciences</w:t>
      </w:r>
      <w:r w:rsidRPr="0014293C">
        <w:t xml:space="preserve">, 12(11). </w:t>
      </w:r>
      <w:hyperlink r:id="rId50" w:history="1">
        <w:r w:rsidRPr="0014293C">
          <w:rPr>
            <w:rStyle w:val="Hyperlink"/>
          </w:rPr>
          <w:t>https://doi.org/10.6007/IJARBSS/v12-i11/15276</w:t>
        </w:r>
      </w:hyperlink>
    </w:p>
    <w:p w14:paraId="099A07DA" w14:textId="77777777" w:rsidR="00C64F6A" w:rsidRPr="0014293C" w:rsidRDefault="00C64F6A" w:rsidP="00C64F6A">
      <w:proofErr w:type="spellStart"/>
      <w:r w:rsidRPr="0014293C">
        <w:t>Awodire</w:t>
      </w:r>
      <w:proofErr w:type="spellEnd"/>
      <w:r w:rsidRPr="0014293C">
        <w:t xml:space="preserve">, M., Agboola, O.K., </w:t>
      </w:r>
      <w:proofErr w:type="spellStart"/>
      <w:r w:rsidRPr="0014293C">
        <w:t>Ogundojutimi</w:t>
      </w:r>
      <w:proofErr w:type="spellEnd"/>
      <w:r w:rsidRPr="0014293C">
        <w:t xml:space="preserve">, O. and </w:t>
      </w:r>
      <w:proofErr w:type="spellStart"/>
      <w:r w:rsidRPr="0014293C">
        <w:t>Odumuwagun</w:t>
      </w:r>
      <w:proofErr w:type="spellEnd"/>
      <w:r w:rsidRPr="0014293C">
        <w:t xml:space="preserve">, O.O. (2023) ‘Capital budgeting and financial investment appraisal: A review of archival literature’, </w:t>
      </w:r>
      <w:r w:rsidRPr="00624C4F">
        <w:rPr>
          <w:i/>
          <w:iCs/>
        </w:rPr>
        <w:t>American Journal of Multidisciplinary Research in Africa</w:t>
      </w:r>
      <w:r w:rsidRPr="0014293C">
        <w:t xml:space="preserve">, 3(5), pp. 1–15. </w:t>
      </w:r>
      <w:hyperlink r:id="rId51" w:history="1">
        <w:r w:rsidRPr="0014293C">
          <w:rPr>
            <w:rStyle w:val="Hyperlink"/>
          </w:rPr>
          <w:t>https://doi.org/10.58314/UUHYT2</w:t>
        </w:r>
      </w:hyperlink>
    </w:p>
    <w:p w14:paraId="752BF043" w14:textId="77777777" w:rsidR="00C64F6A" w:rsidRPr="0014293C" w:rsidRDefault="00C64F6A" w:rsidP="00C64F6A">
      <w:proofErr w:type="spellStart"/>
      <w:r w:rsidRPr="0014293C">
        <w:t>Braunsberger</w:t>
      </w:r>
      <w:proofErr w:type="spellEnd"/>
      <w:r w:rsidRPr="0014293C">
        <w:t xml:space="preserve">, C. and Aschauer, E. (2025) ‘Corporate failure prediction: A literature review of Altman Z-score and machine learning models within a technology adoption framework’, </w:t>
      </w:r>
      <w:r w:rsidRPr="00624C4F">
        <w:rPr>
          <w:i/>
          <w:iCs/>
        </w:rPr>
        <w:t>Journal of Risk and Financial Management</w:t>
      </w:r>
      <w:r w:rsidRPr="0014293C">
        <w:t xml:space="preserve">, 18(8), p. 465. </w:t>
      </w:r>
      <w:hyperlink r:id="rId52" w:tgtFrame="_new" w:history="1">
        <w:r w:rsidRPr="0014293C">
          <w:rPr>
            <w:rStyle w:val="Hyperlink"/>
          </w:rPr>
          <w:t>https://doi.org/10.3390/jrfm18080465</w:t>
        </w:r>
      </w:hyperlink>
    </w:p>
    <w:p w14:paraId="31AD31C7" w14:textId="77777777" w:rsidR="00C64F6A" w:rsidRPr="0014293C" w:rsidRDefault="00C64F6A" w:rsidP="00C64F6A">
      <w:r w:rsidRPr="0014293C">
        <w:t xml:space="preserve">Chamma, H. and Hijazi, B. (2025) ‘Working capital elements on the liquidity management strategy of retail trading companies’, </w:t>
      </w:r>
      <w:r w:rsidRPr="00624C4F">
        <w:rPr>
          <w:i/>
          <w:iCs/>
        </w:rPr>
        <w:t>Corporate and Business Strategy Review</w:t>
      </w:r>
      <w:r w:rsidRPr="0014293C">
        <w:t xml:space="preserve">, 6(3, special issue), pp. 263–273. </w:t>
      </w:r>
      <w:hyperlink r:id="rId53" w:history="1">
        <w:r w:rsidRPr="0014293C">
          <w:rPr>
            <w:rStyle w:val="Hyperlink"/>
          </w:rPr>
          <w:t>https://doi.org/10.22495/cbsrv6i3siart4</w:t>
        </w:r>
      </w:hyperlink>
    </w:p>
    <w:p w14:paraId="5C5B6773" w14:textId="77777777" w:rsidR="00C64F6A" w:rsidRPr="0014293C" w:rsidRDefault="00C64F6A" w:rsidP="00C64F6A">
      <w:r w:rsidRPr="0014293C">
        <w:t xml:space="preserve">Chandak, S. (2017) ‘An analytical study of corporate financial restructuring of selected companies and its impact on the wealth of shareholders’, </w:t>
      </w:r>
      <w:r w:rsidRPr="00624C4F">
        <w:rPr>
          <w:i/>
          <w:iCs/>
        </w:rPr>
        <w:t>International Research Journal of Management Science and Technology</w:t>
      </w:r>
      <w:r w:rsidRPr="0014293C">
        <w:t>, 8(11), pp. 187–195.</w:t>
      </w:r>
    </w:p>
    <w:p w14:paraId="399C7D8C" w14:textId="77777777" w:rsidR="00C64F6A" w:rsidRPr="0014293C" w:rsidRDefault="00C64F6A" w:rsidP="00C64F6A">
      <w:proofErr w:type="spellStart"/>
      <w:r w:rsidRPr="0014293C">
        <w:t>Darmansyah</w:t>
      </w:r>
      <w:proofErr w:type="spellEnd"/>
      <w:r w:rsidRPr="0014293C">
        <w:t xml:space="preserve">, A., Ali, Q. and Parveen, S. (2025) ‘Sophisticated capital budgeting decisions for financial performance and risk management—A tale of two business </w:t>
      </w:r>
      <w:r w:rsidRPr="0014293C">
        <w:lastRenderedPageBreak/>
        <w:t xml:space="preserve">entities’, </w:t>
      </w:r>
      <w:r w:rsidRPr="00624C4F">
        <w:rPr>
          <w:i/>
          <w:iCs/>
        </w:rPr>
        <w:t>Journal of Risk and Financial Management</w:t>
      </w:r>
      <w:r w:rsidRPr="0014293C">
        <w:t xml:space="preserve">, 18(6), p. 297. </w:t>
      </w:r>
      <w:hyperlink r:id="rId54" w:tgtFrame="_new" w:history="1">
        <w:r w:rsidRPr="0014293C">
          <w:rPr>
            <w:rStyle w:val="Hyperlink"/>
          </w:rPr>
          <w:t>https://doi.org/10.3390/jrfm18060297</w:t>
        </w:r>
      </w:hyperlink>
    </w:p>
    <w:p w14:paraId="4389245F" w14:textId="77777777" w:rsidR="00C64F6A" w:rsidRPr="0014293C" w:rsidRDefault="00C64F6A" w:rsidP="00C64F6A">
      <w:proofErr w:type="spellStart"/>
      <w:r w:rsidRPr="0014293C">
        <w:t>Eldomiaty</w:t>
      </w:r>
      <w:proofErr w:type="spellEnd"/>
      <w:r w:rsidRPr="0014293C">
        <w:t xml:space="preserve">, T., Eid, N., Taman, F. and Rashwan, M. (2023) ‘An assessment of the benefits of optimizing working capital and profitability: Perspectives from DJIA30 and NASDAQ100’, </w:t>
      </w:r>
      <w:r w:rsidRPr="00624C4F">
        <w:rPr>
          <w:i/>
          <w:iCs/>
        </w:rPr>
        <w:t>Journal of Risk and Financial Management</w:t>
      </w:r>
      <w:r w:rsidRPr="0014293C">
        <w:t xml:space="preserve">, 16(5), p. 274. </w:t>
      </w:r>
      <w:hyperlink r:id="rId55" w:tgtFrame="_new" w:history="1">
        <w:r w:rsidRPr="0014293C">
          <w:rPr>
            <w:rStyle w:val="Hyperlink"/>
          </w:rPr>
          <w:t>https://doi.org/10.3390/jrfm16050274</w:t>
        </w:r>
      </w:hyperlink>
    </w:p>
    <w:p w14:paraId="7F453968" w14:textId="77777777" w:rsidR="00C64F6A" w:rsidRPr="0014293C" w:rsidRDefault="00C64F6A" w:rsidP="00C64F6A">
      <w:r w:rsidRPr="0014293C">
        <w:t xml:space="preserve">Fitrianti, D., </w:t>
      </w:r>
      <w:proofErr w:type="spellStart"/>
      <w:r w:rsidRPr="0014293C">
        <w:t>Azwardi</w:t>
      </w:r>
      <w:proofErr w:type="spellEnd"/>
      <w:r w:rsidRPr="0014293C">
        <w:t xml:space="preserve">, A. and </w:t>
      </w:r>
      <w:proofErr w:type="spellStart"/>
      <w:r w:rsidRPr="0014293C">
        <w:t>Mu’izzudin</w:t>
      </w:r>
      <w:proofErr w:type="spellEnd"/>
      <w:r w:rsidRPr="0014293C">
        <w:t xml:space="preserve">, M. (2025) ‘Analysis of the influence of working capital management and cash holding on profitability: An empirical study of nonfinancial sector companies in Indonesia’, </w:t>
      </w:r>
      <w:r w:rsidRPr="00624C4F">
        <w:rPr>
          <w:i/>
          <w:iCs/>
        </w:rPr>
        <w:t>Journal of Economics, Finance and Management Studies</w:t>
      </w:r>
      <w:r w:rsidRPr="0014293C">
        <w:t xml:space="preserve">, 8(8), pp. 5201–5211. </w:t>
      </w:r>
      <w:hyperlink r:id="rId56" w:history="1">
        <w:r w:rsidRPr="0014293C">
          <w:rPr>
            <w:rStyle w:val="Hyperlink"/>
          </w:rPr>
          <w:t>https://doi.org/10.47191/jefms/v8-i8-15</w:t>
        </w:r>
      </w:hyperlink>
    </w:p>
    <w:p w14:paraId="1DB85660" w14:textId="77777777" w:rsidR="00C64F6A" w:rsidRPr="0014293C" w:rsidRDefault="00C64F6A" w:rsidP="00C64F6A">
      <w:r w:rsidRPr="0014293C">
        <w:t xml:space="preserve">Gandhi, J. (2025) ‘Comparison of short-term financing options: Factoring as the best alternative’, </w:t>
      </w:r>
      <w:r w:rsidRPr="00624C4F">
        <w:rPr>
          <w:i/>
          <w:iCs/>
        </w:rPr>
        <w:t>Journal of Information Systems Engineering &amp; Management</w:t>
      </w:r>
      <w:r w:rsidRPr="0014293C">
        <w:t xml:space="preserve">, 10(40s), pp. 166–175. </w:t>
      </w:r>
      <w:hyperlink r:id="rId57" w:history="1">
        <w:r w:rsidRPr="0014293C">
          <w:rPr>
            <w:rStyle w:val="Hyperlink"/>
          </w:rPr>
          <w:t>https://doi.org/10.52783/jisem.v10i40s.7261</w:t>
        </w:r>
      </w:hyperlink>
    </w:p>
    <w:p w14:paraId="43D663A3" w14:textId="77777777" w:rsidR="00C64F6A" w:rsidRPr="0014293C" w:rsidRDefault="00C64F6A" w:rsidP="00C64F6A">
      <w:r w:rsidRPr="0014293C">
        <w:t xml:space="preserve">Ginting, E.S. and Lizam, M. (2025) ‘Working capital management strategies during economic crisis: A scoping review’, </w:t>
      </w:r>
      <w:r w:rsidRPr="00624C4F">
        <w:rPr>
          <w:i/>
          <w:iCs/>
        </w:rPr>
        <w:t>Multidisciplinary Reviews</w:t>
      </w:r>
      <w:r w:rsidRPr="0014293C">
        <w:t xml:space="preserve">, 9(3), p. 2026101. </w:t>
      </w:r>
      <w:hyperlink r:id="rId58" w:history="1">
        <w:r w:rsidRPr="0014293C">
          <w:rPr>
            <w:rStyle w:val="Hyperlink"/>
          </w:rPr>
          <w:t>https://doi.org/10.31893/multirev.2026101</w:t>
        </w:r>
      </w:hyperlink>
    </w:p>
    <w:p w14:paraId="12B937FD" w14:textId="77777777" w:rsidR="00C64F6A" w:rsidRPr="0014293C" w:rsidRDefault="00C64F6A" w:rsidP="00C64F6A">
      <w:r w:rsidRPr="0014293C">
        <w:t xml:space="preserve">Ishikawa, T., Gemba, K. and Oda, T. (2025) ‘The influence of cash conversion cycle on profitability: A quantitative analysis of Japanese software firms’, </w:t>
      </w:r>
      <w:r w:rsidRPr="00624C4F">
        <w:rPr>
          <w:i/>
          <w:iCs/>
        </w:rPr>
        <w:t>Access to Science, Business, Innovation in Digital Economy</w:t>
      </w:r>
      <w:r w:rsidRPr="0014293C">
        <w:t xml:space="preserve">, 6(1), pp. 84–102. </w:t>
      </w:r>
      <w:hyperlink r:id="rId59" w:history="1">
        <w:r w:rsidRPr="0014293C">
          <w:rPr>
            <w:rStyle w:val="Hyperlink"/>
          </w:rPr>
          <w:t>https://doi.org/10.46656/access.2025.6.1(5)</w:t>
        </w:r>
      </w:hyperlink>
    </w:p>
    <w:p w14:paraId="66A59B3B" w14:textId="77777777" w:rsidR="00C64F6A" w:rsidRPr="0014293C" w:rsidRDefault="00C64F6A" w:rsidP="00C64F6A">
      <w:r w:rsidRPr="0014293C">
        <w:t xml:space="preserve">Kaoma, M., Mwanaumo, E. and </w:t>
      </w:r>
      <w:proofErr w:type="spellStart"/>
      <w:r w:rsidRPr="0014293C">
        <w:t>Nsefu</w:t>
      </w:r>
      <w:proofErr w:type="spellEnd"/>
      <w:r w:rsidRPr="0014293C">
        <w:t xml:space="preserve">, M.K. (2025) ‘The role of investment appraisal techniques in enhancing financial sustainability of small and medium enterprises in Solwezi, Zambia’, </w:t>
      </w:r>
      <w:r w:rsidRPr="00624C4F">
        <w:rPr>
          <w:i/>
          <w:iCs/>
        </w:rPr>
        <w:t>African Journal of Commercial Studies</w:t>
      </w:r>
      <w:r w:rsidRPr="0014293C">
        <w:t xml:space="preserve">, 6(6), pp. 200–212. </w:t>
      </w:r>
      <w:hyperlink r:id="rId60" w:history="1">
        <w:r w:rsidRPr="0014293C">
          <w:rPr>
            <w:rStyle w:val="Hyperlink"/>
          </w:rPr>
          <w:t>https://doi.org/10.59413/ajocs/v6.i6.17</w:t>
        </w:r>
      </w:hyperlink>
    </w:p>
    <w:p w14:paraId="7A411AB8" w14:textId="77777777" w:rsidR="00C64F6A" w:rsidRPr="0014293C" w:rsidRDefault="00C64F6A" w:rsidP="00C64F6A">
      <w:r w:rsidRPr="0014293C">
        <w:t xml:space="preserve">Kumar, S. and Devi, K. (2025) </w:t>
      </w:r>
      <w:r w:rsidRPr="00624C4F">
        <w:rPr>
          <w:i/>
          <w:iCs/>
        </w:rPr>
        <w:t>Strategic analysis of corporate restructuring: A critical study in present perspectives</w:t>
      </w:r>
      <w:r w:rsidRPr="0014293C">
        <w:t>. May. Maharshi Dayanand University.</w:t>
      </w:r>
    </w:p>
    <w:p w14:paraId="2EAB0173" w14:textId="77777777" w:rsidR="00C64F6A" w:rsidRPr="0014293C" w:rsidRDefault="00C64F6A" w:rsidP="00C64F6A">
      <w:r w:rsidRPr="0014293C">
        <w:lastRenderedPageBreak/>
        <w:t xml:space="preserve">Mensah, L., Bein, M.A. and </w:t>
      </w:r>
      <w:proofErr w:type="spellStart"/>
      <w:r w:rsidRPr="0014293C">
        <w:t>Arhinful</w:t>
      </w:r>
      <w:proofErr w:type="spellEnd"/>
      <w:r w:rsidRPr="0014293C">
        <w:t xml:space="preserve">, R. (2025) ‘The impact of capital structure on business growth under IFRS adoption: Evidence from firms listed in the Frankfurt Stock Exchange’, </w:t>
      </w:r>
      <w:r w:rsidRPr="00624C4F">
        <w:rPr>
          <w:i/>
          <w:iCs/>
        </w:rPr>
        <w:t>SAGE Open</w:t>
      </w:r>
      <w:r w:rsidRPr="0014293C">
        <w:t xml:space="preserve">. </w:t>
      </w:r>
      <w:hyperlink r:id="rId61" w:tgtFrame="_new" w:history="1">
        <w:r w:rsidRPr="0014293C">
          <w:rPr>
            <w:rStyle w:val="Hyperlink"/>
          </w:rPr>
          <w:t>https://doi.org/10.1177/21582440251336533</w:t>
        </w:r>
      </w:hyperlink>
    </w:p>
    <w:p w14:paraId="71637550" w14:textId="77777777" w:rsidR="00C64F6A" w:rsidRPr="0014293C" w:rsidRDefault="00C64F6A" w:rsidP="00C64F6A">
      <w:r w:rsidRPr="0014293C">
        <w:t xml:space="preserve">Michałowski, M. (2025) ‘Working capital management strategy effects on firm profitability and risk: An analysis of Polish listed construction companies’, </w:t>
      </w:r>
      <w:proofErr w:type="spellStart"/>
      <w:r w:rsidRPr="00624C4F">
        <w:rPr>
          <w:i/>
          <w:iCs/>
        </w:rPr>
        <w:t>Ekonomia</w:t>
      </w:r>
      <w:proofErr w:type="spellEnd"/>
      <w:r w:rsidRPr="00624C4F">
        <w:rPr>
          <w:i/>
          <w:iCs/>
        </w:rPr>
        <w:t xml:space="preserve"> </w:t>
      </w:r>
      <w:proofErr w:type="spellStart"/>
      <w:r w:rsidRPr="00624C4F">
        <w:rPr>
          <w:i/>
          <w:iCs/>
        </w:rPr>
        <w:t>Międzynarodowa</w:t>
      </w:r>
      <w:proofErr w:type="spellEnd"/>
      <w:r w:rsidRPr="0014293C">
        <w:t xml:space="preserve">, 47, pp. 1–?. </w:t>
      </w:r>
      <w:hyperlink r:id="rId62" w:history="1">
        <w:r w:rsidRPr="0014293C">
          <w:rPr>
            <w:rStyle w:val="Hyperlink"/>
          </w:rPr>
          <w:t>https://doi.org/10.18778/2082-4440.47.02</w:t>
        </w:r>
      </w:hyperlink>
    </w:p>
    <w:p w14:paraId="0F98646B" w14:textId="77777777" w:rsidR="00C64F6A" w:rsidRPr="0014293C" w:rsidRDefault="00C64F6A" w:rsidP="00C64F6A">
      <w:proofErr w:type="spellStart"/>
      <w:r w:rsidRPr="0014293C">
        <w:t>Mkadmi</w:t>
      </w:r>
      <w:proofErr w:type="spellEnd"/>
      <w:r w:rsidRPr="0014293C">
        <w:t xml:space="preserve">, J.E. and Ben Ali, W. (2024) ‘How does tax avoidance affect corporate social responsibility and financial ratio in emerging economies?’, </w:t>
      </w:r>
      <w:r w:rsidRPr="00624C4F">
        <w:rPr>
          <w:i/>
          <w:iCs/>
        </w:rPr>
        <w:t>Journal of Economic Criminology</w:t>
      </w:r>
      <w:r w:rsidRPr="0014293C">
        <w:t xml:space="preserve">, 5, p. 100070. </w:t>
      </w:r>
      <w:hyperlink r:id="rId63" w:tgtFrame="_new" w:history="1">
        <w:r w:rsidRPr="0014293C">
          <w:rPr>
            <w:rStyle w:val="Hyperlink"/>
          </w:rPr>
          <w:t>https://doi.org/10.1016/j.jeconc.2024.100070</w:t>
        </w:r>
      </w:hyperlink>
    </w:p>
    <w:p w14:paraId="64511524" w14:textId="77777777" w:rsidR="00C64F6A" w:rsidRPr="0014293C" w:rsidRDefault="00C64F6A" w:rsidP="00C64F6A">
      <w:r w:rsidRPr="0014293C">
        <w:t xml:space="preserve">Nguyen </w:t>
      </w:r>
      <w:proofErr w:type="spellStart"/>
      <w:r w:rsidRPr="0014293C">
        <w:t>Thi</w:t>
      </w:r>
      <w:proofErr w:type="spellEnd"/>
      <w:r w:rsidRPr="0014293C">
        <w:t xml:space="preserve">, C., Khuc, T.A. and Tran, K.B.N. (2025) ‘Corporate distress and financial restructuring decisions in different stages of life cycle’, </w:t>
      </w:r>
      <w:r w:rsidRPr="00624C4F">
        <w:rPr>
          <w:i/>
          <w:iCs/>
        </w:rPr>
        <w:t>Journal of Economics and Development</w:t>
      </w:r>
      <w:r w:rsidRPr="0014293C">
        <w:t xml:space="preserve">, 27(3), pp. 264–?. </w:t>
      </w:r>
      <w:hyperlink r:id="rId64" w:history="1">
        <w:r w:rsidRPr="0014293C">
          <w:rPr>
            <w:rStyle w:val="Hyperlink"/>
          </w:rPr>
          <w:t>https://doi.org/10.33301/jed.2025.27.3</w:t>
        </w:r>
      </w:hyperlink>
    </w:p>
    <w:p w14:paraId="15A4EFBB" w14:textId="77777777" w:rsidR="00C64F6A" w:rsidRPr="0014293C" w:rsidRDefault="00C64F6A" w:rsidP="00C64F6A">
      <w:proofErr w:type="spellStart"/>
      <w:r w:rsidRPr="0014293C">
        <w:t>Padhy</w:t>
      </w:r>
      <w:proofErr w:type="spellEnd"/>
      <w:r w:rsidRPr="0014293C">
        <w:t xml:space="preserve">, J.P.P., Oswal, S., </w:t>
      </w:r>
      <w:proofErr w:type="spellStart"/>
      <w:r w:rsidRPr="0014293C">
        <w:t>D’lima</w:t>
      </w:r>
      <w:proofErr w:type="spellEnd"/>
      <w:r w:rsidRPr="0014293C">
        <w:t xml:space="preserve">, C. and Naik, P. (2025) </w:t>
      </w:r>
      <w:r w:rsidRPr="00624C4F">
        <w:rPr>
          <w:i/>
          <w:iCs/>
        </w:rPr>
        <w:t>Prediction and evaluation of companies under the Insolvency and Bankruptcy Code (IBC) using Altman Z-score</w:t>
      </w:r>
      <w:r w:rsidRPr="0014293C">
        <w:t xml:space="preserve">. July. </w:t>
      </w:r>
      <w:proofErr w:type="spellStart"/>
      <w:r w:rsidRPr="0014293C">
        <w:t>Narsee</w:t>
      </w:r>
      <w:proofErr w:type="spellEnd"/>
      <w:r w:rsidRPr="0014293C">
        <w:t xml:space="preserve"> </w:t>
      </w:r>
      <w:proofErr w:type="spellStart"/>
      <w:r w:rsidRPr="0014293C">
        <w:t>Monjee</w:t>
      </w:r>
      <w:proofErr w:type="spellEnd"/>
      <w:r w:rsidRPr="0014293C">
        <w:t xml:space="preserve"> Institute of Management Studies.</w:t>
      </w:r>
    </w:p>
    <w:p w14:paraId="738D90C1" w14:textId="77777777" w:rsidR="00C64F6A" w:rsidRPr="0014293C" w:rsidRDefault="00C64F6A" w:rsidP="00C64F6A">
      <w:r w:rsidRPr="0014293C">
        <w:t xml:space="preserve">Palacín-Sanchez, M.-J., Alencar-García, A. and Canto-Cuevas, F.-J. (2023) ‘Financial distress and corporate restructuring: A case study’, </w:t>
      </w:r>
      <w:proofErr w:type="spellStart"/>
      <w:r w:rsidRPr="00624C4F">
        <w:rPr>
          <w:i/>
          <w:iCs/>
        </w:rPr>
        <w:t>Cuadernos</w:t>
      </w:r>
      <w:proofErr w:type="spellEnd"/>
      <w:r w:rsidRPr="00624C4F">
        <w:rPr>
          <w:i/>
          <w:iCs/>
        </w:rPr>
        <w:t xml:space="preserve"> de </w:t>
      </w:r>
      <w:proofErr w:type="spellStart"/>
      <w:r w:rsidRPr="00624C4F">
        <w:rPr>
          <w:i/>
          <w:iCs/>
        </w:rPr>
        <w:t>Gestión</w:t>
      </w:r>
      <w:proofErr w:type="spellEnd"/>
      <w:r w:rsidRPr="0014293C">
        <w:t xml:space="preserve">, 23(2), pp. 81–91. </w:t>
      </w:r>
      <w:hyperlink r:id="rId65" w:history="1">
        <w:r w:rsidRPr="0014293C">
          <w:rPr>
            <w:rStyle w:val="Hyperlink"/>
          </w:rPr>
          <w:t>https://doi.org/10.5295/cdg.221759fc</w:t>
        </w:r>
      </w:hyperlink>
    </w:p>
    <w:p w14:paraId="18F72251" w14:textId="77777777" w:rsidR="00C64F6A" w:rsidRPr="0014293C" w:rsidRDefault="00C64F6A" w:rsidP="00C64F6A">
      <w:r w:rsidRPr="0014293C">
        <w:t xml:space="preserve">Panchenko, O., Balaziuk, O., </w:t>
      </w:r>
      <w:proofErr w:type="spellStart"/>
      <w:r w:rsidRPr="0014293C">
        <w:t>Portovaras</w:t>
      </w:r>
      <w:proofErr w:type="spellEnd"/>
      <w:r w:rsidRPr="0014293C">
        <w:t xml:space="preserve">, T. and </w:t>
      </w:r>
      <w:proofErr w:type="spellStart"/>
      <w:r w:rsidRPr="0014293C">
        <w:t>Andrieieva</w:t>
      </w:r>
      <w:proofErr w:type="spellEnd"/>
      <w:r w:rsidRPr="0014293C">
        <w:t xml:space="preserve">, V. (2024) ‘Analysis of financial statements as a business management tool’, </w:t>
      </w:r>
      <w:r w:rsidRPr="00624C4F">
        <w:rPr>
          <w:i/>
          <w:iCs/>
        </w:rPr>
        <w:t>AD ALTA Journal of Interdisciplinary Research</w:t>
      </w:r>
      <w:r w:rsidRPr="0014293C">
        <w:t xml:space="preserve">, 14(1), pp. 157–161. </w:t>
      </w:r>
      <w:hyperlink r:id="rId66" w:history="1">
        <w:r w:rsidRPr="0014293C">
          <w:rPr>
            <w:rStyle w:val="Hyperlink"/>
          </w:rPr>
          <w:t>https://doi.org/10.33543/140139157161</w:t>
        </w:r>
      </w:hyperlink>
    </w:p>
    <w:p w14:paraId="5BEC4DF9" w14:textId="77777777" w:rsidR="00C64F6A" w:rsidRPr="0014293C" w:rsidRDefault="00C64F6A" w:rsidP="00C64F6A">
      <w:proofErr w:type="spellStart"/>
      <w:r w:rsidRPr="0014293C">
        <w:t>Potharla</w:t>
      </w:r>
      <w:proofErr w:type="spellEnd"/>
      <w:r w:rsidRPr="0014293C">
        <w:t xml:space="preserve">, S. (2025) </w:t>
      </w:r>
      <w:r w:rsidRPr="00624C4F">
        <w:rPr>
          <w:i/>
          <w:iCs/>
        </w:rPr>
        <w:t>From debt to divestiture: How Indian and global firms reshaped through corporate restructuring</w:t>
      </w:r>
      <w:r w:rsidRPr="0014293C">
        <w:t xml:space="preserve">. SSRN working paper. </w:t>
      </w:r>
      <w:hyperlink r:id="rId67" w:tgtFrame="_new" w:history="1">
        <w:r w:rsidRPr="0014293C">
          <w:rPr>
            <w:rStyle w:val="Hyperlink"/>
          </w:rPr>
          <w:t>https://doi.org/10.2139/ssrn.5348941</w:t>
        </w:r>
      </w:hyperlink>
    </w:p>
    <w:p w14:paraId="13782D6A" w14:textId="77777777" w:rsidR="00C64F6A" w:rsidRPr="0014293C" w:rsidRDefault="00C64F6A" w:rsidP="00C64F6A">
      <w:proofErr w:type="spellStart"/>
      <w:r w:rsidRPr="0014293C">
        <w:t>Purnamasari</w:t>
      </w:r>
      <w:proofErr w:type="spellEnd"/>
      <w:r w:rsidRPr="0014293C">
        <w:t xml:space="preserve">, P. and </w:t>
      </w:r>
      <w:proofErr w:type="spellStart"/>
      <w:r w:rsidRPr="0014293C">
        <w:t>Adriza</w:t>
      </w:r>
      <w:proofErr w:type="spellEnd"/>
      <w:r w:rsidRPr="0014293C">
        <w:t xml:space="preserve"> (2024) ‘Capital budgeting techniques and financial performance: A comparison between SMEs and large listed firms’, </w:t>
      </w:r>
      <w:r w:rsidRPr="00624C4F">
        <w:rPr>
          <w:i/>
          <w:iCs/>
        </w:rPr>
        <w:t>Cogent Economics &amp; Finance</w:t>
      </w:r>
      <w:r w:rsidRPr="0014293C">
        <w:t xml:space="preserve">, 12(1), Article 2404707. </w:t>
      </w:r>
      <w:hyperlink r:id="rId68" w:tgtFrame="_new" w:history="1">
        <w:r w:rsidRPr="0014293C">
          <w:rPr>
            <w:rStyle w:val="Hyperlink"/>
          </w:rPr>
          <w:t>https://doi.org/10.1080/23322039.2024.2404707</w:t>
        </w:r>
      </w:hyperlink>
    </w:p>
    <w:p w14:paraId="0472FAD4" w14:textId="77777777" w:rsidR="00C64F6A" w:rsidRPr="0014293C" w:rsidRDefault="00C64F6A" w:rsidP="00C64F6A">
      <w:r w:rsidRPr="0014293C">
        <w:lastRenderedPageBreak/>
        <w:t xml:space="preserve">Shen, K.-Y. (2017) ‘Compromise between short- and long-term financial sustainability: A hybrid model for supporting R&amp;D decisions’, </w:t>
      </w:r>
      <w:r w:rsidRPr="00624C4F">
        <w:rPr>
          <w:i/>
          <w:iCs/>
        </w:rPr>
        <w:t>Sustainability</w:t>
      </w:r>
      <w:r w:rsidRPr="0014293C">
        <w:t xml:space="preserve">, 9(3), p. 375. </w:t>
      </w:r>
      <w:hyperlink r:id="rId69" w:tgtFrame="_new" w:history="1">
        <w:r w:rsidRPr="0014293C">
          <w:rPr>
            <w:rStyle w:val="Hyperlink"/>
          </w:rPr>
          <w:t>https://doi.org/10.3390/su9030375</w:t>
        </w:r>
      </w:hyperlink>
    </w:p>
    <w:p w14:paraId="4A0D36C9" w14:textId="77777777" w:rsidR="00C64F6A" w:rsidRPr="0014293C" w:rsidRDefault="00C64F6A" w:rsidP="00C64F6A">
      <w:r w:rsidRPr="0014293C">
        <w:t xml:space="preserve">Sibanda, L.S. and Tapera, J. (2025) ‘An assessment of the Altman Z score on predicting corporate failure: A case of insolvent financial companies listed on the Zimbabwe Stock Exchange’, </w:t>
      </w:r>
      <w:r w:rsidRPr="00624C4F">
        <w:rPr>
          <w:i/>
          <w:iCs/>
        </w:rPr>
        <w:t xml:space="preserve">Journal of Economics and </w:t>
      </w:r>
      <w:proofErr w:type="spellStart"/>
      <w:r w:rsidRPr="00624C4F">
        <w:rPr>
          <w:i/>
          <w:iCs/>
        </w:rPr>
        <w:t>Behavioral</w:t>
      </w:r>
      <w:proofErr w:type="spellEnd"/>
      <w:r w:rsidRPr="00624C4F">
        <w:rPr>
          <w:i/>
          <w:iCs/>
        </w:rPr>
        <w:t xml:space="preserve"> Studies</w:t>
      </w:r>
      <w:r w:rsidRPr="0014293C">
        <w:t xml:space="preserve">, 17(1(J)), pp. 55–71. </w:t>
      </w:r>
      <w:hyperlink r:id="rId70" w:history="1">
        <w:r w:rsidRPr="0014293C">
          <w:rPr>
            <w:rStyle w:val="Hyperlink"/>
          </w:rPr>
          <w:t>https://doi.org/10.22610/jebs.v17i1(J).4363</w:t>
        </w:r>
      </w:hyperlink>
    </w:p>
    <w:p w14:paraId="77FB9774" w14:textId="77777777" w:rsidR="00C64F6A" w:rsidRPr="0014293C" w:rsidRDefault="00C64F6A" w:rsidP="00C64F6A">
      <w:proofErr w:type="spellStart"/>
      <w:r w:rsidRPr="0014293C">
        <w:t>Sidlauskiene</w:t>
      </w:r>
      <w:proofErr w:type="spellEnd"/>
      <w:r w:rsidRPr="0014293C">
        <w:t xml:space="preserve">, D., </w:t>
      </w:r>
      <w:proofErr w:type="spellStart"/>
      <w:r w:rsidRPr="0014293C">
        <w:t>Petrošienė</w:t>
      </w:r>
      <w:proofErr w:type="spellEnd"/>
      <w:r w:rsidRPr="0014293C">
        <w:t xml:space="preserve">, B. and </w:t>
      </w:r>
      <w:proofErr w:type="spellStart"/>
      <w:r w:rsidRPr="0014293C">
        <w:t>Gabrevičienė</w:t>
      </w:r>
      <w:proofErr w:type="spellEnd"/>
      <w:r w:rsidRPr="0014293C">
        <w:t xml:space="preserve">, A. (2018) ‘The importance of financial statement results for business management solutions’, </w:t>
      </w:r>
      <w:r w:rsidRPr="00624C4F">
        <w:rPr>
          <w:i/>
          <w:iCs/>
        </w:rPr>
        <w:t xml:space="preserve">Humanities Bulletin of </w:t>
      </w:r>
      <w:proofErr w:type="spellStart"/>
      <w:r w:rsidRPr="00624C4F">
        <w:rPr>
          <w:i/>
          <w:iCs/>
        </w:rPr>
        <w:t>Zaporizhzhe</w:t>
      </w:r>
      <w:proofErr w:type="spellEnd"/>
      <w:r w:rsidRPr="00624C4F">
        <w:rPr>
          <w:i/>
          <w:iCs/>
        </w:rPr>
        <w:t xml:space="preserve"> State Engineering Academy</w:t>
      </w:r>
      <w:r w:rsidRPr="0014293C">
        <w:t xml:space="preserve">. </w:t>
      </w:r>
      <w:hyperlink r:id="rId71" w:history="1">
        <w:r w:rsidRPr="0014293C">
          <w:rPr>
            <w:rStyle w:val="Hyperlink"/>
          </w:rPr>
          <w:t>https://doi.org/10.30839/2072-7941.2017.124924</w:t>
        </w:r>
      </w:hyperlink>
    </w:p>
    <w:p w14:paraId="09EE4690" w14:textId="77777777" w:rsidR="00C64F6A" w:rsidRPr="0014293C" w:rsidRDefault="00C64F6A" w:rsidP="00C64F6A">
      <w:proofErr w:type="spellStart"/>
      <w:r w:rsidRPr="0014293C">
        <w:t>Sienatra</w:t>
      </w:r>
      <w:proofErr w:type="spellEnd"/>
      <w:r w:rsidRPr="0014293C">
        <w:t xml:space="preserve">, K.B., Sumiati, S., </w:t>
      </w:r>
      <w:proofErr w:type="spellStart"/>
      <w:r w:rsidRPr="0014293C">
        <w:t>Wijayanti</w:t>
      </w:r>
      <w:proofErr w:type="spellEnd"/>
      <w:r w:rsidRPr="0014293C">
        <w:t xml:space="preserve">, R. and </w:t>
      </w:r>
      <w:proofErr w:type="spellStart"/>
      <w:r w:rsidRPr="0014293C">
        <w:t>Andarwati</w:t>
      </w:r>
      <w:proofErr w:type="spellEnd"/>
      <w:r w:rsidRPr="0014293C">
        <w:t xml:space="preserve">, A. (2025) ‘Can financial flexibility enhance a company’s valuation during challenging periods? An analysis during the VUCA situation’, </w:t>
      </w:r>
      <w:r w:rsidRPr="00624C4F">
        <w:rPr>
          <w:i/>
          <w:iCs/>
        </w:rPr>
        <w:t>Financial and Credit Activity: Problems of Theory and Practice</w:t>
      </w:r>
      <w:r w:rsidRPr="0014293C">
        <w:t xml:space="preserve">, 5(64), pp. 127–138. </w:t>
      </w:r>
      <w:hyperlink r:id="rId72" w:history="1">
        <w:r w:rsidRPr="0014293C">
          <w:rPr>
            <w:rStyle w:val="Hyperlink"/>
          </w:rPr>
          <w:t>https://doi.org/10.55643/fcaptp.5.64.2025.4881</w:t>
        </w:r>
      </w:hyperlink>
    </w:p>
    <w:p w14:paraId="1515BAE3" w14:textId="77777777" w:rsidR="00C64F6A" w:rsidRPr="0014293C" w:rsidRDefault="00C64F6A" w:rsidP="00C64F6A">
      <w:r w:rsidRPr="0014293C">
        <w:t xml:space="preserve">Suthar, K. (2023) </w:t>
      </w:r>
      <w:r w:rsidRPr="00624C4F">
        <w:rPr>
          <w:i/>
          <w:iCs/>
        </w:rPr>
        <w:t>Financial ratio analysis: A theoretical study</w:t>
      </w:r>
      <w:r w:rsidRPr="0014293C">
        <w:t xml:space="preserve">. November. M. D. Shah Commerce and B. D. Patel Arts College, </w:t>
      </w:r>
      <w:proofErr w:type="spellStart"/>
      <w:r w:rsidRPr="0014293C">
        <w:t>Mahudha</w:t>
      </w:r>
      <w:proofErr w:type="spellEnd"/>
      <w:r w:rsidRPr="0014293C">
        <w:t>.</w:t>
      </w:r>
    </w:p>
    <w:p w14:paraId="7DAF4F42" w14:textId="77777777" w:rsidR="00C64F6A" w:rsidRPr="0014293C" w:rsidRDefault="00C64F6A" w:rsidP="00C64F6A">
      <w:proofErr w:type="spellStart"/>
      <w:r w:rsidRPr="0014293C">
        <w:t>Toncheva</w:t>
      </w:r>
      <w:proofErr w:type="spellEnd"/>
      <w:r w:rsidRPr="0014293C">
        <w:t xml:space="preserve">, R. (2025) </w:t>
      </w:r>
      <w:r w:rsidRPr="00624C4F">
        <w:rPr>
          <w:i/>
          <w:iCs/>
        </w:rPr>
        <w:t>Ratio analysis (of financial data)</w:t>
      </w:r>
      <w:r w:rsidRPr="0014293C">
        <w:t xml:space="preserve">. February. </w:t>
      </w:r>
      <w:hyperlink r:id="rId73" w:history="1">
        <w:r w:rsidRPr="0014293C">
          <w:rPr>
            <w:rStyle w:val="Hyperlink"/>
          </w:rPr>
          <w:t>https://doi.org/10.13140/RG.2.2.36808.02568</w:t>
        </w:r>
      </w:hyperlink>
    </w:p>
    <w:p w14:paraId="49808B0A" w14:textId="77777777" w:rsidR="00C64F6A" w:rsidRPr="0014293C" w:rsidRDefault="00C64F6A" w:rsidP="00C64F6A">
      <w:r w:rsidRPr="0014293C">
        <w:t xml:space="preserve">West, P. (2021) </w:t>
      </w:r>
      <w:r w:rsidRPr="00624C4F">
        <w:rPr>
          <w:i/>
          <w:iCs/>
        </w:rPr>
        <w:t>The usefulness of financial ratio analysis as a tool for enhancement of corporate investment decisions</w:t>
      </w:r>
      <w:r w:rsidRPr="0014293C">
        <w:t>. August. Rivers State University.</w:t>
      </w:r>
    </w:p>
    <w:p w14:paraId="6362E668" w14:textId="77777777" w:rsidR="00C64F6A" w:rsidRPr="0014293C" w:rsidRDefault="00C64F6A" w:rsidP="00C64F6A">
      <w:r w:rsidRPr="0014293C">
        <w:t xml:space="preserve">Yolanda, M. and Karim, H.A. (2025) ‘Conceptual analysis of working capital management in education: An educational financial management perspective’, </w:t>
      </w:r>
      <w:r w:rsidRPr="00624C4F">
        <w:rPr>
          <w:i/>
          <w:iCs/>
        </w:rPr>
        <w:t>ICMIE Proceedings</w:t>
      </w:r>
      <w:r w:rsidRPr="0014293C">
        <w:t xml:space="preserve">, 2(1), pp. 264–270. </w:t>
      </w:r>
      <w:hyperlink r:id="rId74" w:history="1">
        <w:r w:rsidRPr="0014293C">
          <w:rPr>
            <w:rStyle w:val="Hyperlink"/>
          </w:rPr>
          <w:t>https://doi.org/10.30983/icmie.v2i1.57</w:t>
        </w:r>
      </w:hyperlink>
    </w:p>
    <w:p w14:paraId="642E1393" w14:textId="77777777" w:rsidR="00C64F6A" w:rsidRPr="005514CB" w:rsidRDefault="00C64F6A" w:rsidP="00C64F6A"/>
    <w:p w14:paraId="56B1C88A" w14:textId="77777777" w:rsidR="00C64F6A" w:rsidRDefault="00C64F6A" w:rsidP="00C64F6A"/>
    <w:p w14:paraId="7D6743AD" w14:textId="77777777" w:rsidR="00C64F6A" w:rsidRPr="00533F7A" w:rsidRDefault="00C64F6A" w:rsidP="00C64F6A"/>
    <w:p w14:paraId="7D9C331D" w14:textId="77777777" w:rsidR="00C64F6A" w:rsidRDefault="00C64F6A" w:rsidP="00C64F6A">
      <w:pPr>
        <w:pStyle w:val="Heading1"/>
      </w:pPr>
      <w:bookmarkStart w:id="81" w:name="_Toc217212333"/>
      <w:r>
        <w:lastRenderedPageBreak/>
        <w:t>Appendix</w:t>
      </w:r>
      <w:bookmarkEnd w:id="81"/>
      <w:r>
        <w:t xml:space="preserve"> </w:t>
      </w:r>
    </w:p>
    <w:p w14:paraId="6C61D5B2" w14:textId="77777777" w:rsidR="00C64F6A" w:rsidRDefault="00C64F6A" w:rsidP="00C64F6A">
      <w:pPr>
        <w:pStyle w:val="Heading2"/>
      </w:pPr>
      <w:bookmarkStart w:id="82" w:name="_Toc217212334"/>
      <w:r>
        <w:t xml:space="preserve">Appendix 1 - </w:t>
      </w:r>
      <w:r w:rsidRPr="00FA3001">
        <w:t xml:space="preserve">Ratio </w:t>
      </w:r>
      <w:r>
        <w:t>A</w:t>
      </w:r>
      <w:r w:rsidRPr="00FA3001">
        <w:t>nalysis</w:t>
      </w:r>
      <w:bookmarkEnd w:id="82"/>
    </w:p>
    <w:tbl>
      <w:tblPr>
        <w:tblW w:w="5000" w:type="pct"/>
        <w:tblLook w:val="04A0" w:firstRow="1" w:lastRow="0" w:firstColumn="1" w:lastColumn="0" w:noHBand="0" w:noVBand="1"/>
      </w:tblPr>
      <w:tblGrid>
        <w:gridCol w:w="1625"/>
        <w:gridCol w:w="2035"/>
        <w:gridCol w:w="2282"/>
        <w:gridCol w:w="698"/>
        <w:gridCol w:w="698"/>
        <w:gridCol w:w="698"/>
        <w:gridCol w:w="657"/>
        <w:gridCol w:w="657"/>
      </w:tblGrid>
      <w:tr w:rsidR="00C64F6A" w:rsidRPr="002306CB" w14:paraId="02C407A2" w14:textId="77777777" w:rsidTr="009463F3">
        <w:trPr>
          <w:trHeight w:val="300"/>
        </w:trPr>
        <w:tc>
          <w:tcPr>
            <w:tcW w:w="2741" w:type="pct"/>
            <w:gridSpan w:val="3"/>
            <w:tcBorders>
              <w:top w:val="single" w:sz="4" w:space="0" w:color="auto"/>
              <w:left w:val="single" w:sz="4" w:space="0" w:color="auto"/>
              <w:bottom w:val="single" w:sz="4" w:space="0" w:color="auto"/>
              <w:right w:val="single" w:sz="4" w:space="0" w:color="000000"/>
            </w:tcBorders>
            <w:noWrap/>
            <w:vAlign w:val="bottom"/>
            <w:hideMark/>
          </w:tcPr>
          <w:p w14:paraId="004FF8BE" w14:textId="77777777" w:rsidR="00C64F6A" w:rsidRPr="002306CB" w:rsidRDefault="00C64F6A" w:rsidP="009463F3">
            <w:pPr>
              <w:spacing w:after="0" w:line="240" w:lineRule="auto"/>
              <w:jc w:val="center"/>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Ratio Analysis</w:t>
            </w:r>
          </w:p>
        </w:tc>
        <w:tc>
          <w:tcPr>
            <w:tcW w:w="810" w:type="pct"/>
            <w:tcBorders>
              <w:top w:val="single" w:sz="4" w:space="0" w:color="auto"/>
              <w:left w:val="nil"/>
              <w:bottom w:val="single" w:sz="4" w:space="0" w:color="auto"/>
              <w:right w:val="single" w:sz="4" w:space="0" w:color="auto"/>
            </w:tcBorders>
            <w:noWrap/>
            <w:vAlign w:val="bottom"/>
            <w:hideMark/>
          </w:tcPr>
          <w:p w14:paraId="170633DE"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2020</w:t>
            </w:r>
          </w:p>
        </w:tc>
        <w:tc>
          <w:tcPr>
            <w:tcW w:w="373" w:type="pct"/>
            <w:tcBorders>
              <w:top w:val="single" w:sz="4" w:space="0" w:color="auto"/>
              <w:left w:val="nil"/>
              <w:bottom w:val="single" w:sz="4" w:space="0" w:color="auto"/>
              <w:right w:val="single" w:sz="4" w:space="0" w:color="auto"/>
            </w:tcBorders>
            <w:noWrap/>
            <w:vAlign w:val="bottom"/>
            <w:hideMark/>
          </w:tcPr>
          <w:p w14:paraId="640090E2"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2021</w:t>
            </w:r>
          </w:p>
        </w:tc>
        <w:tc>
          <w:tcPr>
            <w:tcW w:w="373" w:type="pct"/>
            <w:tcBorders>
              <w:top w:val="single" w:sz="4" w:space="0" w:color="auto"/>
              <w:left w:val="nil"/>
              <w:bottom w:val="single" w:sz="4" w:space="0" w:color="auto"/>
              <w:right w:val="single" w:sz="4" w:space="0" w:color="auto"/>
            </w:tcBorders>
            <w:noWrap/>
            <w:vAlign w:val="bottom"/>
            <w:hideMark/>
          </w:tcPr>
          <w:p w14:paraId="04C31005"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2022</w:t>
            </w:r>
          </w:p>
        </w:tc>
        <w:tc>
          <w:tcPr>
            <w:tcW w:w="351" w:type="pct"/>
            <w:tcBorders>
              <w:top w:val="single" w:sz="4" w:space="0" w:color="auto"/>
              <w:left w:val="nil"/>
              <w:bottom w:val="single" w:sz="4" w:space="0" w:color="auto"/>
              <w:right w:val="single" w:sz="4" w:space="0" w:color="auto"/>
            </w:tcBorders>
            <w:noWrap/>
            <w:vAlign w:val="bottom"/>
            <w:hideMark/>
          </w:tcPr>
          <w:p w14:paraId="4A4A344E"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2023</w:t>
            </w:r>
          </w:p>
        </w:tc>
        <w:tc>
          <w:tcPr>
            <w:tcW w:w="351" w:type="pct"/>
            <w:tcBorders>
              <w:top w:val="single" w:sz="4" w:space="0" w:color="auto"/>
              <w:left w:val="nil"/>
              <w:bottom w:val="single" w:sz="4" w:space="0" w:color="auto"/>
              <w:right w:val="single" w:sz="4" w:space="0" w:color="auto"/>
            </w:tcBorders>
            <w:noWrap/>
            <w:vAlign w:val="bottom"/>
            <w:hideMark/>
          </w:tcPr>
          <w:p w14:paraId="1BC57FC9"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2024</w:t>
            </w:r>
          </w:p>
        </w:tc>
      </w:tr>
      <w:tr w:rsidR="00C64F6A" w:rsidRPr="002306CB" w14:paraId="53EF5627" w14:textId="77777777" w:rsidTr="009463F3">
        <w:trPr>
          <w:trHeight w:val="300"/>
        </w:trPr>
        <w:tc>
          <w:tcPr>
            <w:tcW w:w="869" w:type="pct"/>
            <w:tcBorders>
              <w:top w:val="nil"/>
              <w:left w:val="single" w:sz="4" w:space="0" w:color="auto"/>
              <w:bottom w:val="single" w:sz="4" w:space="0" w:color="auto"/>
              <w:right w:val="single" w:sz="4" w:space="0" w:color="auto"/>
            </w:tcBorders>
            <w:shd w:val="clear" w:color="000000" w:fill="CAEDFB"/>
            <w:noWrap/>
            <w:vAlign w:val="bottom"/>
            <w:hideMark/>
          </w:tcPr>
          <w:p w14:paraId="35657B83" w14:textId="77777777" w:rsidR="00C64F6A" w:rsidRPr="002306CB" w:rsidRDefault="00C64F6A" w:rsidP="009463F3">
            <w:pPr>
              <w:spacing w:after="0" w:line="240" w:lineRule="auto"/>
              <w:jc w:val="left"/>
              <w:rPr>
                <w:rFonts w:ascii="Aptos Narrow" w:eastAsia="Times New Roman" w:hAnsi="Aptos Narrow" w:cs="Times New Roman"/>
                <w:b/>
                <w:bCs/>
                <w:color w:val="000000"/>
                <w:kern w:val="0"/>
                <w:sz w:val="22"/>
                <w:szCs w:val="22"/>
                <w:lang w:val="en-US"/>
                <w14:ligatures w14:val="none"/>
              </w:rPr>
            </w:pPr>
            <w:r w:rsidRPr="002306CB">
              <w:rPr>
                <w:rFonts w:ascii="Aptos Narrow" w:eastAsia="Times New Roman" w:hAnsi="Aptos Narrow" w:cs="Times New Roman"/>
                <w:b/>
                <w:bCs/>
                <w:color w:val="000000"/>
                <w:kern w:val="0"/>
                <w:sz w:val="22"/>
                <w:szCs w:val="22"/>
                <w:lang w:val="en-US"/>
                <w14:ligatures w14:val="none"/>
              </w:rPr>
              <w:t>Profitability Ratios</w:t>
            </w:r>
          </w:p>
        </w:tc>
        <w:tc>
          <w:tcPr>
            <w:tcW w:w="1088" w:type="pct"/>
            <w:tcBorders>
              <w:top w:val="nil"/>
              <w:left w:val="nil"/>
              <w:bottom w:val="single" w:sz="4" w:space="0" w:color="auto"/>
              <w:right w:val="single" w:sz="4" w:space="0" w:color="auto"/>
            </w:tcBorders>
            <w:shd w:val="clear" w:color="000000" w:fill="CAEDFB"/>
            <w:noWrap/>
            <w:vAlign w:val="bottom"/>
            <w:hideMark/>
          </w:tcPr>
          <w:p w14:paraId="11402A22" w14:textId="77777777" w:rsidR="00C64F6A" w:rsidRPr="002306CB" w:rsidRDefault="00C64F6A" w:rsidP="009463F3">
            <w:pPr>
              <w:spacing w:after="0" w:line="240" w:lineRule="auto"/>
              <w:jc w:val="left"/>
              <w:rPr>
                <w:rFonts w:ascii="Aptos Narrow" w:eastAsia="Times New Roman" w:hAnsi="Aptos Narrow" w:cs="Times New Roman"/>
                <w:b/>
                <w:bCs/>
                <w:color w:val="000000"/>
                <w:kern w:val="0"/>
                <w:sz w:val="22"/>
                <w:szCs w:val="22"/>
                <w:lang w:val="en-US"/>
                <w14:ligatures w14:val="none"/>
              </w:rPr>
            </w:pPr>
            <w:r w:rsidRPr="002306CB">
              <w:rPr>
                <w:rFonts w:ascii="Aptos Narrow" w:eastAsia="Times New Roman" w:hAnsi="Aptos Narrow" w:cs="Times New Roman"/>
                <w:b/>
                <w:bCs/>
                <w:color w:val="000000"/>
                <w:kern w:val="0"/>
                <w:sz w:val="22"/>
                <w:szCs w:val="22"/>
                <w:lang w:val="en-US"/>
                <w14:ligatures w14:val="none"/>
              </w:rPr>
              <w:t> </w:t>
            </w:r>
          </w:p>
        </w:tc>
        <w:tc>
          <w:tcPr>
            <w:tcW w:w="783" w:type="pct"/>
            <w:tcBorders>
              <w:top w:val="nil"/>
              <w:left w:val="nil"/>
              <w:bottom w:val="single" w:sz="4" w:space="0" w:color="auto"/>
              <w:right w:val="single" w:sz="4" w:space="0" w:color="auto"/>
            </w:tcBorders>
            <w:shd w:val="clear" w:color="000000" w:fill="CAEDFB"/>
            <w:noWrap/>
            <w:vAlign w:val="bottom"/>
            <w:hideMark/>
          </w:tcPr>
          <w:p w14:paraId="659D2727" w14:textId="77777777" w:rsidR="00C64F6A" w:rsidRPr="002306CB" w:rsidRDefault="00C64F6A" w:rsidP="009463F3">
            <w:pPr>
              <w:spacing w:after="0" w:line="240" w:lineRule="auto"/>
              <w:jc w:val="left"/>
              <w:rPr>
                <w:rFonts w:ascii="Aptos Narrow" w:eastAsia="Times New Roman" w:hAnsi="Aptos Narrow" w:cs="Times New Roman"/>
                <w:b/>
                <w:bCs/>
                <w:color w:val="000000"/>
                <w:kern w:val="0"/>
                <w:sz w:val="22"/>
                <w:szCs w:val="22"/>
                <w:lang w:val="en-US"/>
                <w14:ligatures w14:val="none"/>
              </w:rPr>
            </w:pPr>
            <w:r w:rsidRPr="002306CB">
              <w:rPr>
                <w:rFonts w:ascii="Aptos Narrow" w:eastAsia="Times New Roman" w:hAnsi="Aptos Narrow" w:cs="Times New Roman"/>
                <w:b/>
                <w:bCs/>
                <w:color w:val="000000"/>
                <w:kern w:val="0"/>
                <w:sz w:val="22"/>
                <w:szCs w:val="22"/>
                <w:lang w:val="en-US"/>
                <w14:ligatures w14:val="none"/>
              </w:rPr>
              <w:t> </w:t>
            </w:r>
          </w:p>
        </w:tc>
        <w:tc>
          <w:tcPr>
            <w:tcW w:w="810" w:type="pct"/>
            <w:tcBorders>
              <w:top w:val="nil"/>
              <w:left w:val="nil"/>
              <w:bottom w:val="single" w:sz="4" w:space="0" w:color="auto"/>
              <w:right w:val="single" w:sz="4" w:space="0" w:color="auto"/>
            </w:tcBorders>
            <w:shd w:val="clear" w:color="000000" w:fill="CAEDFB"/>
            <w:noWrap/>
            <w:vAlign w:val="bottom"/>
            <w:hideMark/>
          </w:tcPr>
          <w:p w14:paraId="58F3E3F9" w14:textId="77777777" w:rsidR="00C64F6A" w:rsidRPr="002306CB" w:rsidRDefault="00C64F6A" w:rsidP="009463F3">
            <w:pPr>
              <w:spacing w:after="0" w:line="240" w:lineRule="auto"/>
              <w:jc w:val="left"/>
              <w:rPr>
                <w:rFonts w:ascii="Aptos Narrow" w:eastAsia="Times New Roman" w:hAnsi="Aptos Narrow" w:cs="Times New Roman"/>
                <w:b/>
                <w:bCs/>
                <w:color w:val="000000"/>
                <w:kern w:val="0"/>
                <w:sz w:val="22"/>
                <w:szCs w:val="22"/>
                <w:lang w:val="en-US"/>
                <w14:ligatures w14:val="none"/>
              </w:rPr>
            </w:pPr>
            <w:r w:rsidRPr="002306CB">
              <w:rPr>
                <w:rFonts w:ascii="Aptos Narrow" w:eastAsia="Times New Roman" w:hAnsi="Aptos Narrow" w:cs="Times New Roman"/>
                <w:b/>
                <w:bCs/>
                <w:color w:val="000000"/>
                <w:kern w:val="0"/>
                <w:sz w:val="22"/>
                <w:szCs w:val="22"/>
                <w:lang w:val="en-US"/>
                <w14:ligatures w14:val="none"/>
              </w:rPr>
              <w:t> </w:t>
            </w:r>
          </w:p>
        </w:tc>
        <w:tc>
          <w:tcPr>
            <w:tcW w:w="373" w:type="pct"/>
            <w:tcBorders>
              <w:top w:val="nil"/>
              <w:left w:val="nil"/>
              <w:bottom w:val="single" w:sz="4" w:space="0" w:color="auto"/>
              <w:right w:val="single" w:sz="4" w:space="0" w:color="auto"/>
            </w:tcBorders>
            <w:shd w:val="clear" w:color="000000" w:fill="CAEDFB"/>
            <w:noWrap/>
            <w:vAlign w:val="bottom"/>
            <w:hideMark/>
          </w:tcPr>
          <w:p w14:paraId="1F7DBB60" w14:textId="77777777" w:rsidR="00C64F6A" w:rsidRPr="002306CB" w:rsidRDefault="00C64F6A" w:rsidP="009463F3">
            <w:pPr>
              <w:spacing w:after="0" w:line="240" w:lineRule="auto"/>
              <w:jc w:val="left"/>
              <w:rPr>
                <w:rFonts w:ascii="Aptos Narrow" w:eastAsia="Times New Roman" w:hAnsi="Aptos Narrow" w:cs="Times New Roman"/>
                <w:b/>
                <w:bCs/>
                <w:color w:val="000000"/>
                <w:kern w:val="0"/>
                <w:sz w:val="22"/>
                <w:szCs w:val="22"/>
                <w:lang w:val="en-US"/>
                <w14:ligatures w14:val="none"/>
              </w:rPr>
            </w:pPr>
            <w:r w:rsidRPr="002306CB">
              <w:rPr>
                <w:rFonts w:ascii="Aptos Narrow" w:eastAsia="Times New Roman" w:hAnsi="Aptos Narrow" w:cs="Times New Roman"/>
                <w:b/>
                <w:bCs/>
                <w:color w:val="000000"/>
                <w:kern w:val="0"/>
                <w:sz w:val="22"/>
                <w:szCs w:val="22"/>
                <w:lang w:val="en-US"/>
                <w14:ligatures w14:val="none"/>
              </w:rPr>
              <w:t> </w:t>
            </w:r>
          </w:p>
        </w:tc>
        <w:tc>
          <w:tcPr>
            <w:tcW w:w="373" w:type="pct"/>
            <w:tcBorders>
              <w:top w:val="nil"/>
              <w:left w:val="nil"/>
              <w:bottom w:val="single" w:sz="4" w:space="0" w:color="auto"/>
              <w:right w:val="single" w:sz="4" w:space="0" w:color="auto"/>
            </w:tcBorders>
            <w:shd w:val="clear" w:color="000000" w:fill="CAEDFB"/>
            <w:noWrap/>
            <w:vAlign w:val="bottom"/>
            <w:hideMark/>
          </w:tcPr>
          <w:p w14:paraId="358A0547" w14:textId="77777777" w:rsidR="00C64F6A" w:rsidRPr="002306CB" w:rsidRDefault="00C64F6A" w:rsidP="009463F3">
            <w:pPr>
              <w:spacing w:after="0" w:line="240" w:lineRule="auto"/>
              <w:jc w:val="left"/>
              <w:rPr>
                <w:rFonts w:ascii="Aptos Narrow" w:eastAsia="Times New Roman" w:hAnsi="Aptos Narrow" w:cs="Times New Roman"/>
                <w:b/>
                <w:bCs/>
                <w:color w:val="000000"/>
                <w:kern w:val="0"/>
                <w:sz w:val="22"/>
                <w:szCs w:val="22"/>
                <w:lang w:val="en-US"/>
                <w14:ligatures w14:val="none"/>
              </w:rPr>
            </w:pPr>
            <w:r w:rsidRPr="002306CB">
              <w:rPr>
                <w:rFonts w:ascii="Aptos Narrow" w:eastAsia="Times New Roman" w:hAnsi="Aptos Narrow" w:cs="Times New Roman"/>
                <w:b/>
                <w:bCs/>
                <w:color w:val="000000"/>
                <w:kern w:val="0"/>
                <w:sz w:val="22"/>
                <w:szCs w:val="22"/>
                <w:lang w:val="en-US"/>
                <w14:ligatures w14:val="none"/>
              </w:rPr>
              <w:t> </w:t>
            </w:r>
          </w:p>
        </w:tc>
        <w:tc>
          <w:tcPr>
            <w:tcW w:w="351" w:type="pct"/>
            <w:tcBorders>
              <w:top w:val="nil"/>
              <w:left w:val="nil"/>
              <w:bottom w:val="single" w:sz="4" w:space="0" w:color="auto"/>
              <w:right w:val="single" w:sz="4" w:space="0" w:color="auto"/>
            </w:tcBorders>
            <w:shd w:val="clear" w:color="000000" w:fill="CAEDFB"/>
            <w:noWrap/>
            <w:vAlign w:val="bottom"/>
            <w:hideMark/>
          </w:tcPr>
          <w:p w14:paraId="0AF93F80" w14:textId="77777777" w:rsidR="00C64F6A" w:rsidRPr="002306CB" w:rsidRDefault="00C64F6A" w:rsidP="009463F3">
            <w:pPr>
              <w:spacing w:after="0" w:line="240" w:lineRule="auto"/>
              <w:jc w:val="left"/>
              <w:rPr>
                <w:rFonts w:ascii="Aptos Narrow" w:eastAsia="Times New Roman" w:hAnsi="Aptos Narrow" w:cs="Times New Roman"/>
                <w:b/>
                <w:bCs/>
                <w:color w:val="000000"/>
                <w:kern w:val="0"/>
                <w:sz w:val="22"/>
                <w:szCs w:val="22"/>
                <w:lang w:val="en-US"/>
                <w14:ligatures w14:val="none"/>
              </w:rPr>
            </w:pPr>
            <w:r w:rsidRPr="002306CB">
              <w:rPr>
                <w:rFonts w:ascii="Aptos Narrow" w:eastAsia="Times New Roman" w:hAnsi="Aptos Narrow" w:cs="Times New Roman"/>
                <w:b/>
                <w:bCs/>
                <w:color w:val="000000"/>
                <w:kern w:val="0"/>
                <w:sz w:val="22"/>
                <w:szCs w:val="22"/>
                <w:lang w:val="en-US"/>
                <w14:ligatures w14:val="none"/>
              </w:rPr>
              <w:t> </w:t>
            </w:r>
          </w:p>
        </w:tc>
        <w:tc>
          <w:tcPr>
            <w:tcW w:w="351" w:type="pct"/>
            <w:tcBorders>
              <w:top w:val="nil"/>
              <w:left w:val="nil"/>
              <w:bottom w:val="single" w:sz="4" w:space="0" w:color="auto"/>
              <w:right w:val="single" w:sz="4" w:space="0" w:color="auto"/>
            </w:tcBorders>
            <w:shd w:val="clear" w:color="000000" w:fill="CAEDFB"/>
            <w:noWrap/>
            <w:vAlign w:val="bottom"/>
            <w:hideMark/>
          </w:tcPr>
          <w:p w14:paraId="1705C8A6" w14:textId="77777777" w:rsidR="00C64F6A" w:rsidRPr="002306CB" w:rsidRDefault="00C64F6A" w:rsidP="009463F3">
            <w:pPr>
              <w:spacing w:after="0" w:line="240" w:lineRule="auto"/>
              <w:jc w:val="left"/>
              <w:rPr>
                <w:rFonts w:ascii="Aptos Narrow" w:eastAsia="Times New Roman" w:hAnsi="Aptos Narrow" w:cs="Times New Roman"/>
                <w:b/>
                <w:bCs/>
                <w:color w:val="000000"/>
                <w:kern w:val="0"/>
                <w:sz w:val="22"/>
                <w:szCs w:val="22"/>
                <w:lang w:val="en-US"/>
                <w14:ligatures w14:val="none"/>
              </w:rPr>
            </w:pPr>
            <w:r w:rsidRPr="002306CB">
              <w:rPr>
                <w:rFonts w:ascii="Aptos Narrow" w:eastAsia="Times New Roman" w:hAnsi="Aptos Narrow" w:cs="Times New Roman"/>
                <w:b/>
                <w:bCs/>
                <w:color w:val="000000"/>
                <w:kern w:val="0"/>
                <w:sz w:val="22"/>
                <w:szCs w:val="22"/>
                <w:lang w:val="en-US"/>
                <w14:ligatures w14:val="none"/>
              </w:rPr>
              <w:t> </w:t>
            </w:r>
          </w:p>
        </w:tc>
      </w:tr>
      <w:tr w:rsidR="00C64F6A" w:rsidRPr="002306CB" w14:paraId="733E6CAC" w14:textId="77777777" w:rsidTr="009463F3">
        <w:trPr>
          <w:trHeight w:val="300"/>
        </w:trPr>
        <w:tc>
          <w:tcPr>
            <w:tcW w:w="869" w:type="pct"/>
            <w:tcBorders>
              <w:top w:val="nil"/>
              <w:left w:val="single" w:sz="4" w:space="0" w:color="auto"/>
              <w:bottom w:val="single" w:sz="4" w:space="0" w:color="auto"/>
              <w:right w:val="single" w:sz="4" w:space="0" w:color="auto"/>
            </w:tcBorders>
            <w:noWrap/>
            <w:vAlign w:val="bottom"/>
            <w:hideMark/>
          </w:tcPr>
          <w:p w14:paraId="1FC90BCF"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Gross Profit Margin</w:t>
            </w:r>
          </w:p>
        </w:tc>
        <w:tc>
          <w:tcPr>
            <w:tcW w:w="1088" w:type="pct"/>
            <w:tcBorders>
              <w:top w:val="nil"/>
              <w:left w:val="nil"/>
              <w:bottom w:val="single" w:sz="4" w:space="0" w:color="auto"/>
              <w:right w:val="single" w:sz="4" w:space="0" w:color="auto"/>
            </w:tcBorders>
            <w:noWrap/>
            <w:vAlign w:val="bottom"/>
            <w:hideMark/>
          </w:tcPr>
          <w:p w14:paraId="7ED6BE6A"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Gross Profit / Net Sales</w:t>
            </w:r>
          </w:p>
        </w:tc>
        <w:tc>
          <w:tcPr>
            <w:tcW w:w="783" w:type="pct"/>
            <w:tcBorders>
              <w:top w:val="nil"/>
              <w:left w:val="nil"/>
              <w:bottom w:val="single" w:sz="4" w:space="0" w:color="auto"/>
              <w:right w:val="single" w:sz="4" w:space="0" w:color="auto"/>
            </w:tcBorders>
            <w:noWrap/>
            <w:vAlign w:val="bottom"/>
            <w:hideMark/>
          </w:tcPr>
          <w:p w14:paraId="0F53EDE2"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Gross Profit</w:t>
            </w:r>
          </w:p>
        </w:tc>
        <w:tc>
          <w:tcPr>
            <w:tcW w:w="810" w:type="pct"/>
            <w:tcBorders>
              <w:top w:val="nil"/>
              <w:left w:val="nil"/>
              <w:bottom w:val="single" w:sz="4" w:space="0" w:color="auto"/>
              <w:right w:val="single" w:sz="4" w:space="0" w:color="auto"/>
            </w:tcBorders>
            <w:noWrap/>
            <w:vAlign w:val="bottom"/>
            <w:hideMark/>
          </w:tcPr>
          <w:p w14:paraId="21D9B6DE"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176,256</w:t>
            </w:r>
          </w:p>
        </w:tc>
        <w:tc>
          <w:tcPr>
            <w:tcW w:w="373" w:type="pct"/>
            <w:tcBorders>
              <w:top w:val="nil"/>
              <w:left w:val="nil"/>
              <w:bottom w:val="single" w:sz="4" w:space="0" w:color="auto"/>
              <w:right w:val="single" w:sz="4" w:space="0" w:color="auto"/>
            </w:tcBorders>
            <w:noWrap/>
            <w:vAlign w:val="bottom"/>
            <w:hideMark/>
          </w:tcPr>
          <w:p w14:paraId="38492C3B"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173,016</w:t>
            </w:r>
          </w:p>
        </w:tc>
        <w:tc>
          <w:tcPr>
            <w:tcW w:w="373" w:type="pct"/>
            <w:tcBorders>
              <w:top w:val="nil"/>
              <w:left w:val="nil"/>
              <w:bottom w:val="single" w:sz="4" w:space="0" w:color="auto"/>
              <w:right w:val="single" w:sz="4" w:space="0" w:color="auto"/>
            </w:tcBorders>
            <w:noWrap/>
            <w:vAlign w:val="bottom"/>
            <w:hideMark/>
          </w:tcPr>
          <w:p w14:paraId="6A329525"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152,292</w:t>
            </w:r>
          </w:p>
        </w:tc>
        <w:tc>
          <w:tcPr>
            <w:tcW w:w="351" w:type="pct"/>
            <w:tcBorders>
              <w:top w:val="nil"/>
              <w:left w:val="nil"/>
              <w:bottom w:val="single" w:sz="4" w:space="0" w:color="auto"/>
              <w:right w:val="single" w:sz="4" w:space="0" w:color="auto"/>
            </w:tcBorders>
            <w:noWrap/>
            <w:vAlign w:val="bottom"/>
            <w:hideMark/>
          </w:tcPr>
          <w:p w14:paraId="319091BF"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97,560</w:t>
            </w:r>
          </w:p>
        </w:tc>
        <w:tc>
          <w:tcPr>
            <w:tcW w:w="351" w:type="pct"/>
            <w:tcBorders>
              <w:top w:val="nil"/>
              <w:left w:val="nil"/>
              <w:bottom w:val="single" w:sz="4" w:space="0" w:color="auto"/>
              <w:right w:val="single" w:sz="4" w:space="0" w:color="auto"/>
            </w:tcBorders>
            <w:noWrap/>
            <w:vAlign w:val="bottom"/>
            <w:hideMark/>
          </w:tcPr>
          <w:p w14:paraId="1234160B"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113,994</w:t>
            </w:r>
          </w:p>
        </w:tc>
      </w:tr>
      <w:tr w:rsidR="00C64F6A" w:rsidRPr="002306CB" w14:paraId="347C9A4C" w14:textId="77777777" w:rsidTr="009463F3">
        <w:trPr>
          <w:trHeight w:val="300"/>
        </w:trPr>
        <w:tc>
          <w:tcPr>
            <w:tcW w:w="869" w:type="pct"/>
            <w:tcBorders>
              <w:top w:val="nil"/>
              <w:left w:val="single" w:sz="4" w:space="0" w:color="auto"/>
              <w:bottom w:val="single" w:sz="4" w:space="0" w:color="auto"/>
              <w:right w:val="single" w:sz="4" w:space="0" w:color="auto"/>
            </w:tcBorders>
            <w:noWrap/>
            <w:vAlign w:val="bottom"/>
            <w:hideMark/>
          </w:tcPr>
          <w:p w14:paraId="3CDC0A08"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 </w:t>
            </w:r>
          </w:p>
        </w:tc>
        <w:tc>
          <w:tcPr>
            <w:tcW w:w="1088" w:type="pct"/>
            <w:tcBorders>
              <w:top w:val="nil"/>
              <w:left w:val="nil"/>
              <w:bottom w:val="single" w:sz="4" w:space="0" w:color="auto"/>
              <w:right w:val="single" w:sz="4" w:space="0" w:color="auto"/>
            </w:tcBorders>
            <w:noWrap/>
            <w:vAlign w:val="bottom"/>
            <w:hideMark/>
          </w:tcPr>
          <w:p w14:paraId="60799F02"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 </w:t>
            </w:r>
          </w:p>
        </w:tc>
        <w:tc>
          <w:tcPr>
            <w:tcW w:w="783" w:type="pct"/>
            <w:tcBorders>
              <w:top w:val="nil"/>
              <w:left w:val="nil"/>
              <w:bottom w:val="single" w:sz="4" w:space="0" w:color="auto"/>
              <w:right w:val="single" w:sz="4" w:space="0" w:color="auto"/>
            </w:tcBorders>
            <w:noWrap/>
            <w:vAlign w:val="bottom"/>
            <w:hideMark/>
          </w:tcPr>
          <w:p w14:paraId="34D60238"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Revenue (Net Sales)</w:t>
            </w:r>
          </w:p>
        </w:tc>
        <w:tc>
          <w:tcPr>
            <w:tcW w:w="810" w:type="pct"/>
            <w:tcBorders>
              <w:top w:val="nil"/>
              <w:left w:val="nil"/>
              <w:bottom w:val="single" w:sz="4" w:space="0" w:color="auto"/>
              <w:right w:val="single" w:sz="4" w:space="0" w:color="auto"/>
            </w:tcBorders>
            <w:noWrap/>
            <w:vAlign w:val="bottom"/>
            <w:hideMark/>
          </w:tcPr>
          <w:p w14:paraId="111FE6CD"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614,680</w:t>
            </w:r>
          </w:p>
        </w:tc>
        <w:tc>
          <w:tcPr>
            <w:tcW w:w="373" w:type="pct"/>
            <w:tcBorders>
              <w:top w:val="nil"/>
              <w:left w:val="nil"/>
              <w:bottom w:val="single" w:sz="4" w:space="0" w:color="auto"/>
              <w:right w:val="single" w:sz="4" w:space="0" w:color="auto"/>
            </w:tcBorders>
            <w:noWrap/>
            <w:vAlign w:val="bottom"/>
            <w:hideMark/>
          </w:tcPr>
          <w:p w14:paraId="0FE612C1"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601,602</w:t>
            </w:r>
          </w:p>
        </w:tc>
        <w:tc>
          <w:tcPr>
            <w:tcW w:w="373" w:type="pct"/>
            <w:tcBorders>
              <w:top w:val="nil"/>
              <w:left w:val="nil"/>
              <w:bottom w:val="single" w:sz="4" w:space="0" w:color="auto"/>
              <w:right w:val="single" w:sz="4" w:space="0" w:color="auto"/>
            </w:tcBorders>
            <w:noWrap/>
            <w:vAlign w:val="bottom"/>
            <w:hideMark/>
          </w:tcPr>
          <w:p w14:paraId="086A2625"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542,751</w:t>
            </w:r>
          </w:p>
        </w:tc>
        <w:tc>
          <w:tcPr>
            <w:tcW w:w="351" w:type="pct"/>
            <w:tcBorders>
              <w:top w:val="nil"/>
              <w:left w:val="nil"/>
              <w:bottom w:val="single" w:sz="4" w:space="0" w:color="auto"/>
              <w:right w:val="single" w:sz="4" w:space="0" w:color="auto"/>
            </w:tcBorders>
            <w:noWrap/>
            <w:vAlign w:val="bottom"/>
            <w:hideMark/>
          </w:tcPr>
          <w:p w14:paraId="6B461D79"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420,457</w:t>
            </w:r>
          </w:p>
        </w:tc>
        <w:tc>
          <w:tcPr>
            <w:tcW w:w="351" w:type="pct"/>
            <w:tcBorders>
              <w:top w:val="nil"/>
              <w:left w:val="nil"/>
              <w:bottom w:val="single" w:sz="4" w:space="0" w:color="auto"/>
              <w:right w:val="single" w:sz="4" w:space="0" w:color="auto"/>
            </w:tcBorders>
            <w:noWrap/>
            <w:vAlign w:val="bottom"/>
            <w:hideMark/>
          </w:tcPr>
          <w:p w14:paraId="7BE5A875"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394,879</w:t>
            </w:r>
          </w:p>
        </w:tc>
      </w:tr>
      <w:tr w:rsidR="00C64F6A" w:rsidRPr="002306CB" w14:paraId="3A712FD9" w14:textId="77777777" w:rsidTr="009463F3">
        <w:trPr>
          <w:trHeight w:val="300"/>
        </w:trPr>
        <w:tc>
          <w:tcPr>
            <w:tcW w:w="869" w:type="pct"/>
            <w:tcBorders>
              <w:top w:val="nil"/>
              <w:left w:val="single" w:sz="4" w:space="0" w:color="auto"/>
              <w:bottom w:val="single" w:sz="4" w:space="0" w:color="auto"/>
              <w:right w:val="single" w:sz="4" w:space="0" w:color="auto"/>
            </w:tcBorders>
            <w:noWrap/>
            <w:vAlign w:val="bottom"/>
            <w:hideMark/>
          </w:tcPr>
          <w:p w14:paraId="2B3830F3"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Operating Profit Margin</w:t>
            </w:r>
          </w:p>
        </w:tc>
        <w:tc>
          <w:tcPr>
            <w:tcW w:w="1088" w:type="pct"/>
            <w:tcBorders>
              <w:top w:val="nil"/>
              <w:left w:val="nil"/>
              <w:bottom w:val="single" w:sz="4" w:space="0" w:color="auto"/>
              <w:right w:val="single" w:sz="4" w:space="0" w:color="auto"/>
            </w:tcBorders>
            <w:noWrap/>
            <w:vAlign w:val="bottom"/>
            <w:hideMark/>
          </w:tcPr>
          <w:p w14:paraId="25BA9DDD"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Operating Income / Net Sales</w:t>
            </w:r>
          </w:p>
        </w:tc>
        <w:tc>
          <w:tcPr>
            <w:tcW w:w="783" w:type="pct"/>
            <w:tcBorders>
              <w:top w:val="nil"/>
              <w:left w:val="nil"/>
              <w:bottom w:val="single" w:sz="4" w:space="0" w:color="auto"/>
              <w:right w:val="single" w:sz="4" w:space="0" w:color="auto"/>
            </w:tcBorders>
            <w:noWrap/>
            <w:vAlign w:val="bottom"/>
            <w:hideMark/>
          </w:tcPr>
          <w:p w14:paraId="0346FAFC"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Operating Income (EBIT)</w:t>
            </w:r>
          </w:p>
        </w:tc>
        <w:tc>
          <w:tcPr>
            <w:tcW w:w="810" w:type="pct"/>
            <w:tcBorders>
              <w:top w:val="nil"/>
              <w:left w:val="nil"/>
              <w:bottom w:val="single" w:sz="4" w:space="0" w:color="auto"/>
              <w:right w:val="single" w:sz="4" w:space="0" w:color="auto"/>
            </w:tcBorders>
            <w:noWrap/>
            <w:vAlign w:val="bottom"/>
            <w:hideMark/>
          </w:tcPr>
          <w:p w14:paraId="551744E7"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37,267</w:t>
            </w:r>
          </w:p>
        </w:tc>
        <w:tc>
          <w:tcPr>
            <w:tcW w:w="373" w:type="pct"/>
            <w:tcBorders>
              <w:top w:val="nil"/>
              <w:left w:val="nil"/>
              <w:bottom w:val="single" w:sz="4" w:space="0" w:color="auto"/>
              <w:right w:val="single" w:sz="4" w:space="0" w:color="auto"/>
            </w:tcBorders>
            <w:noWrap/>
            <w:vAlign w:val="bottom"/>
            <w:hideMark/>
          </w:tcPr>
          <w:p w14:paraId="78BB23F7"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23,253</w:t>
            </w:r>
          </w:p>
        </w:tc>
        <w:tc>
          <w:tcPr>
            <w:tcW w:w="373" w:type="pct"/>
            <w:tcBorders>
              <w:top w:val="nil"/>
              <w:left w:val="nil"/>
              <w:bottom w:val="single" w:sz="4" w:space="0" w:color="auto"/>
              <w:right w:val="single" w:sz="4" w:space="0" w:color="auto"/>
            </w:tcBorders>
            <w:noWrap/>
            <w:vAlign w:val="bottom"/>
            <w:hideMark/>
          </w:tcPr>
          <w:p w14:paraId="3E5FA79A"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14,548</w:t>
            </w:r>
          </w:p>
        </w:tc>
        <w:tc>
          <w:tcPr>
            <w:tcW w:w="351" w:type="pct"/>
            <w:tcBorders>
              <w:top w:val="nil"/>
              <w:left w:val="nil"/>
              <w:bottom w:val="single" w:sz="4" w:space="0" w:color="auto"/>
              <w:right w:val="single" w:sz="4" w:space="0" w:color="auto"/>
            </w:tcBorders>
            <w:noWrap/>
            <w:vAlign w:val="bottom"/>
            <w:hideMark/>
          </w:tcPr>
          <w:p w14:paraId="76AD95EF"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-85,301</w:t>
            </w:r>
          </w:p>
        </w:tc>
        <w:tc>
          <w:tcPr>
            <w:tcW w:w="351" w:type="pct"/>
            <w:tcBorders>
              <w:top w:val="nil"/>
              <w:left w:val="nil"/>
              <w:bottom w:val="single" w:sz="4" w:space="0" w:color="auto"/>
              <w:right w:val="single" w:sz="4" w:space="0" w:color="auto"/>
            </w:tcBorders>
            <w:noWrap/>
            <w:vAlign w:val="bottom"/>
            <w:hideMark/>
          </w:tcPr>
          <w:p w14:paraId="7C5DED9A"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-15,297</w:t>
            </w:r>
          </w:p>
        </w:tc>
      </w:tr>
      <w:tr w:rsidR="00C64F6A" w:rsidRPr="002306CB" w14:paraId="50979724" w14:textId="77777777" w:rsidTr="009463F3">
        <w:trPr>
          <w:trHeight w:val="300"/>
        </w:trPr>
        <w:tc>
          <w:tcPr>
            <w:tcW w:w="869" w:type="pct"/>
            <w:tcBorders>
              <w:top w:val="nil"/>
              <w:left w:val="single" w:sz="4" w:space="0" w:color="auto"/>
              <w:bottom w:val="single" w:sz="4" w:space="0" w:color="auto"/>
              <w:right w:val="single" w:sz="4" w:space="0" w:color="auto"/>
            </w:tcBorders>
            <w:noWrap/>
            <w:vAlign w:val="bottom"/>
            <w:hideMark/>
          </w:tcPr>
          <w:p w14:paraId="234557E6"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 </w:t>
            </w:r>
          </w:p>
        </w:tc>
        <w:tc>
          <w:tcPr>
            <w:tcW w:w="1088" w:type="pct"/>
            <w:tcBorders>
              <w:top w:val="nil"/>
              <w:left w:val="nil"/>
              <w:bottom w:val="single" w:sz="4" w:space="0" w:color="auto"/>
              <w:right w:val="single" w:sz="4" w:space="0" w:color="auto"/>
            </w:tcBorders>
            <w:noWrap/>
            <w:vAlign w:val="bottom"/>
            <w:hideMark/>
          </w:tcPr>
          <w:p w14:paraId="3649D1A5"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 </w:t>
            </w:r>
          </w:p>
        </w:tc>
        <w:tc>
          <w:tcPr>
            <w:tcW w:w="783" w:type="pct"/>
            <w:tcBorders>
              <w:top w:val="nil"/>
              <w:left w:val="nil"/>
              <w:bottom w:val="single" w:sz="4" w:space="0" w:color="auto"/>
              <w:right w:val="single" w:sz="4" w:space="0" w:color="auto"/>
            </w:tcBorders>
            <w:noWrap/>
            <w:vAlign w:val="bottom"/>
            <w:hideMark/>
          </w:tcPr>
          <w:p w14:paraId="48FC7E88"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Revenue (Net Sales)</w:t>
            </w:r>
          </w:p>
        </w:tc>
        <w:tc>
          <w:tcPr>
            <w:tcW w:w="810" w:type="pct"/>
            <w:tcBorders>
              <w:top w:val="nil"/>
              <w:left w:val="nil"/>
              <w:bottom w:val="single" w:sz="4" w:space="0" w:color="auto"/>
              <w:right w:val="single" w:sz="4" w:space="0" w:color="auto"/>
            </w:tcBorders>
            <w:noWrap/>
            <w:vAlign w:val="bottom"/>
            <w:hideMark/>
          </w:tcPr>
          <w:p w14:paraId="198F0E36"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614,680</w:t>
            </w:r>
          </w:p>
        </w:tc>
        <w:tc>
          <w:tcPr>
            <w:tcW w:w="373" w:type="pct"/>
            <w:tcBorders>
              <w:top w:val="nil"/>
              <w:left w:val="nil"/>
              <w:bottom w:val="single" w:sz="4" w:space="0" w:color="auto"/>
              <w:right w:val="single" w:sz="4" w:space="0" w:color="auto"/>
            </w:tcBorders>
            <w:noWrap/>
            <w:vAlign w:val="bottom"/>
            <w:hideMark/>
          </w:tcPr>
          <w:p w14:paraId="2020E930"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601,602</w:t>
            </w:r>
          </w:p>
        </w:tc>
        <w:tc>
          <w:tcPr>
            <w:tcW w:w="373" w:type="pct"/>
            <w:tcBorders>
              <w:top w:val="nil"/>
              <w:left w:val="nil"/>
              <w:bottom w:val="single" w:sz="4" w:space="0" w:color="auto"/>
              <w:right w:val="single" w:sz="4" w:space="0" w:color="auto"/>
            </w:tcBorders>
            <w:noWrap/>
            <w:vAlign w:val="bottom"/>
            <w:hideMark/>
          </w:tcPr>
          <w:p w14:paraId="299E996D"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542,751</w:t>
            </w:r>
          </w:p>
        </w:tc>
        <w:tc>
          <w:tcPr>
            <w:tcW w:w="351" w:type="pct"/>
            <w:tcBorders>
              <w:top w:val="nil"/>
              <w:left w:val="nil"/>
              <w:bottom w:val="single" w:sz="4" w:space="0" w:color="auto"/>
              <w:right w:val="single" w:sz="4" w:space="0" w:color="auto"/>
            </w:tcBorders>
            <w:noWrap/>
            <w:vAlign w:val="bottom"/>
            <w:hideMark/>
          </w:tcPr>
          <w:p w14:paraId="4470ACE9"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420,457</w:t>
            </w:r>
          </w:p>
        </w:tc>
        <w:tc>
          <w:tcPr>
            <w:tcW w:w="351" w:type="pct"/>
            <w:tcBorders>
              <w:top w:val="nil"/>
              <w:left w:val="nil"/>
              <w:bottom w:val="single" w:sz="4" w:space="0" w:color="auto"/>
              <w:right w:val="single" w:sz="4" w:space="0" w:color="auto"/>
            </w:tcBorders>
            <w:noWrap/>
            <w:vAlign w:val="bottom"/>
            <w:hideMark/>
          </w:tcPr>
          <w:p w14:paraId="31A636F8"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394,879</w:t>
            </w:r>
          </w:p>
        </w:tc>
      </w:tr>
      <w:tr w:rsidR="00C64F6A" w:rsidRPr="002306CB" w14:paraId="043049EB" w14:textId="77777777" w:rsidTr="009463F3">
        <w:trPr>
          <w:trHeight w:val="300"/>
        </w:trPr>
        <w:tc>
          <w:tcPr>
            <w:tcW w:w="869" w:type="pct"/>
            <w:tcBorders>
              <w:top w:val="nil"/>
              <w:left w:val="single" w:sz="4" w:space="0" w:color="auto"/>
              <w:bottom w:val="single" w:sz="4" w:space="0" w:color="auto"/>
              <w:right w:val="single" w:sz="4" w:space="0" w:color="auto"/>
            </w:tcBorders>
            <w:noWrap/>
            <w:vAlign w:val="bottom"/>
            <w:hideMark/>
          </w:tcPr>
          <w:p w14:paraId="628E321E"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Net Profit Margin</w:t>
            </w:r>
          </w:p>
        </w:tc>
        <w:tc>
          <w:tcPr>
            <w:tcW w:w="1088" w:type="pct"/>
            <w:tcBorders>
              <w:top w:val="nil"/>
              <w:left w:val="nil"/>
              <w:bottom w:val="single" w:sz="4" w:space="0" w:color="auto"/>
              <w:right w:val="single" w:sz="4" w:space="0" w:color="auto"/>
            </w:tcBorders>
            <w:noWrap/>
            <w:vAlign w:val="bottom"/>
            <w:hideMark/>
          </w:tcPr>
          <w:p w14:paraId="04259446"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Net Income / Net Sales</w:t>
            </w:r>
          </w:p>
        </w:tc>
        <w:tc>
          <w:tcPr>
            <w:tcW w:w="783" w:type="pct"/>
            <w:tcBorders>
              <w:top w:val="nil"/>
              <w:left w:val="nil"/>
              <w:bottom w:val="single" w:sz="4" w:space="0" w:color="auto"/>
              <w:right w:val="single" w:sz="4" w:space="0" w:color="auto"/>
            </w:tcBorders>
            <w:noWrap/>
            <w:vAlign w:val="bottom"/>
            <w:hideMark/>
          </w:tcPr>
          <w:p w14:paraId="30B60012"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Net Income (Loss)</w:t>
            </w:r>
          </w:p>
        </w:tc>
        <w:tc>
          <w:tcPr>
            <w:tcW w:w="810" w:type="pct"/>
            <w:tcBorders>
              <w:top w:val="nil"/>
              <w:left w:val="nil"/>
              <w:bottom w:val="single" w:sz="4" w:space="0" w:color="auto"/>
              <w:right w:val="single" w:sz="4" w:space="0" w:color="auto"/>
            </w:tcBorders>
            <w:noWrap/>
            <w:vAlign w:val="bottom"/>
            <w:hideMark/>
          </w:tcPr>
          <w:p w14:paraId="512D86AF"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38,572</w:t>
            </w:r>
          </w:p>
        </w:tc>
        <w:tc>
          <w:tcPr>
            <w:tcW w:w="373" w:type="pct"/>
            <w:tcBorders>
              <w:top w:val="nil"/>
              <w:left w:val="nil"/>
              <w:bottom w:val="single" w:sz="4" w:space="0" w:color="auto"/>
              <w:right w:val="single" w:sz="4" w:space="0" w:color="auto"/>
            </w:tcBorders>
            <w:noWrap/>
            <w:vAlign w:val="bottom"/>
            <w:hideMark/>
          </w:tcPr>
          <w:p w14:paraId="5A94C0BD"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5,301</w:t>
            </w:r>
          </w:p>
        </w:tc>
        <w:tc>
          <w:tcPr>
            <w:tcW w:w="373" w:type="pct"/>
            <w:tcBorders>
              <w:top w:val="nil"/>
              <w:left w:val="nil"/>
              <w:bottom w:val="single" w:sz="4" w:space="0" w:color="auto"/>
              <w:right w:val="single" w:sz="4" w:space="0" w:color="auto"/>
            </w:tcBorders>
            <w:noWrap/>
            <w:vAlign w:val="bottom"/>
            <w:hideMark/>
          </w:tcPr>
          <w:p w14:paraId="17B2F259"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407</w:t>
            </w:r>
          </w:p>
        </w:tc>
        <w:tc>
          <w:tcPr>
            <w:tcW w:w="351" w:type="pct"/>
            <w:tcBorders>
              <w:top w:val="nil"/>
              <w:left w:val="nil"/>
              <w:bottom w:val="single" w:sz="4" w:space="0" w:color="auto"/>
              <w:right w:val="single" w:sz="4" w:space="0" w:color="auto"/>
            </w:tcBorders>
            <w:noWrap/>
            <w:vAlign w:val="bottom"/>
            <w:hideMark/>
          </w:tcPr>
          <w:p w14:paraId="4707F216"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-98,238</w:t>
            </w:r>
          </w:p>
        </w:tc>
        <w:tc>
          <w:tcPr>
            <w:tcW w:w="351" w:type="pct"/>
            <w:tcBorders>
              <w:top w:val="nil"/>
              <w:left w:val="nil"/>
              <w:bottom w:val="single" w:sz="4" w:space="0" w:color="auto"/>
              <w:right w:val="single" w:sz="4" w:space="0" w:color="auto"/>
            </w:tcBorders>
            <w:noWrap/>
            <w:vAlign w:val="bottom"/>
            <w:hideMark/>
          </w:tcPr>
          <w:p w14:paraId="16DF00D9"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-24,029</w:t>
            </w:r>
          </w:p>
        </w:tc>
      </w:tr>
      <w:tr w:rsidR="00C64F6A" w:rsidRPr="002306CB" w14:paraId="64ADFF03" w14:textId="77777777" w:rsidTr="009463F3">
        <w:trPr>
          <w:trHeight w:val="300"/>
        </w:trPr>
        <w:tc>
          <w:tcPr>
            <w:tcW w:w="869" w:type="pct"/>
            <w:tcBorders>
              <w:top w:val="nil"/>
              <w:left w:val="single" w:sz="4" w:space="0" w:color="auto"/>
              <w:bottom w:val="single" w:sz="4" w:space="0" w:color="auto"/>
              <w:right w:val="single" w:sz="4" w:space="0" w:color="auto"/>
            </w:tcBorders>
            <w:noWrap/>
            <w:vAlign w:val="bottom"/>
            <w:hideMark/>
          </w:tcPr>
          <w:p w14:paraId="4B9081FB"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 </w:t>
            </w:r>
          </w:p>
        </w:tc>
        <w:tc>
          <w:tcPr>
            <w:tcW w:w="1088" w:type="pct"/>
            <w:tcBorders>
              <w:top w:val="nil"/>
              <w:left w:val="nil"/>
              <w:bottom w:val="single" w:sz="4" w:space="0" w:color="auto"/>
              <w:right w:val="single" w:sz="4" w:space="0" w:color="auto"/>
            </w:tcBorders>
            <w:noWrap/>
            <w:vAlign w:val="bottom"/>
            <w:hideMark/>
          </w:tcPr>
          <w:p w14:paraId="01D74A36"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 </w:t>
            </w:r>
          </w:p>
        </w:tc>
        <w:tc>
          <w:tcPr>
            <w:tcW w:w="783" w:type="pct"/>
            <w:tcBorders>
              <w:top w:val="nil"/>
              <w:left w:val="nil"/>
              <w:bottom w:val="single" w:sz="4" w:space="0" w:color="auto"/>
              <w:right w:val="single" w:sz="4" w:space="0" w:color="auto"/>
            </w:tcBorders>
            <w:noWrap/>
            <w:vAlign w:val="bottom"/>
            <w:hideMark/>
          </w:tcPr>
          <w:p w14:paraId="3B46ACCB"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Revenue (Net Sales)</w:t>
            </w:r>
          </w:p>
        </w:tc>
        <w:tc>
          <w:tcPr>
            <w:tcW w:w="810" w:type="pct"/>
            <w:tcBorders>
              <w:top w:val="nil"/>
              <w:left w:val="nil"/>
              <w:bottom w:val="single" w:sz="4" w:space="0" w:color="auto"/>
              <w:right w:val="single" w:sz="4" w:space="0" w:color="auto"/>
            </w:tcBorders>
            <w:noWrap/>
            <w:vAlign w:val="bottom"/>
            <w:hideMark/>
          </w:tcPr>
          <w:p w14:paraId="215FC3EA"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614,680</w:t>
            </w:r>
          </w:p>
        </w:tc>
        <w:tc>
          <w:tcPr>
            <w:tcW w:w="373" w:type="pct"/>
            <w:tcBorders>
              <w:top w:val="nil"/>
              <w:left w:val="nil"/>
              <w:bottom w:val="single" w:sz="4" w:space="0" w:color="auto"/>
              <w:right w:val="single" w:sz="4" w:space="0" w:color="auto"/>
            </w:tcBorders>
            <w:noWrap/>
            <w:vAlign w:val="bottom"/>
            <w:hideMark/>
          </w:tcPr>
          <w:p w14:paraId="71EB9C28"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601,602</w:t>
            </w:r>
          </w:p>
        </w:tc>
        <w:tc>
          <w:tcPr>
            <w:tcW w:w="373" w:type="pct"/>
            <w:tcBorders>
              <w:top w:val="nil"/>
              <w:left w:val="nil"/>
              <w:bottom w:val="single" w:sz="4" w:space="0" w:color="auto"/>
              <w:right w:val="single" w:sz="4" w:space="0" w:color="auto"/>
            </w:tcBorders>
            <w:noWrap/>
            <w:vAlign w:val="bottom"/>
            <w:hideMark/>
          </w:tcPr>
          <w:p w14:paraId="76D2948D"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542,751</w:t>
            </w:r>
          </w:p>
        </w:tc>
        <w:tc>
          <w:tcPr>
            <w:tcW w:w="351" w:type="pct"/>
            <w:tcBorders>
              <w:top w:val="nil"/>
              <w:left w:val="nil"/>
              <w:bottom w:val="single" w:sz="4" w:space="0" w:color="auto"/>
              <w:right w:val="single" w:sz="4" w:space="0" w:color="auto"/>
            </w:tcBorders>
            <w:noWrap/>
            <w:vAlign w:val="bottom"/>
            <w:hideMark/>
          </w:tcPr>
          <w:p w14:paraId="0799E654"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420,457</w:t>
            </w:r>
          </w:p>
        </w:tc>
        <w:tc>
          <w:tcPr>
            <w:tcW w:w="351" w:type="pct"/>
            <w:tcBorders>
              <w:top w:val="nil"/>
              <w:left w:val="nil"/>
              <w:bottom w:val="single" w:sz="4" w:space="0" w:color="auto"/>
              <w:right w:val="single" w:sz="4" w:space="0" w:color="auto"/>
            </w:tcBorders>
            <w:noWrap/>
            <w:vAlign w:val="bottom"/>
            <w:hideMark/>
          </w:tcPr>
          <w:p w14:paraId="3625D6CB"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394,879</w:t>
            </w:r>
          </w:p>
        </w:tc>
      </w:tr>
      <w:tr w:rsidR="00C64F6A" w:rsidRPr="002306CB" w14:paraId="350C7F91" w14:textId="77777777" w:rsidTr="009463F3">
        <w:trPr>
          <w:trHeight w:val="300"/>
        </w:trPr>
        <w:tc>
          <w:tcPr>
            <w:tcW w:w="869" w:type="pct"/>
            <w:tcBorders>
              <w:top w:val="nil"/>
              <w:left w:val="single" w:sz="4" w:space="0" w:color="auto"/>
              <w:bottom w:val="single" w:sz="4" w:space="0" w:color="auto"/>
              <w:right w:val="single" w:sz="4" w:space="0" w:color="auto"/>
            </w:tcBorders>
            <w:noWrap/>
            <w:vAlign w:val="bottom"/>
            <w:hideMark/>
          </w:tcPr>
          <w:p w14:paraId="021D0B0F"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Return on Assets (ROA)</w:t>
            </w:r>
          </w:p>
        </w:tc>
        <w:tc>
          <w:tcPr>
            <w:tcW w:w="1088" w:type="pct"/>
            <w:tcBorders>
              <w:top w:val="nil"/>
              <w:left w:val="nil"/>
              <w:bottom w:val="single" w:sz="4" w:space="0" w:color="auto"/>
              <w:right w:val="single" w:sz="4" w:space="0" w:color="auto"/>
            </w:tcBorders>
            <w:noWrap/>
            <w:vAlign w:val="bottom"/>
            <w:hideMark/>
          </w:tcPr>
          <w:p w14:paraId="2F3DE051"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Net Income / Total Assets</w:t>
            </w:r>
          </w:p>
        </w:tc>
        <w:tc>
          <w:tcPr>
            <w:tcW w:w="783" w:type="pct"/>
            <w:tcBorders>
              <w:top w:val="nil"/>
              <w:left w:val="nil"/>
              <w:bottom w:val="single" w:sz="4" w:space="0" w:color="auto"/>
              <w:right w:val="single" w:sz="4" w:space="0" w:color="auto"/>
            </w:tcBorders>
            <w:noWrap/>
            <w:vAlign w:val="bottom"/>
            <w:hideMark/>
          </w:tcPr>
          <w:p w14:paraId="73D36129"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Net Income (Loss)</w:t>
            </w:r>
          </w:p>
        </w:tc>
        <w:tc>
          <w:tcPr>
            <w:tcW w:w="810" w:type="pct"/>
            <w:tcBorders>
              <w:top w:val="nil"/>
              <w:left w:val="nil"/>
              <w:bottom w:val="single" w:sz="4" w:space="0" w:color="auto"/>
              <w:right w:val="single" w:sz="4" w:space="0" w:color="auto"/>
            </w:tcBorders>
            <w:noWrap/>
            <w:vAlign w:val="bottom"/>
            <w:hideMark/>
          </w:tcPr>
          <w:p w14:paraId="0F435BA8"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38,572</w:t>
            </w:r>
          </w:p>
        </w:tc>
        <w:tc>
          <w:tcPr>
            <w:tcW w:w="373" w:type="pct"/>
            <w:tcBorders>
              <w:top w:val="nil"/>
              <w:left w:val="nil"/>
              <w:bottom w:val="single" w:sz="4" w:space="0" w:color="auto"/>
              <w:right w:val="single" w:sz="4" w:space="0" w:color="auto"/>
            </w:tcBorders>
            <w:noWrap/>
            <w:vAlign w:val="bottom"/>
            <w:hideMark/>
          </w:tcPr>
          <w:p w14:paraId="261FF5F4"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5,301</w:t>
            </w:r>
          </w:p>
        </w:tc>
        <w:tc>
          <w:tcPr>
            <w:tcW w:w="373" w:type="pct"/>
            <w:tcBorders>
              <w:top w:val="nil"/>
              <w:left w:val="nil"/>
              <w:bottom w:val="single" w:sz="4" w:space="0" w:color="auto"/>
              <w:right w:val="single" w:sz="4" w:space="0" w:color="auto"/>
            </w:tcBorders>
            <w:noWrap/>
            <w:vAlign w:val="bottom"/>
            <w:hideMark/>
          </w:tcPr>
          <w:p w14:paraId="332B54C7"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407</w:t>
            </w:r>
          </w:p>
        </w:tc>
        <w:tc>
          <w:tcPr>
            <w:tcW w:w="351" w:type="pct"/>
            <w:tcBorders>
              <w:top w:val="nil"/>
              <w:left w:val="nil"/>
              <w:bottom w:val="single" w:sz="4" w:space="0" w:color="auto"/>
              <w:right w:val="single" w:sz="4" w:space="0" w:color="auto"/>
            </w:tcBorders>
            <w:noWrap/>
            <w:vAlign w:val="bottom"/>
            <w:hideMark/>
          </w:tcPr>
          <w:p w14:paraId="2060268B"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-98,238</w:t>
            </w:r>
          </w:p>
        </w:tc>
        <w:tc>
          <w:tcPr>
            <w:tcW w:w="351" w:type="pct"/>
            <w:tcBorders>
              <w:top w:val="nil"/>
              <w:left w:val="nil"/>
              <w:bottom w:val="single" w:sz="4" w:space="0" w:color="auto"/>
              <w:right w:val="single" w:sz="4" w:space="0" w:color="auto"/>
            </w:tcBorders>
            <w:noWrap/>
            <w:vAlign w:val="bottom"/>
            <w:hideMark/>
          </w:tcPr>
          <w:p w14:paraId="23B36A94"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-24,029</w:t>
            </w:r>
          </w:p>
        </w:tc>
      </w:tr>
      <w:tr w:rsidR="00C64F6A" w:rsidRPr="002306CB" w14:paraId="62CD85A7" w14:textId="77777777" w:rsidTr="009463F3">
        <w:trPr>
          <w:trHeight w:val="300"/>
        </w:trPr>
        <w:tc>
          <w:tcPr>
            <w:tcW w:w="869" w:type="pct"/>
            <w:tcBorders>
              <w:top w:val="nil"/>
              <w:left w:val="single" w:sz="4" w:space="0" w:color="auto"/>
              <w:bottom w:val="single" w:sz="4" w:space="0" w:color="auto"/>
              <w:right w:val="single" w:sz="4" w:space="0" w:color="auto"/>
            </w:tcBorders>
            <w:noWrap/>
            <w:vAlign w:val="bottom"/>
            <w:hideMark/>
          </w:tcPr>
          <w:p w14:paraId="3B86A250"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 </w:t>
            </w:r>
          </w:p>
        </w:tc>
        <w:tc>
          <w:tcPr>
            <w:tcW w:w="1088" w:type="pct"/>
            <w:tcBorders>
              <w:top w:val="nil"/>
              <w:left w:val="nil"/>
              <w:bottom w:val="single" w:sz="4" w:space="0" w:color="auto"/>
              <w:right w:val="single" w:sz="4" w:space="0" w:color="auto"/>
            </w:tcBorders>
            <w:noWrap/>
            <w:vAlign w:val="bottom"/>
            <w:hideMark/>
          </w:tcPr>
          <w:p w14:paraId="370D993A"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 </w:t>
            </w:r>
          </w:p>
        </w:tc>
        <w:tc>
          <w:tcPr>
            <w:tcW w:w="783" w:type="pct"/>
            <w:tcBorders>
              <w:top w:val="nil"/>
              <w:left w:val="nil"/>
              <w:bottom w:val="single" w:sz="4" w:space="0" w:color="auto"/>
              <w:right w:val="single" w:sz="4" w:space="0" w:color="auto"/>
            </w:tcBorders>
            <w:noWrap/>
            <w:vAlign w:val="bottom"/>
            <w:hideMark/>
          </w:tcPr>
          <w:p w14:paraId="1FBC0876"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Total Assets</w:t>
            </w:r>
          </w:p>
        </w:tc>
        <w:tc>
          <w:tcPr>
            <w:tcW w:w="810" w:type="pct"/>
            <w:tcBorders>
              <w:top w:val="nil"/>
              <w:left w:val="nil"/>
              <w:bottom w:val="single" w:sz="4" w:space="0" w:color="auto"/>
              <w:right w:val="single" w:sz="4" w:space="0" w:color="auto"/>
            </w:tcBorders>
            <w:noWrap/>
            <w:vAlign w:val="bottom"/>
            <w:hideMark/>
          </w:tcPr>
          <w:p w14:paraId="0B9D47CD"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510,290</w:t>
            </w:r>
          </w:p>
        </w:tc>
        <w:tc>
          <w:tcPr>
            <w:tcW w:w="373" w:type="pct"/>
            <w:tcBorders>
              <w:top w:val="nil"/>
              <w:left w:val="nil"/>
              <w:bottom w:val="single" w:sz="4" w:space="0" w:color="auto"/>
              <w:right w:val="single" w:sz="4" w:space="0" w:color="auto"/>
            </w:tcBorders>
            <w:noWrap/>
            <w:vAlign w:val="bottom"/>
            <w:hideMark/>
          </w:tcPr>
          <w:p w14:paraId="2BD8280A"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510,348</w:t>
            </w:r>
          </w:p>
        </w:tc>
        <w:tc>
          <w:tcPr>
            <w:tcW w:w="373" w:type="pct"/>
            <w:tcBorders>
              <w:top w:val="nil"/>
              <w:left w:val="nil"/>
              <w:bottom w:val="single" w:sz="4" w:space="0" w:color="auto"/>
              <w:right w:val="single" w:sz="4" w:space="0" w:color="auto"/>
            </w:tcBorders>
            <w:noWrap/>
            <w:vAlign w:val="bottom"/>
            <w:hideMark/>
          </w:tcPr>
          <w:p w14:paraId="1E84D3B0"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504,163</w:t>
            </w:r>
          </w:p>
        </w:tc>
        <w:tc>
          <w:tcPr>
            <w:tcW w:w="351" w:type="pct"/>
            <w:tcBorders>
              <w:top w:val="nil"/>
              <w:left w:val="nil"/>
              <w:bottom w:val="single" w:sz="4" w:space="0" w:color="auto"/>
              <w:right w:val="single" w:sz="4" w:space="0" w:color="auto"/>
            </w:tcBorders>
            <w:noWrap/>
            <w:vAlign w:val="bottom"/>
            <w:hideMark/>
          </w:tcPr>
          <w:p w14:paraId="68B9C86C"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355,872</w:t>
            </w:r>
          </w:p>
        </w:tc>
        <w:tc>
          <w:tcPr>
            <w:tcW w:w="351" w:type="pct"/>
            <w:tcBorders>
              <w:top w:val="nil"/>
              <w:left w:val="nil"/>
              <w:bottom w:val="single" w:sz="4" w:space="0" w:color="auto"/>
              <w:right w:val="single" w:sz="4" w:space="0" w:color="auto"/>
            </w:tcBorders>
            <w:noWrap/>
            <w:vAlign w:val="bottom"/>
            <w:hideMark/>
          </w:tcPr>
          <w:p w14:paraId="3A4ACDFF"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323,354</w:t>
            </w:r>
          </w:p>
        </w:tc>
      </w:tr>
      <w:tr w:rsidR="00C64F6A" w:rsidRPr="002306CB" w14:paraId="650FDB74" w14:textId="77777777" w:rsidTr="009463F3">
        <w:trPr>
          <w:trHeight w:val="300"/>
        </w:trPr>
        <w:tc>
          <w:tcPr>
            <w:tcW w:w="869" w:type="pct"/>
            <w:tcBorders>
              <w:top w:val="nil"/>
              <w:left w:val="single" w:sz="4" w:space="0" w:color="auto"/>
              <w:bottom w:val="single" w:sz="4" w:space="0" w:color="auto"/>
              <w:right w:val="single" w:sz="4" w:space="0" w:color="auto"/>
            </w:tcBorders>
            <w:noWrap/>
            <w:vAlign w:val="bottom"/>
            <w:hideMark/>
          </w:tcPr>
          <w:p w14:paraId="018D4598"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Return on Equity (ROE)</w:t>
            </w:r>
          </w:p>
        </w:tc>
        <w:tc>
          <w:tcPr>
            <w:tcW w:w="1088" w:type="pct"/>
            <w:tcBorders>
              <w:top w:val="nil"/>
              <w:left w:val="nil"/>
              <w:bottom w:val="single" w:sz="4" w:space="0" w:color="auto"/>
              <w:right w:val="single" w:sz="4" w:space="0" w:color="auto"/>
            </w:tcBorders>
            <w:noWrap/>
            <w:vAlign w:val="bottom"/>
            <w:hideMark/>
          </w:tcPr>
          <w:p w14:paraId="23B3773E"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Net Income / Equity</w:t>
            </w:r>
          </w:p>
        </w:tc>
        <w:tc>
          <w:tcPr>
            <w:tcW w:w="783" w:type="pct"/>
            <w:tcBorders>
              <w:top w:val="nil"/>
              <w:left w:val="nil"/>
              <w:bottom w:val="single" w:sz="4" w:space="0" w:color="auto"/>
              <w:right w:val="single" w:sz="4" w:space="0" w:color="auto"/>
            </w:tcBorders>
            <w:noWrap/>
            <w:vAlign w:val="bottom"/>
            <w:hideMark/>
          </w:tcPr>
          <w:p w14:paraId="36F240A5"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Net Income (Loss)</w:t>
            </w:r>
          </w:p>
        </w:tc>
        <w:tc>
          <w:tcPr>
            <w:tcW w:w="810" w:type="pct"/>
            <w:tcBorders>
              <w:top w:val="nil"/>
              <w:left w:val="nil"/>
              <w:bottom w:val="single" w:sz="4" w:space="0" w:color="auto"/>
              <w:right w:val="single" w:sz="4" w:space="0" w:color="auto"/>
            </w:tcBorders>
            <w:noWrap/>
            <w:vAlign w:val="bottom"/>
            <w:hideMark/>
          </w:tcPr>
          <w:p w14:paraId="06A6C4FC"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38,572</w:t>
            </w:r>
          </w:p>
        </w:tc>
        <w:tc>
          <w:tcPr>
            <w:tcW w:w="373" w:type="pct"/>
            <w:tcBorders>
              <w:top w:val="nil"/>
              <w:left w:val="nil"/>
              <w:bottom w:val="single" w:sz="4" w:space="0" w:color="auto"/>
              <w:right w:val="single" w:sz="4" w:space="0" w:color="auto"/>
            </w:tcBorders>
            <w:noWrap/>
            <w:vAlign w:val="bottom"/>
            <w:hideMark/>
          </w:tcPr>
          <w:p w14:paraId="46DFBAD5"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5,301</w:t>
            </w:r>
          </w:p>
        </w:tc>
        <w:tc>
          <w:tcPr>
            <w:tcW w:w="373" w:type="pct"/>
            <w:tcBorders>
              <w:top w:val="nil"/>
              <w:left w:val="nil"/>
              <w:bottom w:val="single" w:sz="4" w:space="0" w:color="auto"/>
              <w:right w:val="single" w:sz="4" w:space="0" w:color="auto"/>
            </w:tcBorders>
            <w:noWrap/>
            <w:vAlign w:val="bottom"/>
            <w:hideMark/>
          </w:tcPr>
          <w:p w14:paraId="100F5B91"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407</w:t>
            </w:r>
          </w:p>
        </w:tc>
        <w:tc>
          <w:tcPr>
            <w:tcW w:w="351" w:type="pct"/>
            <w:tcBorders>
              <w:top w:val="nil"/>
              <w:left w:val="nil"/>
              <w:bottom w:val="single" w:sz="4" w:space="0" w:color="auto"/>
              <w:right w:val="single" w:sz="4" w:space="0" w:color="auto"/>
            </w:tcBorders>
            <w:noWrap/>
            <w:vAlign w:val="bottom"/>
            <w:hideMark/>
          </w:tcPr>
          <w:p w14:paraId="38388984"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-98,238</w:t>
            </w:r>
          </w:p>
        </w:tc>
        <w:tc>
          <w:tcPr>
            <w:tcW w:w="351" w:type="pct"/>
            <w:tcBorders>
              <w:top w:val="nil"/>
              <w:left w:val="nil"/>
              <w:bottom w:val="single" w:sz="4" w:space="0" w:color="auto"/>
              <w:right w:val="single" w:sz="4" w:space="0" w:color="auto"/>
            </w:tcBorders>
            <w:noWrap/>
            <w:vAlign w:val="bottom"/>
            <w:hideMark/>
          </w:tcPr>
          <w:p w14:paraId="6C005D80"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-24,029</w:t>
            </w:r>
          </w:p>
        </w:tc>
      </w:tr>
      <w:tr w:rsidR="00C64F6A" w:rsidRPr="002306CB" w14:paraId="2233D05E" w14:textId="77777777" w:rsidTr="009463F3">
        <w:trPr>
          <w:trHeight w:val="300"/>
        </w:trPr>
        <w:tc>
          <w:tcPr>
            <w:tcW w:w="869" w:type="pct"/>
            <w:tcBorders>
              <w:top w:val="nil"/>
              <w:left w:val="single" w:sz="4" w:space="0" w:color="auto"/>
              <w:bottom w:val="single" w:sz="4" w:space="0" w:color="auto"/>
              <w:right w:val="single" w:sz="4" w:space="0" w:color="auto"/>
            </w:tcBorders>
            <w:noWrap/>
            <w:vAlign w:val="bottom"/>
            <w:hideMark/>
          </w:tcPr>
          <w:p w14:paraId="2C62D6F8"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 </w:t>
            </w:r>
          </w:p>
        </w:tc>
        <w:tc>
          <w:tcPr>
            <w:tcW w:w="1088" w:type="pct"/>
            <w:tcBorders>
              <w:top w:val="nil"/>
              <w:left w:val="nil"/>
              <w:bottom w:val="single" w:sz="4" w:space="0" w:color="auto"/>
              <w:right w:val="single" w:sz="4" w:space="0" w:color="auto"/>
            </w:tcBorders>
            <w:noWrap/>
            <w:vAlign w:val="bottom"/>
            <w:hideMark/>
          </w:tcPr>
          <w:p w14:paraId="66DDBC29"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 </w:t>
            </w:r>
          </w:p>
        </w:tc>
        <w:tc>
          <w:tcPr>
            <w:tcW w:w="783" w:type="pct"/>
            <w:tcBorders>
              <w:top w:val="nil"/>
              <w:left w:val="nil"/>
              <w:bottom w:val="single" w:sz="4" w:space="0" w:color="auto"/>
              <w:right w:val="single" w:sz="4" w:space="0" w:color="auto"/>
            </w:tcBorders>
            <w:noWrap/>
            <w:vAlign w:val="bottom"/>
            <w:hideMark/>
          </w:tcPr>
          <w:p w14:paraId="63886974"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Total Equity</w:t>
            </w:r>
          </w:p>
        </w:tc>
        <w:tc>
          <w:tcPr>
            <w:tcW w:w="810" w:type="pct"/>
            <w:tcBorders>
              <w:top w:val="nil"/>
              <w:left w:val="nil"/>
              <w:bottom w:val="single" w:sz="4" w:space="0" w:color="auto"/>
              <w:right w:val="single" w:sz="4" w:space="0" w:color="auto"/>
            </w:tcBorders>
            <w:noWrap/>
            <w:vAlign w:val="bottom"/>
            <w:hideMark/>
          </w:tcPr>
          <w:p w14:paraId="03426AF3"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313,301</w:t>
            </w:r>
          </w:p>
        </w:tc>
        <w:tc>
          <w:tcPr>
            <w:tcW w:w="373" w:type="pct"/>
            <w:tcBorders>
              <w:top w:val="nil"/>
              <w:left w:val="nil"/>
              <w:bottom w:val="single" w:sz="4" w:space="0" w:color="auto"/>
              <w:right w:val="single" w:sz="4" w:space="0" w:color="auto"/>
            </w:tcBorders>
            <w:noWrap/>
            <w:vAlign w:val="bottom"/>
            <w:hideMark/>
          </w:tcPr>
          <w:p w14:paraId="260D9DA8"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275,949</w:t>
            </w:r>
          </w:p>
        </w:tc>
        <w:tc>
          <w:tcPr>
            <w:tcW w:w="373" w:type="pct"/>
            <w:tcBorders>
              <w:top w:val="nil"/>
              <w:left w:val="nil"/>
              <w:bottom w:val="single" w:sz="4" w:space="0" w:color="auto"/>
              <w:right w:val="single" w:sz="4" w:space="0" w:color="auto"/>
            </w:tcBorders>
            <w:noWrap/>
            <w:vAlign w:val="bottom"/>
            <w:hideMark/>
          </w:tcPr>
          <w:p w14:paraId="73660468"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268,406</w:t>
            </w:r>
          </w:p>
        </w:tc>
        <w:tc>
          <w:tcPr>
            <w:tcW w:w="351" w:type="pct"/>
            <w:tcBorders>
              <w:top w:val="nil"/>
              <w:left w:val="nil"/>
              <w:bottom w:val="single" w:sz="4" w:space="0" w:color="auto"/>
              <w:right w:val="single" w:sz="4" w:space="0" w:color="auto"/>
            </w:tcBorders>
            <w:noWrap/>
            <w:vAlign w:val="bottom"/>
            <w:hideMark/>
          </w:tcPr>
          <w:p w14:paraId="2BC3FA7A"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178,920</w:t>
            </w:r>
          </w:p>
        </w:tc>
        <w:tc>
          <w:tcPr>
            <w:tcW w:w="351" w:type="pct"/>
            <w:tcBorders>
              <w:top w:val="nil"/>
              <w:left w:val="nil"/>
              <w:bottom w:val="single" w:sz="4" w:space="0" w:color="auto"/>
              <w:right w:val="single" w:sz="4" w:space="0" w:color="auto"/>
            </w:tcBorders>
            <w:noWrap/>
            <w:vAlign w:val="bottom"/>
            <w:hideMark/>
          </w:tcPr>
          <w:p w14:paraId="186CD4FE"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153,105</w:t>
            </w:r>
          </w:p>
        </w:tc>
      </w:tr>
      <w:tr w:rsidR="00C64F6A" w:rsidRPr="002306CB" w14:paraId="60FDB83F" w14:textId="77777777" w:rsidTr="009463F3">
        <w:trPr>
          <w:trHeight w:val="300"/>
        </w:trPr>
        <w:tc>
          <w:tcPr>
            <w:tcW w:w="869" w:type="pct"/>
            <w:tcBorders>
              <w:top w:val="nil"/>
              <w:left w:val="single" w:sz="4" w:space="0" w:color="auto"/>
              <w:bottom w:val="single" w:sz="4" w:space="0" w:color="auto"/>
              <w:right w:val="single" w:sz="4" w:space="0" w:color="auto"/>
            </w:tcBorders>
            <w:shd w:val="clear" w:color="000000" w:fill="CAEDFB"/>
            <w:noWrap/>
            <w:vAlign w:val="bottom"/>
            <w:hideMark/>
          </w:tcPr>
          <w:p w14:paraId="38CD738D" w14:textId="77777777" w:rsidR="00C64F6A" w:rsidRPr="002306CB" w:rsidRDefault="00C64F6A" w:rsidP="009463F3">
            <w:pPr>
              <w:spacing w:after="0" w:line="240" w:lineRule="auto"/>
              <w:jc w:val="left"/>
              <w:rPr>
                <w:rFonts w:ascii="Aptos Narrow" w:eastAsia="Times New Roman" w:hAnsi="Aptos Narrow" w:cs="Times New Roman"/>
                <w:b/>
                <w:bCs/>
                <w:color w:val="000000"/>
                <w:kern w:val="0"/>
                <w:sz w:val="22"/>
                <w:szCs w:val="22"/>
                <w:lang w:val="en-US"/>
                <w14:ligatures w14:val="none"/>
              </w:rPr>
            </w:pPr>
            <w:r w:rsidRPr="002306CB">
              <w:rPr>
                <w:rFonts w:ascii="Aptos Narrow" w:eastAsia="Times New Roman" w:hAnsi="Aptos Narrow" w:cs="Times New Roman"/>
                <w:b/>
                <w:bCs/>
                <w:color w:val="000000"/>
                <w:kern w:val="0"/>
                <w:sz w:val="22"/>
                <w:szCs w:val="22"/>
                <w:lang w:val="en-US"/>
                <w14:ligatures w14:val="none"/>
              </w:rPr>
              <w:t>Liquidity Ratios</w:t>
            </w:r>
          </w:p>
        </w:tc>
        <w:tc>
          <w:tcPr>
            <w:tcW w:w="1088" w:type="pct"/>
            <w:tcBorders>
              <w:top w:val="nil"/>
              <w:left w:val="nil"/>
              <w:bottom w:val="single" w:sz="4" w:space="0" w:color="auto"/>
              <w:right w:val="single" w:sz="4" w:space="0" w:color="auto"/>
            </w:tcBorders>
            <w:shd w:val="clear" w:color="000000" w:fill="CAEDFB"/>
            <w:noWrap/>
            <w:vAlign w:val="bottom"/>
            <w:hideMark/>
          </w:tcPr>
          <w:p w14:paraId="3CD6B40D" w14:textId="77777777" w:rsidR="00C64F6A" w:rsidRPr="002306CB" w:rsidRDefault="00C64F6A" w:rsidP="009463F3">
            <w:pPr>
              <w:spacing w:after="0" w:line="240" w:lineRule="auto"/>
              <w:jc w:val="left"/>
              <w:rPr>
                <w:rFonts w:ascii="Aptos Narrow" w:eastAsia="Times New Roman" w:hAnsi="Aptos Narrow" w:cs="Times New Roman"/>
                <w:b/>
                <w:bCs/>
                <w:color w:val="000000"/>
                <w:kern w:val="0"/>
                <w:sz w:val="22"/>
                <w:szCs w:val="22"/>
                <w:lang w:val="en-US"/>
                <w14:ligatures w14:val="none"/>
              </w:rPr>
            </w:pPr>
            <w:r w:rsidRPr="002306CB">
              <w:rPr>
                <w:rFonts w:ascii="Aptos Narrow" w:eastAsia="Times New Roman" w:hAnsi="Aptos Narrow" w:cs="Times New Roman"/>
                <w:b/>
                <w:bCs/>
                <w:color w:val="000000"/>
                <w:kern w:val="0"/>
                <w:sz w:val="22"/>
                <w:szCs w:val="22"/>
                <w:lang w:val="en-US"/>
                <w14:ligatures w14:val="none"/>
              </w:rPr>
              <w:t> </w:t>
            </w:r>
          </w:p>
        </w:tc>
        <w:tc>
          <w:tcPr>
            <w:tcW w:w="783" w:type="pct"/>
            <w:tcBorders>
              <w:top w:val="nil"/>
              <w:left w:val="nil"/>
              <w:bottom w:val="single" w:sz="4" w:space="0" w:color="auto"/>
              <w:right w:val="single" w:sz="4" w:space="0" w:color="auto"/>
            </w:tcBorders>
            <w:shd w:val="clear" w:color="000000" w:fill="CAEDFB"/>
            <w:noWrap/>
            <w:vAlign w:val="bottom"/>
            <w:hideMark/>
          </w:tcPr>
          <w:p w14:paraId="13C629AC" w14:textId="77777777" w:rsidR="00C64F6A" w:rsidRPr="002306CB" w:rsidRDefault="00C64F6A" w:rsidP="009463F3">
            <w:pPr>
              <w:spacing w:after="0" w:line="240" w:lineRule="auto"/>
              <w:jc w:val="left"/>
              <w:rPr>
                <w:rFonts w:ascii="Aptos Narrow" w:eastAsia="Times New Roman" w:hAnsi="Aptos Narrow" w:cs="Times New Roman"/>
                <w:b/>
                <w:bCs/>
                <w:color w:val="000000"/>
                <w:kern w:val="0"/>
                <w:sz w:val="22"/>
                <w:szCs w:val="22"/>
                <w:lang w:val="en-US"/>
                <w14:ligatures w14:val="none"/>
              </w:rPr>
            </w:pPr>
            <w:r w:rsidRPr="002306CB">
              <w:rPr>
                <w:rFonts w:ascii="Aptos Narrow" w:eastAsia="Times New Roman" w:hAnsi="Aptos Narrow" w:cs="Times New Roman"/>
                <w:b/>
                <w:bCs/>
                <w:color w:val="000000"/>
                <w:kern w:val="0"/>
                <w:sz w:val="22"/>
                <w:szCs w:val="22"/>
                <w:lang w:val="en-US"/>
                <w14:ligatures w14:val="none"/>
              </w:rPr>
              <w:t> </w:t>
            </w:r>
          </w:p>
        </w:tc>
        <w:tc>
          <w:tcPr>
            <w:tcW w:w="810" w:type="pct"/>
            <w:tcBorders>
              <w:top w:val="nil"/>
              <w:left w:val="nil"/>
              <w:bottom w:val="single" w:sz="4" w:space="0" w:color="auto"/>
              <w:right w:val="single" w:sz="4" w:space="0" w:color="auto"/>
            </w:tcBorders>
            <w:shd w:val="clear" w:color="000000" w:fill="CAEDFB"/>
            <w:noWrap/>
            <w:vAlign w:val="bottom"/>
            <w:hideMark/>
          </w:tcPr>
          <w:p w14:paraId="343961E2" w14:textId="77777777" w:rsidR="00C64F6A" w:rsidRPr="002306CB" w:rsidRDefault="00C64F6A" w:rsidP="009463F3">
            <w:pPr>
              <w:spacing w:after="0" w:line="240" w:lineRule="auto"/>
              <w:jc w:val="left"/>
              <w:rPr>
                <w:rFonts w:ascii="Aptos Narrow" w:eastAsia="Times New Roman" w:hAnsi="Aptos Narrow" w:cs="Times New Roman"/>
                <w:b/>
                <w:bCs/>
                <w:color w:val="000000"/>
                <w:kern w:val="0"/>
                <w:sz w:val="22"/>
                <w:szCs w:val="22"/>
                <w:lang w:val="en-US"/>
                <w14:ligatures w14:val="none"/>
              </w:rPr>
            </w:pPr>
            <w:r w:rsidRPr="002306CB">
              <w:rPr>
                <w:rFonts w:ascii="Aptos Narrow" w:eastAsia="Times New Roman" w:hAnsi="Aptos Narrow" w:cs="Times New Roman"/>
                <w:b/>
                <w:bCs/>
                <w:color w:val="000000"/>
                <w:kern w:val="0"/>
                <w:sz w:val="22"/>
                <w:szCs w:val="22"/>
                <w:lang w:val="en-US"/>
                <w14:ligatures w14:val="none"/>
              </w:rPr>
              <w:t> </w:t>
            </w:r>
          </w:p>
        </w:tc>
        <w:tc>
          <w:tcPr>
            <w:tcW w:w="373" w:type="pct"/>
            <w:tcBorders>
              <w:top w:val="nil"/>
              <w:left w:val="nil"/>
              <w:bottom w:val="single" w:sz="4" w:space="0" w:color="auto"/>
              <w:right w:val="single" w:sz="4" w:space="0" w:color="auto"/>
            </w:tcBorders>
            <w:shd w:val="clear" w:color="000000" w:fill="CAEDFB"/>
            <w:noWrap/>
            <w:vAlign w:val="bottom"/>
            <w:hideMark/>
          </w:tcPr>
          <w:p w14:paraId="186CF000" w14:textId="77777777" w:rsidR="00C64F6A" w:rsidRPr="002306CB" w:rsidRDefault="00C64F6A" w:rsidP="009463F3">
            <w:pPr>
              <w:spacing w:after="0" w:line="240" w:lineRule="auto"/>
              <w:jc w:val="left"/>
              <w:rPr>
                <w:rFonts w:ascii="Aptos Narrow" w:eastAsia="Times New Roman" w:hAnsi="Aptos Narrow" w:cs="Times New Roman"/>
                <w:b/>
                <w:bCs/>
                <w:color w:val="000000"/>
                <w:kern w:val="0"/>
                <w:sz w:val="22"/>
                <w:szCs w:val="22"/>
                <w:lang w:val="en-US"/>
                <w14:ligatures w14:val="none"/>
              </w:rPr>
            </w:pPr>
            <w:r w:rsidRPr="002306CB">
              <w:rPr>
                <w:rFonts w:ascii="Aptos Narrow" w:eastAsia="Times New Roman" w:hAnsi="Aptos Narrow" w:cs="Times New Roman"/>
                <w:b/>
                <w:bCs/>
                <w:color w:val="000000"/>
                <w:kern w:val="0"/>
                <w:sz w:val="22"/>
                <w:szCs w:val="22"/>
                <w:lang w:val="en-US"/>
                <w14:ligatures w14:val="none"/>
              </w:rPr>
              <w:t> </w:t>
            </w:r>
          </w:p>
        </w:tc>
        <w:tc>
          <w:tcPr>
            <w:tcW w:w="373" w:type="pct"/>
            <w:tcBorders>
              <w:top w:val="nil"/>
              <w:left w:val="nil"/>
              <w:bottom w:val="single" w:sz="4" w:space="0" w:color="auto"/>
              <w:right w:val="single" w:sz="4" w:space="0" w:color="auto"/>
            </w:tcBorders>
            <w:shd w:val="clear" w:color="000000" w:fill="CAEDFB"/>
            <w:noWrap/>
            <w:vAlign w:val="bottom"/>
            <w:hideMark/>
          </w:tcPr>
          <w:p w14:paraId="263FDBC3" w14:textId="77777777" w:rsidR="00C64F6A" w:rsidRPr="002306CB" w:rsidRDefault="00C64F6A" w:rsidP="009463F3">
            <w:pPr>
              <w:spacing w:after="0" w:line="240" w:lineRule="auto"/>
              <w:jc w:val="left"/>
              <w:rPr>
                <w:rFonts w:ascii="Aptos Narrow" w:eastAsia="Times New Roman" w:hAnsi="Aptos Narrow" w:cs="Times New Roman"/>
                <w:b/>
                <w:bCs/>
                <w:color w:val="000000"/>
                <w:kern w:val="0"/>
                <w:sz w:val="22"/>
                <w:szCs w:val="22"/>
                <w:lang w:val="en-US"/>
                <w14:ligatures w14:val="none"/>
              </w:rPr>
            </w:pPr>
            <w:r w:rsidRPr="002306CB">
              <w:rPr>
                <w:rFonts w:ascii="Aptos Narrow" w:eastAsia="Times New Roman" w:hAnsi="Aptos Narrow" w:cs="Times New Roman"/>
                <w:b/>
                <w:bCs/>
                <w:color w:val="000000"/>
                <w:kern w:val="0"/>
                <w:sz w:val="22"/>
                <w:szCs w:val="22"/>
                <w:lang w:val="en-US"/>
                <w14:ligatures w14:val="none"/>
              </w:rPr>
              <w:t> </w:t>
            </w:r>
          </w:p>
        </w:tc>
        <w:tc>
          <w:tcPr>
            <w:tcW w:w="351" w:type="pct"/>
            <w:tcBorders>
              <w:top w:val="nil"/>
              <w:left w:val="nil"/>
              <w:bottom w:val="single" w:sz="4" w:space="0" w:color="auto"/>
              <w:right w:val="single" w:sz="4" w:space="0" w:color="auto"/>
            </w:tcBorders>
            <w:shd w:val="clear" w:color="000000" w:fill="CAEDFB"/>
            <w:noWrap/>
            <w:vAlign w:val="bottom"/>
            <w:hideMark/>
          </w:tcPr>
          <w:p w14:paraId="7ADE7E4F" w14:textId="77777777" w:rsidR="00C64F6A" w:rsidRPr="002306CB" w:rsidRDefault="00C64F6A" w:rsidP="009463F3">
            <w:pPr>
              <w:spacing w:after="0" w:line="240" w:lineRule="auto"/>
              <w:jc w:val="left"/>
              <w:rPr>
                <w:rFonts w:ascii="Aptos Narrow" w:eastAsia="Times New Roman" w:hAnsi="Aptos Narrow" w:cs="Times New Roman"/>
                <w:b/>
                <w:bCs/>
                <w:color w:val="000000"/>
                <w:kern w:val="0"/>
                <w:sz w:val="22"/>
                <w:szCs w:val="22"/>
                <w:lang w:val="en-US"/>
                <w14:ligatures w14:val="none"/>
              </w:rPr>
            </w:pPr>
            <w:r w:rsidRPr="002306CB">
              <w:rPr>
                <w:rFonts w:ascii="Aptos Narrow" w:eastAsia="Times New Roman" w:hAnsi="Aptos Narrow" w:cs="Times New Roman"/>
                <w:b/>
                <w:bCs/>
                <w:color w:val="000000"/>
                <w:kern w:val="0"/>
                <w:sz w:val="22"/>
                <w:szCs w:val="22"/>
                <w:lang w:val="en-US"/>
                <w14:ligatures w14:val="none"/>
              </w:rPr>
              <w:t> </w:t>
            </w:r>
          </w:p>
        </w:tc>
        <w:tc>
          <w:tcPr>
            <w:tcW w:w="351" w:type="pct"/>
            <w:tcBorders>
              <w:top w:val="nil"/>
              <w:left w:val="nil"/>
              <w:bottom w:val="single" w:sz="4" w:space="0" w:color="auto"/>
              <w:right w:val="single" w:sz="4" w:space="0" w:color="auto"/>
            </w:tcBorders>
            <w:shd w:val="clear" w:color="000000" w:fill="CAEDFB"/>
            <w:noWrap/>
            <w:vAlign w:val="bottom"/>
            <w:hideMark/>
          </w:tcPr>
          <w:p w14:paraId="44A09EED" w14:textId="77777777" w:rsidR="00C64F6A" w:rsidRPr="002306CB" w:rsidRDefault="00C64F6A" w:rsidP="009463F3">
            <w:pPr>
              <w:spacing w:after="0" w:line="240" w:lineRule="auto"/>
              <w:jc w:val="left"/>
              <w:rPr>
                <w:rFonts w:ascii="Aptos Narrow" w:eastAsia="Times New Roman" w:hAnsi="Aptos Narrow" w:cs="Times New Roman"/>
                <w:b/>
                <w:bCs/>
                <w:color w:val="000000"/>
                <w:kern w:val="0"/>
                <w:sz w:val="22"/>
                <w:szCs w:val="22"/>
                <w:lang w:val="en-US"/>
                <w14:ligatures w14:val="none"/>
              </w:rPr>
            </w:pPr>
            <w:r w:rsidRPr="002306CB">
              <w:rPr>
                <w:rFonts w:ascii="Aptos Narrow" w:eastAsia="Times New Roman" w:hAnsi="Aptos Narrow" w:cs="Times New Roman"/>
                <w:b/>
                <w:bCs/>
                <w:color w:val="000000"/>
                <w:kern w:val="0"/>
                <w:sz w:val="22"/>
                <w:szCs w:val="22"/>
                <w:lang w:val="en-US"/>
                <w14:ligatures w14:val="none"/>
              </w:rPr>
              <w:t> </w:t>
            </w:r>
          </w:p>
        </w:tc>
      </w:tr>
      <w:tr w:rsidR="00C64F6A" w:rsidRPr="002306CB" w14:paraId="329FA3B4" w14:textId="77777777" w:rsidTr="009463F3">
        <w:trPr>
          <w:trHeight w:val="300"/>
        </w:trPr>
        <w:tc>
          <w:tcPr>
            <w:tcW w:w="869" w:type="pct"/>
            <w:tcBorders>
              <w:top w:val="nil"/>
              <w:left w:val="single" w:sz="4" w:space="0" w:color="auto"/>
              <w:bottom w:val="single" w:sz="4" w:space="0" w:color="auto"/>
              <w:right w:val="single" w:sz="4" w:space="0" w:color="auto"/>
            </w:tcBorders>
            <w:noWrap/>
            <w:vAlign w:val="bottom"/>
            <w:hideMark/>
          </w:tcPr>
          <w:p w14:paraId="0092340A"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Current Ratio</w:t>
            </w:r>
          </w:p>
        </w:tc>
        <w:tc>
          <w:tcPr>
            <w:tcW w:w="1088" w:type="pct"/>
            <w:tcBorders>
              <w:top w:val="nil"/>
              <w:left w:val="nil"/>
              <w:bottom w:val="single" w:sz="4" w:space="0" w:color="auto"/>
              <w:right w:val="single" w:sz="4" w:space="0" w:color="auto"/>
            </w:tcBorders>
            <w:noWrap/>
            <w:vAlign w:val="bottom"/>
            <w:hideMark/>
          </w:tcPr>
          <w:p w14:paraId="03E30D5F"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Current Assets / Current Liabilities</w:t>
            </w:r>
          </w:p>
        </w:tc>
        <w:tc>
          <w:tcPr>
            <w:tcW w:w="783" w:type="pct"/>
            <w:tcBorders>
              <w:top w:val="nil"/>
              <w:left w:val="nil"/>
              <w:bottom w:val="single" w:sz="4" w:space="0" w:color="auto"/>
              <w:right w:val="single" w:sz="4" w:space="0" w:color="auto"/>
            </w:tcBorders>
            <w:noWrap/>
            <w:vAlign w:val="bottom"/>
            <w:hideMark/>
          </w:tcPr>
          <w:p w14:paraId="3884AFA8"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Current Assets</w:t>
            </w:r>
          </w:p>
        </w:tc>
        <w:tc>
          <w:tcPr>
            <w:tcW w:w="810" w:type="pct"/>
            <w:tcBorders>
              <w:top w:val="nil"/>
              <w:left w:val="nil"/>
              <w:bottom w:val="single" w:sz="4" w:space="0" w:color="auto"/>
              <w:right w:val="single" w:sz="4" w:space="0" w:color="auto"/>
            </w:tcBorders>
            <w:noWrap/>
            <w:vAlign w:val="bottom"/>
            <w:hideMark/>
          </w:tcPr>
          <w:p w14:paraId="5553A391"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326,843</w:t>
            </w:r>
          </w:p>
        </w:tc>
        <w:tc>
          <w:tcPr>
            <w:tcW w:w="373" w:type="pct"/>
            <w:tcBorders>
              <w:top w:val="nil"/>
              <w:left w:val="nil"/>
              <w:bottom w:val="single" w:sz="4" w:space="0" w:color="auto"/>
              <w:right w:val="single" w:sz="4" w:space="0" w:color="auto"/>
            </w:tcBorders>
            <w:noWrap/>
            <w:vAlign w:val="bottom"/>
            <w:hideMark/>
          </w:tcPr>
          <w:p w14:paraId="04B6E2F9"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337,146</w:t>
            </w:r>
          </w:p>
        </w:tc>
        <w:tc>
          <w:tcPr>
            <w:tcW w:w="373" w:type="pct"/>
            <w:tcBorders>
              <w:top w:val="nil"/>
              <w:left w:val="nil"/>
              <w:bottom w:val="single" w:sz="4" w:space="0" w:color="auto"/>
              <w:right w:val="single" w:sz="4" w:space="0" w:color="auto"/>
            </w:tcBorders>
            <w:noWrap/>
            <w:vAlign w:val="bottom"/>
            <w:hideMark/>
          </w:tcPr>
          <w:p w14:paraId="772E1025"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338,040</w:t>
            </w:r>
          </w:p>
        </w:tc>
        <w:tc>
          <w:tcPr>
            <w:tcW w:w="351" w:type="pct"/>
            <w:tcBorders>
              <w:top w:val="nil"/>
              <w:left w:val="nil"/>
              <w:bottom w:val="single" w:sz="4" w:space="0" w:color="auto"/>
              <w:right w:val="single" w:sz="4" w:space="0" w:color="auto"/>
            </w:tcBorders>
            <w:noWrap/>
            <w:vAlign w:val="bottom"/>
            <w:hideMark/>
          </w:tcPr>
          <w:p w14:paraId="3D2E434B"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258,851</w:t>
            </w:r>
          </w:p>
        </w:tc>
        <w:tc>
          <w:tcPr>
            <w:tcW w:w="351" w:type="pct"/>
            <w:tcBorders>
              <w:top w:val="nil"/>
              <w:left w:val="nil"/>
              <w:bottom w:val="single" w:sz="4" w:space="0" w:color="auto"/>
              <w:right w:val="single" w:sz="4" w:space="0" w:color="auto"/>
            </w:tcBorders>
            <w:noWrap/>
            <w:vAlign w:val="bottom"/>
            <w:hideMark/>
          </w:tcPr>
          <w:p w14:paraId="32D864CC"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242,494</w:t>
            </w:r>
          </w:p>
        </w:tc>
      </w:tr>
      <w:tr w:rsidR="00C64F6A" w:rsidRPr="002306CB" w14:paraId="42183719" w14:textId="77777777" w:rsidTr="009463F3">
        <w:trPr>
          <w:trHeight w:val="300"/>
        </w:trPr>
        <w:tc>
          <w:tcPr>
            <w:tcW w:w="869" w:type="pct"/>
            <w:tcBorders>
              <w:top w:val="nil"/>
              <w:left w:val="single" w:sz="4" w:space="0" w:color="auto"/>
              <w:bottom w:val="single" w:sz="4" w:space="0" w:color="auto"/>
              <w:right w:val="single" w:sz="4" w:space="0" w:color="auto"/>
            </w:tcBorders>
            <w:noWrap/>
            <w:vAlign w:val="bottom"/>
            <w:hideMark/>
          </w:tcPr>
          <w:p w14:paraId="3157EFB5"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 </w:t>
            </w:r>
          </w:p>
        </w:tc>
        <w:tc>
          <w:tcPr>
            <w:tcW w:w="1088" w:type="pct"/>
            <w:tcBorders>
              <w:top w:val="nil"/>
              <w:left w:val="nil"/>
              <w:bottom w:val="single" w:sz="4" w:space="0" w:color="auto"/>
              <w:right w:val="single" w:sz="4" w:space="0" w:color="auto"/>
            </w:tcBorders>
            <w:noWrap/>
            <w:vAlign w:val="bottom"/>
            <w:hideMark/>
          </w:tcPr>
          <w:p w14:paraId="1593B8E4"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 </w:t>
            </w:r>
          </w:p>
        </w:tc>
        <w:tc>
          <w:tcPr>
            <w:tcW w:w="783" w:type="pct"/>
            <w:tcBorders>
              <w:top w:val="nil"/>
              <w:left w:val="nil"/>
              <w:bottom w:val="single" w:sz="4" w:space="0" w:color="auto"/>
              <w:right w:val="single" w:sz="4" w:space="0" w:color="auto"/>
            </w:tcBorders>
            <w:noWrap/>
            <w:vAlign w:val="bottom"/>
            <w:hideMark/>
          </w:tcPr>
          <w:p w14:paraId="5F28B6E7"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Current Liabilities</w:t>
            </w:r>
          </w:p>
        </w:tc>
        <w:tc>
          <w:tcPr>
            <w:tcW w:w="810" w:type="pct"/>
            <w:tcBorders>
              <w:top w:val="nil"/>
              <w:left w:val="nil"/>
              <w:bottom w:val="single" w:sz="4" w:space="0" w:color="auto"/>
              <w:right w:val="single" w:sz="4" w:space="0" w:color="auto"/>
            </w:tcBorders>
            <w:noWrap/>
            <w:vAlign w:val="bottom"/>
            <w:hideMark/>
          </w:tcPr>
          <w:p w14:paraId="37FD9EF9"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179,510</w:t>
            </w:r>
          </w:p>
        </w:tc>
        <w:tc>
          <w:tcPr>
            <w:tcW w:w="373" w:type="pct"/>
            <w:tcBorders>
              <w:top w:val="nil"/>
              <w:left w:val="nil"/>
              <w:bottom w:val="single" w:sz="4" w:space="0" w:color="auto"/>
              <w:right w:val="single" w:sz="4" w:space="0" w:color="auto"/>
            </w:tcBorders>
            <w:noWrap/>
            <w:vAlign w:val="bottom"/>
            <w:hideMark/>
          </w:tcPr>
          <w:p w14:paraId="17C8953E"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216,787</w:t>
            </w:r>
          </w:p>
        </w:tc>
        <w:tc>
          <w:tcPr>
            <w:tcW w:w="373" w:type="pct"/>
            <w:tcBorders>
              <w:top w:val="nil"/>
              <w:left w:val="nil"/>
              <w:bottom w:val="single" w:sz="4" w:space="0" w:color="auto"/>
              <w:right w:val="single" w:sz="4" w:space="0" w:color="auto"/>
            </w:tcBorders>
            <w:noWrap/>
            <w:vAlign w:val="bottom"/>
            <w:hideMark/>
          </w:tcPr>
          <w:p w14:paraId="05123CC0"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216,473</w:t>
            </w:r>
          </w:p>
        </w:tc>
        <w:tc>
          <w:tcPr>
            <w:tcW w:w="351" w:type="pct"/>
            <w:tcBorders>
              <w:top w:val="nil"/>
              <w:left w:val="nil"/>
              <w:bottom w:val="single" w:sz="4" w:space="0" w:color="auto"/>
              <w:right w:val="single" w:sz="4" w:space="0" w:color="auto"/>
            </w:tcBorders>
            <w:noWrap/>
            <w:vAlign w:val="bottom"/>
            <w:hideMark/>
          </w:tcPr>
          <w:p w14:paraId="27B14155"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161,148</w:t>
            </w:r>
          </w:p>
        </w:tc>
        <w:tc>
          <w:tcPr>
            <w:tcW w:w="351" w:type="pct"/>
            <w:tcBorders>
              <w:top w:val="nil"/>
              <w:left w:val="nil"/>
              <w:bottom w:val="single" w:sz="4" w:space="0" w:color="auto"/>
              <w:right w:val="single" w:sz="4" w:space="0" w:color="auto"/>
            </w:tcBorders>
            <w:noWrap/>
            <w:vAlign w:val="bottom"/>
            <w:hideMark/>
          </w:tcPr>
          <w:p w14:paraId="56241A77"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158,291</w:t>
            </w:r>
          </w:p>
        </w:tc>
      </w:tr>
      <w:tr w:rsidR="00C64F6A" w:rsidRPr="002306CB" w14:paraId="1F826821" w14:textId="77777777" w:rsidTr="009463F3">
        <w:trPr>
          <w:trHeight w:val="300"/>
        </w:trPr>
        <w:tc>
          <w:tcPr>
            <w:tcW w:w="869" w:type="pct"/>
            <w:tcBorders>
              <w:top w:val="nil"/>
              <w:left w:val="single" w:sz="4" w:space="0" w:color="auto"/>
              <w:bottom w:val="single" w:sz="4" w:space="0" w:color="auto"/>
              <w:right w:val="single" w:sz="4" w:space="0" w:color="auto"/>
            </w:tcBorders>
            <w:noWrap/>
            <w:vAlign w:val="bottom"/>
            <w:hideMark/>
          </w:tcPr>
          <w:p w14:paraId="36069B31"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Quick Ratio</w:t>
            </w:r>
          </w:p>
        </w:tc>
        <w:tc>
          <w:tcPr>
            <w:tcW w:w="1088" w:type="pct"/>
            <w:tcBorders>
              <w:top w:val="nil"/>
              <w:left w:val="nil"/>
              <w:bottom w:val="single" w:sz="4" w:space="0" w:color="auto"/>
              <w:right w:val="single" w:sz="4" w:space="0" w:color="auto"/>
            </w:tcBorders>
            <w:noWrap/>
            <w:vAlign w:val="bottom"/>
            <w:hideMark/>
          </w:tcPr>
          <w:p w14:paraId="367C69DD"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(CA − Inventories) / CL</w:t>
            </w:r>
          </w:p>
        </w:tc>
        <w:tc>
          <w:tcPr>
            <w:tcW w:w="783" w:type="pct"/>
            <w:tcBorders>
              <w:top w:val="nil"/>
              <w:left w:val="nil"/>
              <w:bottom w:val="single" w:sz="4" w:space="0" w:color="auto"/>
              <w:right w:val="single" w:sz="4" w:space="0" w:color="auto"/>
            </w:tcBorders>
            <w:noWrap/>
            <w:vAlign w:val="bottom"/>
            <w:hideMark/>
          </w:tcPr>
          <w:p w14:paraId="5DF60C90"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Current Assets</w:t>
            </w:r>
          </w:p>
        </w:tc>
        <w:tc>
          <w:tcPr>
            <w:tcW w:w="810" w:type="pct"/>
            <w:tcBorders>
              <w:top w:val="nil"/>
              <w:left w:val="nil"/>
              <w:bottom w:val="single" w:sz="4" w:space="0" w:color="auto"/>
              <w:right w:val="single" w:sz="4" w:space="0" w:color="auto"/>
            </w:tcBorders>
            <w:noWrap/>
            <w:vAlign w:val="bottom"/>
            <w:hideMark/>
          </w:tcPr>
          <w:p w14:paraId="434CE2E1"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326,843</w:t>
            </w:r>
          </w:p>
        </w:tc>
        <w:tc>
          <w:tcPr>
            <w:tcW w:w="373" w:type="pct"/>
            <w:tcBorders>
              <w:top w:val="nil"/>
              <w:left w:val="nil"/>
              <w:bottom w:val="single" w:sz="4" w:space="0" w:color="auto"/>
              <w:right w:val="single" w:sz="4" w:space="0" w:color="auto"/>
            </w:tcBorders>
            <w:noWrap/>
            <w:vAlign w:val="bottom"/>
            <w:hideMark/>
          </w:tcPr>
          <w:p w14:paraId="77A8A129"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337,146</w:t>
            </w:r>
          </w:p>
        </w:tc>
        <w:tc>
          <w:tcPr>
            <w:tcW w:w="373" w:type="pct"/>
            <w:tcBorders>
              <w:top w:val="nil"/>
              <w:left w:val="nil"/>
              <w:bottom w:val="single" w:sz="4" w:space="0" w:color="auto"/>
              <w:right w:val="single" w:sz="4" w:space="0" w:color="auto"/>
            </w:tcBorders>
            <w:noWrap/>
            <w:vAlign w:val="bottom"/>
            <w:hideMark/>
          </w:tcPr>
          <w:p w14:paraId="1B3B906B"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338,040</w:t>
            </w:r>
          </w:p>
        </w:tc>
        <w:tc>
          <w:tcPr>
            <w:tcW w:w="351" w:type="pct"/>
            <w:tcBorders>
              <w:top w:val="nil"/>
              <w:left w:val="nil"/>
              <w:bottom w:val="single" w:sz="4" w:space="0" w:color="auto"/>
              <w:right w:val="single" w:sz="4" w:space="0" w:color="auto"/>
            </w:tcBorders>
            <w:noWrap/>
            <w:vAlign w:val="bottom"/>
            <w:hideMark/>
          </w:tcPr>
          <w:p w14:paraId="57200959"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258,851</w:t>
            </w:r>
          </w:p>
        </w:tc>
        <w:tc>
          <w:tcPr>
            <w:tcW w:w="351" w:type="pct"/>
            <w:tcBorders>
              <w:top w:val="nil"/>
              <w:left w:val="nil"/>
              <w:bottom w:val="single" w:sz="4" w:space="0" w:color="auto"/>
              <w:right w:val="single" w:sz="4" w:space="0" w:color="auto"/>
            </w:tcBorders>
            <w:noWrap/>
            <w:vAlign w:val="bottom"/>
            <w:hideMark/>
          </w:tcPr>
          <w:p w14:paraId="0313892E"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242,494</w:t>
            </w:r>
          </w:p>
        </w:tc>
      </w:tr>
      <w:tr w:rsidR="00C64F6A" w:rsidRPr="002306CB" w14:paraId="045431CA" w14:textId="77777777" w:rsidTr="009463F3">
        <w:trPr>
          <w:trHeight w:val="300"/>
        </w:trPr>
        <w:tc>
          <w:tcPr>
            <w:tcW w:w="869" w:type="pct"/>
            <w:tcBorders>
              <w:top w:val="nil"/>
              <w:left w:val="single" w:sz="4" w:space="0" w:color="auto"/>
              <w:bottom w:val="single" w:sz="4" w:space="0" w:color="auto"/>
              <w:right w:val="single" w:sz="4" w:space="0" w:color="auto"/>
            </w:tcBorders>
            <w:noWrap/>
            <w:vAlign w:val="bottom"/>
            <w:hideMark/>
          </w:tcPr>
          <w:p w14:paraId="68E1793A"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 </w:t>
            </w:r>
          </w:p>
        </w:tc>
        <w:tc>
          <w:tcPr>
            <w:tcW w:w="1088" w:type="pct"/>
            <w:tcBorders>
              <w:top w:val="nil"/>
              <w:left w:val="nil"/>
              <w:bottom w:val="single" w:sz="4" w:space="0" w:color="auto"/>
              <w:right w:val="single" w:sz="4" w:space="0" w:color="auto"/>
            </w:tcBorders>
            <w:noWrap/>
            <w:vAlign w:val="bottom"/>
            <w:hideMark/>
          </w:tcPr>
          <w:p w14:paraId="2CF4A29A"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 </w:t>
            </w:r>
          </w:p>
        </w:tc>
        <w:tc>
          <w:tcPr>
            <w:tcW w:w="783" w:type="pct"/>
            <w:tcBorders>
              <w:top w:val="nil"/>
              <w:left w:val="nil"/>
              <w:bottom w:val="single" w:sz="4" w:space="0" w:color="auto"/>
              <w:right w:val="single" w:sz="4" w:space="0" w:color="auto"/>
            </w:tcBorders>
            <w:noWrap/>
            <w:vAlign w:val="bottom"/>
            <w:hideMark/>
          </w:tcPr>
          <w:p w14:paraId="400EC370"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Less: Inventories</w:t>
            </w:r>
          </w:p>
        </w:tc>
        <w:tc>
          <w:tcPr>
            <w:tcW w:w="810" w:type="pct"/>
            <w:tcBorders>
              <w:top w:val="nil"/>
              <w:left w:val="nil"/>
              <w:bottom w:val="single" w:sz="4" w:space="0" w:color="auto"/>
              <w:right w:val="single" w:sz="4" w:space="0" w:color="auto"/>
            </w:tcBorders>
            <w:noWrap/>
            <w:vAlign w:val="bottom"/>
            <w:hideMark/>
          </w:tcPr>
          <w:p w14:paraId="116C8332"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-120,430</w:t>
            </w:r>
          </w:p>
        </w:tc>
        <w:tc>
          <w:tcPr>
            <w:tcW w:w="373" w:type="pct"/>
            <w:tcBorders>
              <w:top w:val="nil"/>
              <w:left w:val="nil"/>
              <w:bottom w:val="single" w:sz="4" w:space="0" w:color="auto"/>
              <w:right w:val="single" w:sz="4" w:space="0" w:color="auto"/>
            </w:tcBorders>
            <w:noWrap/>
            <w:vAlign w:val="bottom"/>
            <w:hideMark/>
          </w:tcPr>
          <w:p w14:paraId="0AF1D109"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-134,469</w:t>
            </w:r>
          </w:p>
        </w:tc>
        <w:tc>
          <w:tcPr>
            <w:tcW w:w="373" w:type="pct"/>
            <w:tcBorders>
              <w:top w:val="nil"/>
              <w:left w:val="nil"/>
              <w:bottom w:val="single" w:sz="4" w:space="0" w:color="auto"/>
              <w:right w:val="single" w:sz="4" w:space="0" w:color="auto"/>
            </w:tcBorders>
            <w:noWrap/>
            <w:vAlign w:val="bottom"/>
            <w:hideMark/>
          </w:tcPr>
          <w:p w14:paraId="79ECFEC3"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-140,181</w:t>
            </w:r>
          </w:p>
        </w:tc>
        <w:tc>
          <w:tcPr>
            <w:tcW w:w="351" w:type="pct"/>
            <w:tcBorders>
              <w:top w:val="nil"/>
              <w:left w:val="nil"/>
              <w:bottom w:val="single" w:sz="4" w:space="0" w:color="auto"/>
              <w:right w:val="single" w:sz="4" w:space="0" w:color="auto"/>
            </w:tcBorders>
            <w:noWrap/>
            <w:vAlign w:val="bottom"/>
            <w:hideMark/>
          </w:tcPr>
          <w:p w14:paraId="13F67D66"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-88,273</w:t>
            </w:r>
          </w:p>
        </w:tc>
        <w:tc>
          <w:tcPr>
            <w:tcW w:w="351" w:type="pct"/>
            <w:tcBorders>
              <w:top w:val="nil"/>
              <w:left w:val="nil"/>
              <w:bottom w:val="single" w:sz="4" w:space="0" w:color="auto"/>
              <w:right w:val="single" w:sz="4" w:space="0" w:color="auto"/>
            </w:tcBorders>
            <w:noWrap/>
            <w:vAlign w:val="bottom"/>
            <w:hideMark/>
          </w:tcPr>
          <w:p w14:paraId="72355D96"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-79,355</w:t>
            </w:r>
          </w:p>
        </w:tc>
      </w:tr>
      <w:tr w:rsidR="00C64F6A" w:rsidRPr="002306CB" w14:paraId="71CD6FDF" w14:textId="77777777" w:rsidTr="009463F3">
        <w:trPr>
          <w:trHeight w:val="300"/>
        </w:trPr>
        <w:tc>
          <w:tcPr>
            <w:tcW w:w="869" w:type="pct"/>
            <w:tcBorders>
              <w:top w:val="nil"/>
              <w:left w:val="single" w:sz="4" w:space="0" w:color="auto"/>
              <w:bottom w:val="single" w:sz="4" w:space="0" w:color="auto"/>
              <w:right w:val="single" w:sz="4" w:space="0" w:color="auto"/>
            </w:tcBorders>
            <w:noWrap/>
            <w:vAlign w:val="bottom"/>
            <w:hideMark/>
          </w:tcPr>
          <w:p w14:paraId="2D06D43F"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 </w:t>
            </w:r>
          </w:p>
        </w:tc>
        <w:tc>
          <w:tcPr>
            <w:tcW w:w="1088" w:type="pct"/>
            <w:tcBorders>
              <w:top w:val="nil"/>
              <w:left w:val="nil"/>
              <w:bottom w:val="single" w:sz="4" w:space="0" w:color="auto"/>
              <w:right w:val="single" w:sz="4" w:space="0" w:color="auto"/>
            </w:tcBorders>
            <w:noWrap/>
            <w:vAlign w:val="bottom"/>
            <w:hideMark/>
          </w:tcPr>
          <w:p w14:paraId="7A0941C3"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 </w:t>
            </w:r>
          </w:p>
        </w:tc>
        <w:tc>
          <w:tcPr>
            <w:tcW w:w="783" w:type="pct"/>
            <w:tcBorders>
              <w:top w:val="nil"/>
              <w:left w:val="nil"/>
              <w:bottom w:val="single" w:sz="4" w:space="0" w:color="auto"/>
              <w:right w:val="single" w:sz="4" w:space="0" w:color="auto"/>
            </w:tcBorders>
            <w:noWrap/>
            <w:vAlign w:val="bottom"/>
            <w:hideMark/>
          </w:tcPr>
          <w:p w14:paraId="502CBD9D"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Current Liabilities</w:t>
            </w:r>
          </w:p>
        </w:tc>
        <w:tc>
          <w:tcPr>
            <w:tcW w:w="810" w:type="pct"/>
            <w:tcBorders>
              <w:top w:val="nil"/>
              <w:left w:val="nil"/>
              <w:bottom w:val="single" w:sz="4" w:space="0" w:color="auto"/>
              <w:right w:val="single" w:sz="4" w:space="0" w:color="auto"/>
            </w:tcBorders>
            <w:noWrap/>
            <w:vAlign w:val="bottom"/>
            <w:hideMark/>
          </w:tcPr>
          <w:p w14:paraId="5F731FE7"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179,510</w:t>
            </w:r>
          </w:p>
        </w:tc>
        <w:tc>
          <w:tcPr>
            <w:tcW w:w="373" w:type="pct"/>
            <w:tcBorders>
              <w:top w:val="nil"/>
              <w:left w:val="nil"/>
              <w:bottom w:val="single" w:sz="4" w:space="0" w:color="auto"/>
              <w:right w:val="single" w:sz="4" w:space="0" w:color="auto"/>
            </w:tcBorders>
            <w:noWrap/>
            <w:vAlign w:val="bottom"/>
            <w:hideMark/>
          </w:tcPr>
          <w:p w14:paraId="5E9BC206"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216,787</w:t>
            </w:r>
          </w:p>
        </w:tc>
        <w:tc>
          <w:tcPr>
            <w:tcW w:w="373" w:type="pct"/>
            <w:tcBorders>
              <w:top w:val="nil"/>
              <w:left w:val="nil"/>
              <w:bottom w:val="single" w:sz="4" w:space="0" w:color="auto"/>
              <w:right w:val="single" w:sz="4" w:space="0" w:color="auto"/>
            </w:tcBorders>
            <w:noWrap/>
            <w:vAlign w:val="bottom"/>
            <w:hideMark/>
          </w:tcPr>
          <w:p w14:paraId="186F499B"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216,473</w:t>
            </w:r>
          </w:p>
        </w:tc>
        <w:tc>
          <w:tcPr>
            <w:tcW w:w="351" w:type="pct"/>
            <w:tcBorders>
              <w:top w:val="nil"/>
              <w:left w:val="nil"/>
              <w:bottom w:val="single" w:sz="4" w:space="0" w:color="auto"/>
              <w:right w:val="single" w:sz="4" w:space="0" w:color="auto"/>
            </w:tcBorders>
            <w:noWrap/>
            <w:vAlign w:val="bottom"/>
            <w:hideMark/>
          </w:tcPr>
          <w:p w14:paraId="00678898"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161,148</w:t>
            </w:r>
          </w:p>
        </w:tc>
        <w:tc>
          <w:tcPr>
            <w:tcW w:w="351" w:type="pct"/>
            <w:tcBorders>
              <w:top w:val="nil"/>
              <w:left w:val="nil"/>
              <w:bottom w:val="single" w:sz="4" w:space="0" w:color="auto"/>
              <w:right w:val="single" w:sz="4" w:space="0" w:color="auto"/>
            </w:tcBorders>
            <w:noWrap/>
            <w:vAlign w:val="bottom"/>
            <w:hideMark/>
          </w:tcPr>
          <w:p w14:paraId="1EEFD50F"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158,291</w:t>
            </w:r>
          </w:p>
        </w:tc>
      </w:tr>
      <w:tr w:rsidR="00C64F6A" w:rsidRPr="002306CB" w14:paraId="4635BB23" w14:textId="77777777" w:rsidTr="009463F3">
        <w:trPr>
          <w:trHeight w:val="300"/>
        </w:trPr>
        <w:tc>
          <w:tcPr>
            <w:tcW w:w="869" w:type="pct"/>
            <w:tcBorders>
              <w:top w:val="nil"/>
              <w:left w:val="single" w:sz="4" w:space="0" w:color="auto"/>
              <w:bottom w:val="single" w:sz="4" w:space="0" w:color="auto"/>
              <w:right w:val="single" w:sz="4" w:space="0" w:color="auto"/>
            </w:tcBorders>
            <w:noWrap/>
            <w:vAlign w:val="bottom"/>
            <w:hideMark/>
          </w:tcPr>
          <w:p w14:paraId="7149BAEA"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lastRenderedPageBreak/>
              <w:t>Cash Ratio</w:t>
            </w:r>
          </w:p>
        </w:tc>
        <w:tc>
          <w:tcPr>
            <w:tcW w:w="1088" w:type="pct"/>
            <w:tcBorders>
              <w:top w:val="nil"/>
              <w:left w:val="nil"/>
              <w:bottom w:val="single" w:sz="4" w:space="0" w:color="auto"/>
              <w:right w:val="single" w:sz="4" w:space="0" w:color="auto"/>
            </w:tcBorders>
            <w:noWrap/>
            <w:vAlign w:val="bottom"/>
            <w:hideMark/>
          </w:tcPr>
          <w:p w14:paraId="34949B6B"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Cash / Current Liabilities</w:t>
            </w:r>
          </w:p>
        </w:tc>
        <w:tc>
          <w:tcPr>
            <w:tcW w:w="783" w:type="pct"/>
            <w:tcBorders>
              <w:top w:val="nil"/>
              <w:left w:val="nil"/>
              <w:bottom w:val="single" w:sz="4" w:space="0" w:color="auto"/>
              <w:right w:val="single" w:sz="4" w:space="0" w:color="auto"/>
            </w:tcBorders>
            <w:noWrap/>
            <w:vAlign w:val="bottom"/>
            <w:hideMark/>
          </w:tcPr>
          <w:p w14:paraId="441B2DD0"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Cash &amp; Cash Equivalents</w:t>
            </w:r>
          </w:p>
        </w:tc>
        <w:tc>
          <w:tcPr>
            <w:tcW w:w="810" w:type="pct"/>
            <w:tcBorders>
              <w:top w:val="nil"/>
              <w:left w:val="nil"/>
              <w:bottom w:val="single" w:sz="4" w:space="0" w:color="auto"/>
              <w:right w:val="single" w:sz="4" w:space="0" w:color="auto"/>
            </w:tcBorders>
            <w:noWrap/>
            <w:vAlign w:val="bottom"/>
            <w:hideMark/>
          </w:tcPr>
          <w:p w14:paraId="61B96B83"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57,153</w:t>
            </w:r>
          </w:p>
        </w:tc>
        <w:tc>
          <w:tcPr>
            <w:tcW w:w="373" w:type="pct"/>
            <w:tcBorders>
              <w:top w:val="nil"/>
              <w:left w:val="nil"/>
              <w:bottom w:val="single" w:sz="4" w:space="0" w:color="auto"/>
              <w:right w:val="single" w:sz="4" w:space="0" w:color="auto"/>
            </w:tcBorders>
            <w:noWrap/>
            <w:vAlign w:val="bottom"/>
            <w:hideMark/>
          </w:tcPr>
          <w:p w14:paraId="215E7076"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60,813</w:t>
            </w:r>
          </w:p>
        </w:tc>
        <w:tc>
          <w:tcPr>
            <w:tcW w:w="373" w:type="pct"/>
            <w:tcBorders>
              <w:top w:val="nil"/>
              <w:left w:val="nil"/>
              <w:bottom w:val="single" w:sz="4" w:space="0" w:color="auto"/>
              <w:right w:val="single" w:sz="4" w:space="0" w:color="auto"/>
            </w:tcBorders>
            <w:noWrap/>
            <w:vAlign w:val="bottom"/>
            <w:hideMark/>
          </w:tcPr>
          <w:p w14:paraId="3F0D199D"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66,740</w:t>
            </w:r>
          </w:p>
        </w:tc>
        <w:tc>
          <w:tcPr>
            <w:tcW w:w="351" w:type="pct"/>
            <w:tcBorders>
              <w:top w:val="nil"/>
              <w:left w:val="nil"/>
              <w:bottom w:val="single" w:sz="4" w:space="0" w:color="auto"/>
              <w:right w:val="single" w:sz="4" w:space="0" w:color="auto"/>
            </w:tcBorders>
            <w:noWrap/>
            <w:vAlign w:val="bottom"/>
            <w:hideMark/>
          </w:tcPr>
          <w:p w14:paraId="749C5F18"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42,751</w:t>
            </w:r>
          </w:p>
        </w:tc>
        <w:tc>
          <w:tcPr>
            <w:tcW w:w="351" w:type="pct"/>
            <w:tcBorders>
              <w:top w:val="nil"/>
              <w:left w:val="nil"/>
              <w:bottom w:val="single" w:sz="4" w:space="0" w:color="auto"/>
              <w:right w:val="single" w:sz="4" w:space="0" w:color="auto"/>
            </w:tcBorders>
            <w:noWrap/>
            <w:vAlign w:val="bottom"/>
            <w:hideMark/>
          </w:tcPr>
          <w:p w14:paraId="2DF90B5D"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26,783</w:t>
            </w:r>
          </w:p>
        </w:tc>
      </w:tr>
      <w:tr w:rsidR="00C64F6A" w:rsidRPr="002306CB" w14:paraId="541AEF1E" w14:textId="77777777" w:rsidTr="009463F3">
        <w:trPr>
          <w:trHeight w:val="300"/>
        </w:trPr>
        <w:tc>
          <w:tcPr>
            <w:tcW w:w="869" w:type="pct"/>
            <w:tcBorders>
              <w:top w:val="nil"/>
              <w:left w:val="single" w:sz="4" w:space="0" w:color="auto"/>
              <w:bottom w:val="single" w:sz="4" w:space="0" w:color="auto"/>
              <w:right w:val="single" w:sz="4" w:space="0" w:color="auto"/>
            </w:tcBorders>
            <w:noWrap/>
            <w:vAlign w:val="bottom"/>
            <w:hideMark/>
          </w:tcPr>
          <w:p w14:paraId="16590B14"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 </w:t>
            </w:r>
          </w:p>
        </w:tc>
        <w:tc>
          <w:tcPr>
            <w:tcW w:w="1088" w:type="pct"/>
            <w:tcBorders>
              <w:top w:val="nil"/>
              <w:left w:val="nil"/>
              <w:bottom w:val="single" w:sz="4" w:space="0" w:color="auto"/>
              <w:right w:val="single" w:sz="4" w:space="0" w:color="auto"/>
            </w:tcBorders>
            <w:noWrap/>
            <w:vAlign w:val="bottom"/>
            <w:hideMark/>
          </w:tcPr>
          <w:p w14:paraId="710ABE2D"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 </w:t>
            </w:r>
          </w:p>
        </w:tc>
        <w:tc>
          <w:tcPr>
            <w:tcW w:w="783" w:type="pct"/>
            <w:tcBorders>
              <w:top w:val="nil"/>
              <w:left w:val="nil"/>
              <w:bottom w:val="single" w:sz="4" w:space="0" w:color="auto"/>
              <w:right w:val="single" w:sz="4" w:space="0" w:color="auto"/>
            </w:tcBorders>
            <w:noWrap/>
            <w:vAlign w:val="bottom"/>
            <w:hideMark/>
          </w:tcPr>
          <w:p w14:paraId="442EC23A"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Current Liabilities</w:t>
            </w:r>
          </w:p>
        </w:tc>
        <w:tc>
          <w:tcPr>
            <w:tcW w:w="810" w:type="pct"/>
            <w:tcBorders>
              <w:top w:val="nil"/>
              <w:left w:val="nil"/>
              <w:bottom w:val="single" w:sz="4" w:space="0" w:color="auto"/>
              <w:right w:val="single" w:sz="4" w:space="0" w:color="auto"/>
            </w:tcBorders>
            <w:noWrap/>
            <w:vAlign w:val="bottom"/>
            <w:hideMark/>
          </w:tcPr>
          <w:p w14:paraId="50DE0AE7"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179,510</w:t>
            </w:r>
          </w:p>
        </w:tc>
        <w:tc>
          <w:tcPr>
            <w:tcW w:w="373" w:type="pct"/>
            <w:tcBorders>
              <w:top w:val="nil"/>
              <w:left w:val="nil"/>
              <w:bottom w:val="single" w:sz="4" w:space="0" w:color="auto"/>
              <w:right w:val="single" w:sz="4" w:space="0" w:color="auto"/>
            </w:tcBorders>
            <w:noWrap/>
            <w:vAlign w:val="bottom"/>
            <w:hideMark/>
          </w:tcPr>
          <w:p w14:paraId="715525F8"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216,787</w:t>
            </w:r>
          </w:p>
        </w:tc>
        <w:tc>
          <w:tcPr>
            <w:tcW w:w="373" w:type="pct"/>
            <w:tcBorders>
              <w:top w:val="nil"/>
              <w:left w:val="nil"/>
              <w:bottom w:val="single" w:sz="4" w:space="0" w:color="auto"/>
              <w:right w:val="single" w:sz="4" w:space="0" w:color="auto"/>
            </w:tcBorders>
            <w:noWrap/>
            <w:vAlign w:val="bottom"/>
            <w:hideMark/>
          </w:tcPr>
          <w:p w14:paraId="6A9E8411"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216,473</w:t>
            </w:r>
          </w:p>
        </w:tc>
        <w:tc>
          <w:tcPr>
            <w:tcW w:w="351" w:type="pct"/>
            <w:tcBorders>
              <w:top w:val="nil"/>
              <w:left w:val="nil"/>
              <w:bottom w:val="single" w:sz="4" w:space="0" w:color="auto"/>
              <w:right w:val="single" w:sz="4" w:space="0" w:color="auto"/>
            </w:tcBorders>
            <w:noWrap/>
            <w:vAlign w:val="bottom"/>
            <w:hideMark/>
          </w:tcPr>
          <w:p w14:paraId="5E3D6C72"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161,148</w:t>
            </w:r>
          </w:p>
        </w:tc>
        <w:tc>
          <w:tcPr>
            <w:tcW w:w="351" w:type="pct"/>
            <w:tcBorders>
              <w:top w:val="nil"/>
              <w:left w:val="nil"/>
              <w:bottom w:val="single" w:sz="4" w:space="0" w:color="auto"/>
              <w:right w:val="single" w:sz="4" w:space="0" w:color="auto"/>
            </w:tcBorders>
            <w:noWrap/>
            <w:vAlign w:val="bottom"/>
            <w:hideMark/>
          </w:tcPr>
          <w:p w14:paraId="75763D4F"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158,291</w:t>
            </w:r>
          </w:p>
        </w:tc>
      </w:tr>
      <w:tr w:rsidR="00C64F6A" w:rsidRPr="002306CB" w14:paraId="5DC77BB8" w14:textId="77777777" w:rsidTr="009463F3">
        <w:trPr>
          <w:trHeight w:val="300"/>
        </w:trPr>
        <w:tc>
          <w:tcPr>
            <w:tcW w:w="869" w:type="pct"/>
            <w:tcBorders>
              <w:top w:val="nil"/>
              <w:left w:val="single" w:sz="4" w:space="0" w:color="auto"/>
              <w:bottom w:val="single" w:sz="4" w:space="0" w:color="auto"/>
              <w:right w:val="single" w:sz="4" w:space="0" w:color="auto"/>
            </w:tcBorders>
            <w:shd w:val="clear" w:color="000000" w:fill="CAEDFB"/>
            <w:noWrap/>
            <w:vAlign w:val="bottom"/>
            <w:hideMark/>
          </w:tcPr>
          <w:p w14:paraId="28542FA3" w14:textId="77777777" w:rsidR="00C64F6A" w:rsidRPr="002306CB" w:rsidRDefault="00C64F6A" w:rsidP="009463F3">
            <w:pPr>
              <w:spacing w:after="0" w:line="240" w:lineRule="auto"/>
              <w:jc w:val="left"/>
              <w:rPr>
                <w:rFonts w:ascii="Aptos Narrow" w:eastAsia="Times New Roman" w:hAnsi="Aptos Narrow" w:cs="Times New Roman"/>
                <w:b/>
                <w:bCs/>
                <w:color w:val="000000"/>
                <w:kern w:val="0"/>
                <w:sz w:val="22"/>
                <w:szCs w:val="22"/>
                <w:lang w:val="en-US"/>
                <w14:ligatures w14:val="none"/>
              </w:rPr>
            </w:pPr>
            <w:r w:rsidRPr="002306CB">
              <w:rPr>
                <w:rFonts w:ascii="Aptos Narrow" w:eastAsia="Times New Roman" w:hAnsi="Aptos Narrow" w:cs="Times New Roman"/>
                <w:b/>
                <w:bCs/>
                <w:color w:val="000000"/>
                <w:kern w:val="0"/>
                <w:sz w:val="22"/>
                <w:szCs w:val="22"/>
                <w:lang w:val="en-US"/>
                <w14:ligatures w14:val="none"/>
              </w:rPr>
              <w:t>Efficiency Ratios</w:t>
            </w:r>
          </w:p>
        </w:tc>
        <w:tc>
          <w:tcPr>
            <w:tcW w:w="1088" w:type="pct"/>
            <w:tcBorders>
              <w:top w:val="nil"/>
              <w:left w:val="nil"/>
              <w:bottom w:val="single" w:sz="4" w:space="0" w:color="auto"/>
              <w:right w:val="single" w:sz="4" w:space="0" w:color="auto"/>
            </w:tcBorders>
            <w:shd w:val="clear" w:color="000000" w:fill="CAEDFB"/>
            <w:noWrap/>
            <w:vAlign w:val="bottom"/>
            <w:hideMark/>
          </w:tcPr>
          <w:p w14:paraId="40B43C9B" w14:textId="77777777" w:rsidR="00C64F6A" w:rsidRPr="002306CB" w:rsidRDefault="00C64F6A" w:rsidP="009463F3">
            <w:pPr>
              <w:spacing w:after="0" w:line="240" w:lineRule="auto"/>
              <w:jc w:val="left"/>
              <w:rPr>
                <w:rFonts w:ascii="Aptos Narrow" w:eastAsia="Times New Roman" w:hAnsi="Aptos Narrow" w:cs="Times New Roman"/>
                <w:b/>
                <w:bCs/>
                <w:color w:val="000000"/>
                <w:kern w:val="0"/>
                <w:sz w:val="22"/>
                <w:szCs w:val="22"/>
                <w:lang w:val="en-US"/>
                <w14:ligatures w14:val="none"/>
              </w:rPr>
            </w:pPr>
            <w:r w:rsidRPr="002306CB">
              <w:rPr>
                <w:rFonts w:ascii="Aptos Narrow" w:eastAsia="Times New Roman" w:hAnsi="Aptos Narrow" w:cs="Times New Roman"/>
                <w:b/>
                <w:bCs/>
                <w:color w:val="000000"/>
                <w:kern w:val="0"/>
                <w:sz w:val="22"/>
                <w:szCs w:val="22"/>
                <w:lang w:val="en-US"/>
                <w14:ligatures w14:val="none"/>
              </w:rPr>
              <w:t> </w:t>
            </w:r>
          </w:p>
        </w:tc>
        <w:tc>
          <w:tcPr>
            <w:tcW w:w="783" w:type="pct"/>
            <w:tcBorders>
              <w:top w:val="nil"/>
              <w:left w:val="nil"/>
              <w:bottom w:val="single" w:sz="4" w:space="0" w:color="auto"/>
              <w:right w:val="single" w:sz="4" w:space="0" w:color="auto"/>
            </w:tcBorders>
            <w:shd w:val="clear" w:color="000000" w:fill="CAEDFB"/>
            <w:noWrap/>
            <w:vAlign w:val="bottom"/>
            <w:hideMark/>
          </w:tcPr>
          <w:p w14:paraId="5D85EF95" w14:textId="77777777" w:rsidR="00C64F6A" w:rsidRPr="002306CB" w:rsidRDefault="00C64F6A" w:rsidP="009463F3">
            <w:pPr>
              <w:spacing w:after="0" w:line="240" w:lineRule="auto"/>
              <w:jc w:val="left"/>
              <w:rPr>
                <w:rFonts w:ascii="Aptos Narrow" w:eastAsia="Times New Roman" w:hAnsi="Aptos Narrow" w:cs="Times New Roman"/>
                <w:b/>
                <w:bCs/>
                <w:color w:val="000000"/>
                <w:kern w:val="0"/>
                <w:sz w:val="22"/>
                <w:szCs w:val="22"/>
                <w:lang w:val="en-US"/>
                <w14:ligatures w14:val="none"/>
              </w:rPr>
            </w:pPr>
            <w:r w:rsidRPr="002306CB">
              <w:rPr>
                <w:rFonts w:ascii="Aptos Narrow" w:eastAsia="Times New Roman" w:hAnsi="Aptos Narrow" w:cs="Times New Roman"/>
                <w:b/>
                <w:bCs/>
                <w:color w:val="000000"/>
                <w:kern w:val="0"/>
                <w:sz w:val="22"/>
                <w:szCs w:val="22"/>
                <w:lang w:val="en-US"/>
                <w14:ligatures w14:val="none"/>
              </w:rPr>
              <w:t> </w:t>
            </w:r>
          </w:p>
        </w:tc>
        <w:tc>
          <w:tcPr>
            <w:tcW w:w="810" w:type="pct"/>
            <w:tcBorders>
              <w:top w:val="nil"/>
              <w:left w:val="nil"/>
              <w:bottom w:val="single" w:sz="4" w:space="0" w:color="auto"/>
              <w:right w:val="single" w:sz="4" w:space="0" w:color="auto"/>
            </w:tcBorders>
            <w:shd w:val="clear" w:color="000000" w:fill="CAEDFB"/>
            <w:noWrap/>
            <w:vAlign w:val="bottom"/>
            <w:hideMark/>
          </w:tcPr>
          <w:p w14:paraId="764508D5" w14:textId="77777777" w:rsidR="00C64F6A" w:rsidRPr="002306CB" w:rsidRDefault="00C64F6A" w:rsidP="009463F3">
            <w:pPr>
              <w:spacing w:after="0" w:line="240" w:lineRule="auto"/>
              <w:jc w:val="left"/>
              <w:rPr>
                <w:rFonts w:ascii="Aptos Narrow" w:eastAsia="Times New Roman" w:hAnsi="Aptos Narrow" w:cs="Times New Roman"/>
                <w:b/>
                <w:bCs/>
                <w:color w:val="000000"/>
                <w:kern w:val="0"/>
                <w:sz w:val="22"/>
                <w:szCs w:val="22"/>
                <w:lang w:val="en-US"/>
                <w14:ligatures w14:val="none"/>
              </w:rPr>
            </w:pPr>
            <w:r w:rsidRPr="002306CB">
              <w:rPr>
                <w:rFonts w:ascii="Aptos Narrow" w:eastAsia="Times New Roman" w:hAnsi="Aptos Narrow" w:cs="Times New Roman"/>
                <w:b/>
                <w:bCs/>
                <w:color w:val="000000"/>
                <w:kern w:val="0"/>
                <w:sz w:val="22"/>
                <w:szCs w:val="22"/>
                <w:lang w:val="en-US"/>
                <w14:ligatures w14:val="none"/>
              </w:rPr>
              <w:t> </w:t>
            </w:r>
          </w:p>
        </w:tc>
        <w:tc>
          <w:tcPr>
            <w:tcW w:w="373" w:type="pct"/>
            <w:tcBorders>
              <w:top w:val="nil"/>
              <w:left w:val="nil"/>
              <w:bottom w:val="single" w:sz="4" w:space="0" w:color="auto"/>
              <w:right w:val="single" w:sz="4" w:space="0" w:color="auto"/>
            </w:tcBorders>
            <w:shd w:val="clear" w:color="000000" w:fill="CAEDFB"/>
            <w:noWrap/>
            <w:vAlign w:val="bottom"/>
            <w:hideMark/>
          </w:tcPr>
          <w:p w14:paraId="5170CE30" w14:textId="77777777" w:rsidR="00C64F6A" w:rsidRPr="002306CB" w:rsidRDefault="00C64F6A" w:rsidP="009463F3">
            <w:pPr>
              <w:spacing w:after="0" w:line="240" w:lineRule="auto"/>
              <w:jc w:val="left"/>
              <w:rPr>
                <w:rFonts w:ascii="Aptos Narrow" w:eastAsia="Times New Roman" w:hAnsi="Aptos Narrow" w:cs="Times New Roman"/>
                <w:b/>
                <w:bCs/>
                <w:color w:val="000000"/>
                <w:kern w:val="0"/>
                <w:sz w:val="22"/>
                <w:szCs w:val="22"/>
                <w:lang w:val="en-US"/>
                <w14:ligatures w14:val="none"/>
              </w:rPr>
            </w:pPr>
            <w:r w:rsidRPr="002306CB">
              <w:rPr>
                <w:rFonts w:ascii="Aptos Narrow" w:eastAsia="Times New Roman" w:hAnsi="Aptos Narrow" w:cs="Times New Roman"/>
                <w:b/>
                <w:bCs/>
                <w:color w:val="000000"/>
                <w:kern w:val="0"/>
                <w:sz w:val="22"/>
                <w:szCs w:val="22"/>
                <w:lang w:val="en-US"/>
                <w14:ligatures w14:val="none"/>
              </w:rPr>
              <w:t> </w:t>
            </w:r>
          </w:p>
        </w:tc>
        <w:tc>
          <w:tcPr>
            <w:tcW w:w="373" w:type="pct"/>
            <w:tcBorders>
              <w:top w:val="nil"/>
              <w:left w:val="nil"/>
              <w:bottom w:val="single" w:sz="4" w:space="0" w:color="auto"/>
              <w:right w:val="single" w:sz="4" w:space="0" w:color="auto"/>
            </w:tcBorders>
            <w:shd w:val="clear" w:color="000000" w:fill="CAEDFB"/>
            <w:noWrap/>
            <w:vAlign w:val="bottom"/>
            <w:hideMark/>
          </w:tcPr>
          <w:p w14:paraId="6FA2D62F" w14:textId="77777777" w:rsidR="00C64F6A" w:rsidRPr="002306CB" w:rsidRDefault="00C64F6A" w:rsidP="009463F3">
            <w:pPr>
              <w:spacing w:after="0" w:line="240" w:lineRule="auto"/>
              <w:jc w:val="left"/>
              <w:rPr>
                <w:rFonts w:ascii="Aptos Narrow" w:eastAsia="Times New Roman" w:hAnsi="Aptos Narrow" w:cs="Times New Roman"/>
                <w:b/>
                <w:bCs/>
                <w:color w:val="000000"/>
                <w:kern w:val="0"/>
                <w:sz w:val="22"/>
                <w:szCs w:val="22"/>
                <w:lang w:val="en-US"/>
                <w14:ligatures w14:val="none"/>
              </w:rPr>
            </w:pPr>
            <w:r w:rsidRPr="002306CB">
              <w:rPr>
                <w:rFonts w:ascii="Aptos Narrow" w:eastAsia="Times New Roman" w:hAnsi="Aptos Narrow" w:cs="Times New Roman"/>
                <w:b/>
                <w:bCs/>
                <w:color w:val="000000"/>
                <w:kern w:val="0"/>
                <w:sz w:val="22"/>
                <w:szCs w:val="22"/>
                <w:lang w:val="en-US"/>
                <w14:ligatures w14:val="none"/>
              </w:rPr>
              <w:t> </w:t>
            </w:r>
          </w:p>
        </w:tc>
        <w:tc>
          <w:tcPr>
            <w:tcW w:w="351" w:type="pct"/>
            <w:tcBorders>
              <w:top w:val="nil"/>
              <w:left w:val="nil"/>
              <w:bottom w:val="single" w:sz="4" w:space="0" w:color="auto"/>
              <w:right w:val="single" w:sz="4" w:space="0" w:color="auto"/>
            </w:tcBorders>
            <w:shd w:val="clear" w:color="000000" w:fill="CAEDFB"/>
            <w:noWrap/>
            <w:vAlign w:val="bottom"/>
            <w:hideMark/>
          </w:tcPr>
          <w:p w14:paraId="54FFC59B" w14:textId="77777777" w:rsidR="00C64F6A" w:rsidRPr="002306CB" w:rsidRDefault="00C64F6A" w:rsidP="009463F3">
            <w:pPr>
              <w:spacing w:after="0" w:line="240" w:lineRule="auto"/>
              <w:jc w:val="left"/>
              <w:rPr>
                <w:rFonts w:ascii="Aptos Narrow" w:eastAsia="Times New Roman" w:hAnsi="Aptos Narrow" w:cs="Times New Roman"/>
                <w:b/>
                <w:bCs/>
                <w:color w:val="000000"/>
                <w:kern w:val="0"/>
                <w:sz w:val="22"/>
                <w:szCs w:val="22"/>
                <w:lang w:val="en-US"/>
                <w14:ligatures w14:val="none"/>
              </w:rPr>
            </w:pPr>
            <w:r w:rsidRPr="002306CB">
              <w:rPr>
                <w:rFonts w:ascii="Aptos Narrow" w:eastAsia="Times New Roman" w:hAnsi="Aptos Narrow" w:cs="Times New Roman"/>
                <w:b/>
                <w:bCs/>
                <w:color w:val="000000"/>
                <w:kern w:val="0"/>
                <w:sz w:val="22"/>
                <w:szCs w:val="22"/>
                <w:lang w:val="en-US"/>
                <w14:ligatures w14:val="none"/>
              </w:rPr>
              <w:t> </w:t>
            </w:r>
          </w:p>
        </w:tc>
        <w:tc>
          <w:tcPr>
            <w:tcW w:w="351" w:type="pct"/>
            <w:tcBorders>
              <w:top w:val="nil"/>
              <w:left w:val="nil"/>
              <w:bottom w:val="single" w:sz="4" w:space="0" w:color="auto"/>
              <w:right w:val="single" w:sz="4" w:space="0" w:color="auto"/>
            </w:tcBorders>
            <w:shd w:val="clear" w:color="000000" w:fill="CAEDFB"/>
            <w:noWrap/>
            <w:vAlign w:val="bottom"/>
            <w:hideMark/>
          </w:tcPr>
          <w:p w14:paraId="734CA0F3" w14:textId="77777777" w:rsidR="00C64F6A" w:rsidRPr="002306CB" w:rsidRDefault="00C64F6A" w:rsidP="009463F3">
            <w:pPr>
              <w:spacing w:after="0" w:line="240" w:lineRule="auto"/>
              <w:jc w:val="left"/>
              <w:rPr>
                <w:rFonts w:ascii="Aptos Narrow" w:eastAsia="Times New Roman" w:hAnsi="Aptos Narrow" w:cs="Times New Roman"/>
                <w:b/>
                <w:bCs/>
                <w:color w:val="000000"/>
                <w:kern w:val="0"/>
                <w:sz w:val="22"/>
                <w:szCs w:val="22"/>
                <w:lang w:val="en-US"/>
                <w14:ligatures w14:val="none"/>
              </w:rPr>
            </w:pPr>
            <w:r w:rsidRPr="002306CB">
              <w:rPr>
                <w:rFonts w:ascii="Aptos Narrow" w:eastAsia="Times New Roman" w:hAnsi="Aptos Narrow" w:cs="Times New Roman"/>
                <w:b/>
                <w:bCs/>
                <w:color w:val="000000"/>
                <w:kern w:val="0"/>
                <w:sz w:val="22"/>
                <w:szCs w:val="22"/>
                <w:lang w:val="en-US"/>
                <w14:ligatures w14:val="none"/>
              </w:rPr>
              <w:t> </w:t>
            </w:r>
          </w:p>
        </w:tc>
      </w:tr>
      <w:tr w:rsidR="00C64F6A" w:rsidRPr="002306CB" w14:paraId="4130BCE1" w14:textId="77777777" w:rsidTr="009463F3">
        <w:trPr>
          <w:trHeight w:val="300"/>
        </w:trPr>
        <w:tc>
          <w:tcPr>
            <w:tcW w:w="869" w:type="pct"/>
            <w:tcBorders>
              <w:top w:val="nil"/>
              <w:left w:val="single" w:sz="4" w:space="0" w:color="auto"/>
              <w:bottom w:val="single" w:sz="4" w:space="0" w:color="auto"/>
              <w:right w:val="single" w:sz="4" w:space="0" w:color="auto"/>
            </w:tcBorders>
            <w:noWrap/>
            <w:vAlign w:val="bottom"/>
            <w:hideMark/>
          </w:tcPr>
          <w:p w14:paraId="48E21BFB"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Inventory Turnover</w:t>
            </w:r>
          </w:p>
        </w:tc>
        <w:tc>
          <w:tcPr>
            <w:tcW w:w="1088" w:type="pct"/>
            <w:tcBorders>
              <w:top w:val="nil"/>
              <w:left w:val="nil"/>
              <w:bottom w:val="single" w:sz="4" w:space="0" w:color="auto"/>
              <w:right w:val="single" w:sz="4" w:space="0" w:color="auto"/>
            </w:tcBorders>
            <w:noWrap/>
            <w:vAlign w:val="bottom"/>
            <w:hideMark/>
          </w:tcPr>
          <w:p w14:paraId="255859BB"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Cost of Sales / Inventory</w:t>
            </w:r>
          </w:p>
        </w:tc>
        <w:tc>
          <w:tcPr>
            <w:tcW w:w="783" w:type="pct"/>
            <w:tcBorders>
              <w:top w:val="nil"/>
              <w:left w:val="nil"/>
              <w:bottom w:val="single" w:sz="4" w:space="0" w:color="auto"/>
              <w:right w:val="single" w:sz="4" w:space="0" w:color="auto"/>
            </w:tcBorders>
            <w:noWrap/>
            <w:vAlign w:val="bottom"/>
            <w:hideMark/>
          </w:tcPr>
          <w:p w14:paraId="497723D7"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Cost of Sales</w:t>
            </w:r>
          </w:p>
        </w:tc>
        <w:tc>
          <w:tcPr>
            <w:tcW w:w="810" w:type="pct"/>
            <w:tcBorders>
              <w:top w:val="nil"/>
              <w:left w:val="nil"/>
              <w:bottom w:val="single" w:sz="4" w:space="0" w:color="auto"/>
              <w:right w:val="single" w:sz="4" w:space="0" w:color="auto"/>
            </w:tcBorders>
            <w:noWrap/>
            <w:vAlign w:val="bottom"/>
            <w:hideMark/>
          </w:tcPr>
          <w:p w14:paraId="7AA6BED3"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438,424</w:t>
            </w:r>
          </w:p>
        </w:tc>
        <w:tc>
          <w:tcPr>
            <w:tcW w:w="373" w:type="pct"/>
            <w:tcBorders>
              <w:top w:val="nil"/>
              <w:left w:val="nil"/>
              <w:bottom w:val="single" w:sz="4" w:space="0" w:color="auto"/>
              <w:right w:val="single" w:sz="4" w:space="0" w:color="auto"/>
            </w:tcBorders>
            <w:noWrap/>
            <w:vAlign w:val="bottom"/>
            <w:hideMark/>
          </w:tcPr>
          <w:p w14:paraId="69F3AF0B"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428,586</w:t>
            </w:r>
          </w:p>
        </w:tc>
        <w:tc>
          <w:tcPr>
            <w:tcW w:w="373" w:type="pct"/>
            <w:tcBorders>
              <w:top w:val="nil"/>
              <w:left w:val="nil"/>
              <w:bottom w:val="single" w:sz="4" w:space="0" w:color="auto"/>
              <w:right w:val="single" w:sz="4" w:space="0" w:color="auto"/>
            </w:tcBorders>
            <w:noWrap/>
            <w:vAlign w:val="bottom"/>
            <w:hideMark/>
          </w:tcPr>
          <w:p w14:paraId="448F25B8"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390,459</w:t>
            </w:r>
          </w:p>
        </w:tc>
        <w:tc>
          <w:tcPr>
            <w:tcW w:w="351" w:type="pct"/>
            <w:tcBorders>
              <w:top w:val="nil"/>
              <w:left w:val="nil"/>
              <w:bottom w:val="single" w:sz="4" w:space="0" w:color="auto"/>
              <w:right w:val="single" w:sz="4" w:space="0" w:color="auto"/>
            </w:tcBorders>
            <w:noWrap/>
            <w:vAlign w:val="bottom"/>
            <w:hideMark/>
          </w:tcPr>
          <w:p w14:paraId="42A6CCD3"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322,897</w:t>
            </w:r>
          </w:p>
        </w:tc>
        <w:tc>
          <w:tcPr>
            <w:tcW w:w="351" w:type="pct"/>
            <w:tcBorders>
              <w:top w:val="nil"/>
              <w:left w:val="nil"/>
              <w:bottom w:val="single" w:sz="4" w:space="0" w:color="auto"/>
              <w:right w:val="single" w:sz="4" w:space="0" w:color="auto"/>
            </w:tcBorders>
            <w:noWrap/>
            <w:vAlign w:val="bottom"/>
            <w:hideMark/>
          </w:tcPr>
          <w:p w14:paraId="140C9159"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280,885</w:t>
            </w:r>
          </w:p>
        </w:tc>
      </w:tr>
      <w:tr w:rsidR="00C64F6A" w:rsidRPr="002306CB" w14:paraId="55261221" w14:textId="77777777" w:rsidTr="009463F3">
        <w:trPr>
          <w:trHeight w:val="300"/>
        </w:trPr>
        <w:tc>
          <w:tcPr>
            <w:tcW w:w="869" w:type="pct"/>
            <w:tcBorders>
              <w:top w:val="nil"/>
              <w:left w:val="single" w:sz="4" w:space="0" w:color="auto"/>
              <w:bottom w:val="single" w:sz="4" w:space="0" w:color="auto"/>
              <w:right w:val="single" w:sz="4" w:space="0" w:color="auto"/>
            </w:tcBorders>
            <w:noWrap/>
            <w:vAlign w:val="bottom"/>
            <w:hideMark/>
          </w:tcPr>
          <w:p w14:paraId="05CACA66"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 </w:t>
            </w:r>
          </w:p>
        </w:tc>
        <w:tc>
          <w:tcPr>
            <w:tcW w:w="1088" w:type="pct"/>
            <w:tcBorders>
              <w:top w:val="nil"/>
              <w:left w:val="nil"/>
              <w:bottom w:val="single" w:sz="4" w:space="0" w:color="auto"/>
              <w:right w:val="single" w:sz="4" w:space="0" w:color="auto"/>
            </w:tcBorders>
            <w:noWrap/>
            <w:vAlign w:val="bottom"/>
            <w:hideMark/>
          </w:tcPr>
          <w:p w14:paraId="4FC3698B"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 </w:t>
            </w:r>
          </w:p>
        </w:tc>
        <w:tc>
          <w:tcPr>
            <w:tcW w:w="783" w:type="pct"/>
            <w:tcBorders>
              <w:top w:val="nil"/>
              <w:left w:val="nil"/>
              <w:bottom w:val="single" w:sz="4" w:space="0" w:color="auto"/>
              <w:right w:val="single" w:sz="4" w:space="0" w:color="auto"/>
            </w:tcBorders>
            <w:noWrap/>
            <w:vAlign w:val="bottom"/>
            <w:hideMark/>
          </w:tcPr>
          <w:p w14:paraId="16B4E612"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Inventories</w:t>
            </w:r>
          </w:p>
        </w:tc>
        <w:tc>
          <w:tcPr>
            <w:tcW w:w="810" w:type="pct"/>
            <w:tcBorders>
              <w:top w:val="nil"/>
              <w:left w:val="nil"/>
              <w:bottom w:val="single" w:sz="4" w:space="0" w:color="auto"/>
              <w:right w:val="single" w:sz="4" w:space="0" w:color="auto"/>
            </w:tcBorders>
            <w:noWrap/>
            <w:vAlign w:val="bottom"/>
            <w:hideMark/>
          </w:tcPr>
          <w:p w14:paraId="34EAFB95"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120,430</w:t>
            </w:r>
          </w:p>
        </w:tc>
        <w:tc>
          <w:tcPr>
            <w:tcW w:w="373" w:type="pct"/>
            <w:tcBorders>
              <w:top w:val="nil"/>
              <w:left w:val="nil"/>
              <w:bottom w:val="single" w:sz="4" w:space="0" w:color="auto"/>
              <w:right w:val="single" w:sz="4" w:space="0" w:color="auto"/>
            </w:tcBorders>
            <w:noWrap/>
            <w:vAlign w:val="bottom"/>
            <w:hideMark/>
          </w:tcPr>
          <w:p w14:paraId="35C26210"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134,469</w:t>
            </w:r>
          </w:p>
        </w:tc>
        <w:tc>
          <w:tcPr>
            <w:tcW w:w="373" w:type="pct"/>
            <w:tcBorders>
              <w:top w:val="nil"/>
              <w:left w:val="nil"/>
              <w:bottom w:val="single" w:sz="4" w:space="0" w:color="auto"/>
              <w:right w:val="single" w:sz="4" w:space="0" w:color="auto"/>
            </w:tcBorders>
            <w:noWrap/>
            <w:vAlign w:val="bottom"/>
            <w:hideMark/>
          </w:tcPr>
          <w:p w14:paraId="7D38DEF8"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140,181</w:t>
            </w:r>
          </w:p>
        </w:tc>
        <w:tc>
          <w:tcPr>
            <w:tcW w:w="351" w:type="pct"/>
            <w:tcBorders>
              <w:top w:val="nil"/>
              <w:left w:val="nil"/>
              <w:bottom w:val="single" w:sz="4" w:space="0" w:color="auto"/>
              <w:right w:val="single" w:sz="4" w:space="0" w:color="auto"/>
            </w:tcBorders>
            <w:noWrap/>
            <w:vAlign w:val="bottom"/>
            <w:hideMark/>
          </w:tcPr>
          <w:p w14:paraId="09CEC429"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88,273</w:t>
            </w:r>
          </w:p>
        </w:tc>
        <w:tc>
          <w:tcPr>
            <w:tcW w:w="351" w:type="pct"/>
            <w:tcBorders>
              <w:top w:val="nil"/>
              <w:left w:val="nil"/>
              <w:bottom w:val="single" w:sz="4" w:space="0" w:color="auto"/>
              <w:right w:val="single" w:sz="4" w:space="0" w:color="auto"/>
            </w:tcBorders>
            <w:noWrap/>
            <w:vAlign w:val="bottom"/>
            <w:hideMark/>
          </w:tcPr>
          <w:p w14:paraId="5C481A4E"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79,355</w:t>
            </w:r>
          </w:p>
        </w:tc>
      </w:tr>
      <w:tr w:rsidR="00C64F6A" w:rsidRPr="002306CB" w14:paraId="1F0B78DA" w14:textId="77777777" w:rsidTr="009463F3">
        <w:trPr>
          <w:trHeight w:val="300"/>
        </w:trPr>
        <w:tc>
          <w:tcPr>
            <w:tcW w:w="869" w:type="pct"/>
            <w:tcBorders>
              <w:top w:val="nil"/>
              <w:left w:val="single" w:sz="4" w:space="0" w:color="auto"/>
              <w:bottom w:val="single" w:sz="4" w:space="0" w:color="auto"/>
              <w:right w:val="single" w:sz="4" w:space="0" w:color="auto"/>
            </w:tcBorders>
            <w:noWrap/>
            <w:vAlign w:val="bottom"/>
            <w:hideMark/>
          </w:tcPr>
          <w:p w14:paraId="30925621"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Receivables Turnover</w:t>
            </w:r>
          </w:p>
        </w:tc>
        <w:tc>
          <w:tcPr>
            <w:tcW w:w="1088" w:type="pct"/>
            <w:tcBorders>
              <w:top w:val="nil"/>
              <w:left w:val="nil"/>
              <w:bottom w:val="single" w:sz="4" w:space="0" w:color="auto"/>
              <w:right w:val="single" w:sz="4" w:space="0" w:color="auto"/>
            </w:tcBorders>
            <w:noWrap/>
            <w:vAlign w:val="bottom"/>
            <w:hideMark/>
          </w:tcPr>
          <w:p w14:paraId="78FEF72B"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Net Sales / Receivables</w:t>
            </w:r>
          </w:p>
        </w:tc>
        <w:tc>
          <w:tcPr>
            <w:tcW w:w="783" w:type="pct"/>
            <w:tcBorders>
              <w:top w:val="nil"/>
              <w:left w:val="nil"/>
              <w:bottom w:val="single" w:sz="4" w:space="0" w:color="auto"/>
              <w:right w:val="single" w:sz="4" w:space="0" w:color="auto"/>
            </w:tcBorders>
            <w:noWrap/>
            <w:vAlign w:val="bottom"/>
            <w:hideMark/>
          </w:tcPr>
          <w:p w14:paraId="685D1BE3"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Revenue (Net Sales)</w:t>
            </w:r>
          </w:p>
        </w:tc>
        <w:tc>
          <w:tcPr>
            <w:tcW w:w="810" w:type="pct"/>
            <w:tcBorders>
              <w:top w:val="nil"/>
              <w:left w:val="nil"/>
              <w:bottom w:val="single" w:sz="4" w:space="0" w:color="auto"/>
              <w:right w:val="single" w:sz="4" w:space="0" w:color="auto"/>
            </w:tcBorders>
            <w:noWrap/>
            <w:vAlign w:val="bottom"/>
            <w:hideMark/>
          </w:tcPr>
          <w:p w14:paraId="5703C9A0"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614,680</w:t>
            </w:r>
          </w:p>
        </w:tc>
        <w:tc>
          <w:tcPr>
            <w:tcW w:w="373" w:type="pct"/>
            <w:tcBorders>
              <w:top w:val="nil"/>
              <w:left w:val="nil"/>
              <w:bottom w:val="single" w:sz="4" w:space="0" w:color="auto"/>
              <w:right w:val="single" w:sz="4" w:space="0" w:color="auto"/>
            </w:tcBorders>
            <w:noWrap/>
            <w:vAlign w:val="bottom"/>
            <w:hideMark/>
          </w:tcPr>
          <w:p w14:paraId="475AEA1F"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601,602</w:t>
            </w:r>
          </w:p>
        </w:tc>
        <w:tc>
          <w:tcPr>
            <w:tcW w:w="373" w:type="pct"/>
            <w:tcBorders>
              <w:top w:val="nil"/>
              <w:left w:val="nil"/>
              <w:bottom w:val="single" w:sz="4" w:space="0" w:color="auto"/>
              <w:right w:val="single" w:sz="4" w:space="0" w:color="auto"/>
            </w:tcBorders>
            <w:noWrap/>
            <w:vAlign w:val="bottom"/>
            <w:hideMark/>
          </w:tcPr>
          <w:p w14:paraId="05D48FCA"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542,751</w:t>
            </w:r>
          </w:p>
        </w:tc>
        <w:tc>
          <w:tcPr>
            <w:tcW w:w="351" w:type="pct"/>
            <w:tcBorders>
              <w:top w:val="nil"/>
              <w:left w:val="nil"/>
              <w:bottom w:val="single" w:sz="4" w:space="0" w:color="auto"/>
              <w:right w:val="single" w:sz="4" w:space="0" w:color="auto"/>
            </w:tcBorders>
            <w:noWrap/>
            <w:vAlign w:val="bottom"/>
            <w:hideMark/>
          </w:tcPr>
          <w:p w14:paraId="469CFAC5"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420,457</w:t>
            </w:r>
          </w:p>
        </w:tc>
        <w:tc>
          <w:tcPr>
            <w:tcW w:w="351" w:type="pct"/>
            <w:tcBorders>
              <w:top w:val="nil"/>
              <w:left w:val="nil"/>
              <w:bottom w:val="single" w:sz="4" w:space="0" w:color="auto"/>
              <w:right w:val="single" w:sz="4" w:space="0" w:color="auto"/>
            </w:tcBorders>
            <w:noWrap/>
            <w:vAlign w:val="bottom"/>
            <w:hideMark/>
          </w:tcPr>
          <w:p w14:paraId="0F4D2EDC"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394,879</w:t>
            </w:r>
          </w:p>
        </w:tc>
      </w:tr>
      <w:tr w:rsidR="00C64F6A" w:rsidRPr="002306CB" w14:paraId="62207448" w14:textId="77777777" w:rsidTr="009463F3">
        <w:trPr>
          <w:trHeight w:val="300"/>
        </w:trPr>
        <w:tc>
          <w:tcPr>
            <w:tcW w:w="869" w:type="pct"/>
            <w:tcBorders>
              <w:top w:val="nil"/>
              <w:left w:val="single" w:sz="4" w:space="0" w:color="auto"/>
              <w:bottom w:val="single" w:sz="4" w:space="0" w:color="auto"/>
              <w:right w:val="single" w:sz="4" w:space="0" w:color="auto"/>
            </w:tcBorders>
            <w:noWrap/>
            <w:vAlign w:val="bottom"/>
            <w:hideMark/>
          </w:tcPr>
          <w:p w14:paraId="16280F40"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 </w:t>
            </w:r>
          </w:p>
        </w:tc>
        <w:tc>
          <w:tcPr>
            <w:tcW w:w="1088" w:type="pct"/>
            <w:tcBorders>
              <w:top w:val="nil"/>
              <w:left w:val="nil"/>
              <w:bottom w:val="single" w:sz="4" w:space="0" w:color="auto"/>
              <w:right w:val="single" w:sz="4" w:space="0" w:color="auto"/>
            </w:tcBorders>
            <w:noWrap/>
            <w:vAlign w:val="bottom"/>
            <w:hideMark/>
          </w:tcPr>
          <w:p w14:paraId="19DDCBBD"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 </w:t>
            </w:r>
          </w:p>
        </w:tc>
        <w:tc>
          <w:tcPr>
            <w:tcW w:w="783" w:type="pct"/>
            <w:tcBorders>
              <w:top w:val="nil"/>
              <w:left w:val="nil"/>
              <w:bottom w:val="single" w:sz="4" w:space="0" w:color="auto"/>
              <w:right w:val="single" w:sz="4" w:space="0" w:color="auto"/>
            </w:tcBorders>
            <w:noWrap/>
            <w:vAlign w:val="bottom"/>
            <w:hideMark/>
          </w:tcPr>
          <w:p w14:paraId="6CDDE20E"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Accounts Receivable</w:t>
            </w:r>
          </w:p>
        </w:tc>
        <w:tc>
          <w:tcPr>
            <w:tcW w:w="810" w:type="pct"/>
            <w:tcBorders>
              <w:top w:val="nil"/>
              <w:left w:val="nil"/>
              <w:bottom w:val="single" w:sz="4" w:space="0" w:color="auto"/>
              <w:right w:val="single" w:sz="4" w:space="0" w:color="auto"/>
            </w:tcBorders>
            <w:noWrap/>
            <w:vAlign w:val="bottom"/>
            <w:hideMark/>
          </w:tcPr>
          <w:p w14:paraId="17362F78"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129,433</w:t>
            </w:r>
          </w:p>
        </w:tc>
        <w:tc>
          <w:tcPr>
            <w:tcW w:w="373" w:type="pct"/>
            <w:tcBorders>
              <w:top w:val="nil"/>
              <w:left w:val="nil"/>
              <w:bottom w:val="single" w:sz="4" w:space="0" w:color="auto"/>
              <w:right w:val="single" w:sz="4" w:space="0" w:color="auto"/>
            </w:tcBorders>
            <w:noWrap/>
            <w:vAlign w:val="bottom"/>
            <w:hideMark/>
          </w:tcPr>
          <w:p w14:paraId="14C7D627"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129,215</w:t>
            </w:r>
          </w:p>
        </w:tc>
        <w:tc>
          <w:tcPr>
            <w:tcW w:w="373" w:type="pct"/>
            <w:tcBorders>
              <w:top w:val="nil"/>
              <w:left w:val="nil"/>
              <w:bottom w:val="single" w:sz="4" w:space="0" w:color="auto"/>
              <w:right w:val="single" w:sz="4" w:space="0" w:color="auto"/>
            </w:tcBorders>
            <w:noWrap/>
            <w:vAlign w:val="bottom"/>
            <w:hideMark/>
          </w:tcPr>
          <w:p w14:paraId="516F5B8D"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112,346</w:t>
            </w:r>
          </w:p>
        </w:tc>
        <w:tc>
          <w:tcPr>
            <w:tcW w:w="351" w:type="pct"/>
            <w:tcBorders>
              <w:top w:val="nil"/>
              <w:left w:val="nil"/>
              <w:bottom w:val="single" w:sz="4" w:space="0" w:color="auto"/>
              <w:right w:val="single" w:sz="4" w:space="0" w:color="auto"/>
            </w:tcBorders>
            <w:noWrap/>
            <w:vAlign w:val="bottom"/>
            <w:hideMark/>
          </w:tcPr>
          <w:p w14:paraId="381811B5"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112,596</w:t>
            </w:r>
          </w:p>
        </w:tc>
        <w:tc>
          <w:tcPr>
            <w:tcW w:w="351" w:type="pct"/>
            <w:tcBorders>
              <w:top w:val="nil"/>
              <w:left w:val="nil"/>
              <w:bottom w:val="single" w:sz="4" w:space="0" w:color="auto"/>
              <w:right w:val="single" w:sz="4" w:space="0" w:color="auto"/>
            </w:tcBorders>
            <w:noWrap/>
            <w:vAlign w:val="bottom"/>
            <w:hideMark/>
          </w:tcPr>
          <w:p w14:paraId="0E6C0C4C"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114,182</w:t>
            </w:r>
          </w:p>
        </w:tc>
      </w:tr>
      <w:tr w:rsidR="00C64F6A" w:rsidRPr="002306CB" w14:paraId="427A5E06" w14:textId="77777777" w:rsidTr="009463F3">
        <w:trPr>
          <w:trHeight w:val="300"/>
        </w:trPr>
        <w:tc>
          <w:tcPr>
            <w:tcW w:w="869" w:type="pct"/>
            <w:tcBorders>
              <w:top w:val="nil"/>
              <w:left w:val="single" w:sz="4" w:space="0" w:color="auto"/>
              <w:bottom w:val="single" w:sz="4" w:space="0" w:color="auto"/>
              <w:right w:val="single" w:sz="4" w:space="0" w:color="auto"/>
            </w:tcBorders>
            <w:noWrap/>
            <w:vAlign w:val="bottom"/>
            <w:hideMark/>
          </w:tcPr>
          <w:p w14:paraId="1219E299"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Total Asset Turnover</w:t>
            </w:r>
          </w:p>
        </w:tc>
        <w:tc>
          <w:tcPr>
            <w:tcW w:w="1088" w:type="pct"/>
            <w:tcBorders>
              <w:top w:val="nil"/>
              <w:left w:val="nil"/>
              <w:bottom w:val="single" w:sz="4" w:space="0" w:color="auto"/>
              <w:right w:val="single" w:sz="4" w:space="0" w:color="auto"/>
            </w:tcBorders>
            <w:noWrap/>
            <w:vAlign w:val="bottom"/>
            <w:hideMark/>
          </w:tcPr>
          <w:p w14:paraId="0616C567"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Net Sales / Total Assets</w:t>
            </w:r>
          </w:p>
        </w:tc>
        <w:tc>
          <w:tcPr>
            <w:tcW w:w="783" w:type="pct"/>
            <w:tcBorders>
              <w:top w:val="nil"/>
              <w:left w:val="nil"/>
              <w:bottom w:val="single" w:sz="4" w:space="0" w:color="auto"/>
              <w:right w:val="single" w:sz="4" w:space="0" w:color="auto"/>
            </w:tcBorders>
            <w:noWrap/>
            <w:vAlign w:val="bottom"/>
            <w:hideMark/>
          </w:tcPr>
          <w:p w14:paraId="329FAE46"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Revenue (Net Sales)</w:t>
            </w:r>
          </w:p>
        </w:tc>
        <w:tc>
          <w:tcPr>
            <w:tcW w:w="810" w:type="pct"/>
            <w:tcBorders>
              <w:top w:val="nil"/>
              <w:left w:val="nil"/>
              <w:bottom w:val="single" w:sz="4" w:space="0" w:color="auto"/>
              <w:right w:val="single" w:sz="4" w:space="0" w:color="auto"/>
            </w:tcBorders>
            <w:noWrap/>
            <w:vAlign w:val="bottom"/>
            <w:hideMark/>
          </w:tcPr>
          <w:p w14:paraId="32ED9390"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614,680</w:t>
            </w:r>
          </w:p>
        </w:tc>
        <w:tc>
          <w:tcPr>
            <w:tcW w:w="373" w:type="pct"/>
            <w:tcBorders>
              <w:top w:val="nil"/>
              <w:left w:val="nil"/>
              <w:bottom w:val="single" w:sz="4" w:space="0" w:color="auto"/>
              <w:right w:val="single" w:sz="4" w:space="0" w:color="auto"/>
            </w:tcBorders>
            <w:noWrap/>
            <w:vAlign w:val="bottom"/>
            <w:hideMark/>
          </w:tcPr>
          <w:p w14:paraId="5F42D6E0"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601,602</w:t>
            </w:r>
          </w:p>
        </w:tc>
        <w:tc>
          <w:tcPr>
            <w:tcW w:w="373" w:type="pct"/>
            <w:tcBorders>
              <w:top w:val="nil"/>
              <w:left w:val="nil"/>
              <w:bottom w:val="single" w:sz="4" w:space="0" w:color="auto"/>
              <w:right w:val="single" w:sz="4" w:space="0" w:color="auto"/>
            </w:tcBorders>
            <w:noWrap/>
            <w:vAlign w:val="bottom"/>
            <w:hideMark/>
          </w:tcPr>
          <w:p w14:paraId="223A27DE"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542,751</w:t>
            </w:r>
          </w:p>
        </w:tc>
        <w:tc>
          <w:tcPr>
            <w:tcW w:w="351" w:type="pct"/>
            <w:tcBorders>
              <w:top w:val="nil"/>
              <w:left w:val="nil"/>
              <w:bottom w:val="single" w:sz="4" w:space="0" w:color="auto"/>
              <w:right w:val="single" w:sz="4" w:space="0" w:color="auto"/>
            </w:tcBorders>
            <w:noWrap/>
            <w:vAlign w:val="bottom"/>
            <w:hideMark/>
          </w:tcPr>
          <w:p w14:paraId="2C1836FB"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420,457</w:t>
            </w:r>
          </w:p>
        </w:tc>
        <w:tc>
          <w:tcPr>
            <w:tcW w:w="351" w:type="pct"/>
            <w:tcBorders>
              <w:top w:val="nil"/>
              <w:left w:val="nil"/>
              <w:bottom w:val="single" w:sz="4" w:space="0" w:color="auto"/>
              <w:right w:val="single" w:sz="4" w:space="0" w:color="auto"/>
            </w:tcBorders>
            <w:noWrap/>
            <w:vAlign w:val="bottom"/>
            <w:hideMark/>
          </w:tcPr>
          <w:p w14:paraId="38021207"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394,879</w:t>
            </w:r>
          </w:p>
        </w:tc>
      </w:tr>
      <w:tr w:rsidR="00C64F6A" w:rsidRPr="002306CB" w14:paraId="74FCB40D" w14:textId="77777777" w:rsidTr="009463F3">
        <w:trPr>
          <w:trHeight w:val="300"/>
        </w:trPr>
        <w:tc>
          <w:tcPr>
            <w:tcW w:w="869" w:type="pct"/>
            <w:tcBorders>
              <w:top w:val="nil"/>
              <w:left w:val="single" w:sz="4" w:space="0" w:color="auto"/>
              <w:bottom w:val="single" w:sz="4" w:space="0" w:color="auto"/>
              <w:right w:val="single" w:sz="4" w:space="0" w:color="auto"/>
            </w:tcBorders>
            <w:noWrap/>
            <w:vAlign w:val="bottom"/>
            <w:hideMark/>
          </w:tcPr>
          <w:p w14:paraId="6B75F0F5"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 </w:t>
            </w:r>
          </w:p>
        </w:tc>
        <w:tc>
          <w:tcPr>
            <w:tcW w:w="1088" w:type="pct"/>
            <w:tcBorders>
              <w:top w:val="nil"/>
              <w:left w:val="nil"/>
              <w:bottom w:val="single" w:sz="4" w:space="0" w:color="auto"/>
              <w:right w:val="single" w:sz="4" w:space="0" w:color="auto"/>
            </w:tcBorders>
            <w:noWrap/>
            <w:vAlign w:val="bottom"/>
            <w:hideMark/>
          </w:tcPr>
          <w:p w14:paraId="26A9CC9C"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 </w:t>
            </w:r>
          </w:p>
        </w:tc>
        <w:tc>
          <w:tcPr>
            <w:tcW w:w="783" w:type="pct"/>
            <w:tcBorders>
              <w:top w:val="nil"/>
              <w:left w:val="nil"/>
              <w:bottom w:val="single" w:sz="4" w:space="0" w:color="auto"/>
              <w:right w:val="single" w:sz="4" w:space="0" w:color="auto"/>
            </w:tcBorders>
            <w:noWrap/>
            <w:vAlign w:val="bottom"/>
            <w:hideMark/>
          </w:tcPr>
          <w:p w14:paraId="5B1B3BD6"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Total Assets</w:t>
            </w:r>
          </w:p>
        </w:tc>
        <w:tc>
          <w:tcPr>
            <w:tcW w:w="810" w:type="pct"/>
            <w:tcBorders>
              <w:top w:val="nil"/>
              <w:left w:val="nil"/>
              <w:bottom w:val="single" w:sz="4" w:space="0" w:color="auto"/>
              <w:right w:val="single" w:sz="4" w:space="0" w:color="auto"/>
            </w:tcBorders>
            <w:noWrap/>
            <w:vAlign w:val="bottom"/>
            <w:hideMark/>
          </w:tcPr>
          <w:p w14:paraId="3ED35F4D"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510,290</w:t>
            </w:r>
          </w:p>
        </w:tc>
        <w:tc>
          <w:tcPr>
            <w:tcW w:w="373" w:type="pct"/>
            <w:tcBorders>
              <w:top w:val="nil"/>
              <w:left w:val="nil"/>
              <w:bottom w:val="single" w:sz="4" w:space="0" w:color="auto"/>
              <w:right w:val="single" w:sz="4" w:space="0" w:color="auto"/>
            </w:tcBorders>
            <w:noWrap/>
            <w:vAlign w:val="bottom"/>
            <w:hideMark/>
          </w:tcPr>
          <w:p w14:paraId="4DFBEFA7"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510,348</w:t>
            </w:r>
          </w:p>
        </w:tc>
        <w:tc>
          <w:tcPr>
            <w:tcW w:w="373" w:type="pct"/>
            <w:tcBorders>
              <w:top w:val="nil"/>
              <w:left w:val="nil"/>
              <w:bottom w:val="single" w:sz="4" w:space="0" w:color="auto"/>
              <w:right w:val="single" w:sz="4" w:space="0" w:color="auto"/>
            </w:tcBorders>
            <w:noWrap/>
            <w:vAlign w:val="bottom"/>
            <w:hideMark/>
          </w:tcPr>
          <w:p w14:paraId="5525BBF9"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504,163</w:t>
            </w:r>
          </w:p>
        </w:tc>
        <w:tc>
          <w:tcPr>
            <w:tcW w:w="351" w:type="pct"/>
            <w:tcBorders>
              <w:top w:val="nil"/>
              <w:left w:val="nil"/>
              <w:bottom w:val="single" w:sz="4" w:space="0" w:color="auto"/>
              <w:right w:val="single" w:sz="4" w:space="0" w:color="auto"/>
            </w:tcBorders>
            <w:noWrap/>
            <w:vAlign w:val="bottom"/>
            <w:hideMark/>
          </w:tcPr>
          <w:p w14:paraId="23A92549"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355,872</w:t>
            </w:r>
          </w:p>
        </w:tc>
        <w:tc>
          <w:tcPr>
            <w:tcW w:w="351" w:type="pct"/>
            <w:tcBorders>
              <w:top w:val="nil"/>
              <w:left w:val="nil"/>
              <w:bottom w:val="single" w:sz="4" w:space="0" w:color="auto"/>
              <w:right w:val="single" w:sz="4" w:space="0" w:color="auto"/>
            </w:tcBorders>
            <w:noWrap/>
            <w:vAlign w:val="bottom"/>
            <w:hideMark/>
          </w:tcPr>
          <w:p w14:paraId="2B083597"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323,354</w:t>
            </w:r>
          </w:p>
        </w:tc>
      </w:tr>
      <w:tr w:rsidR="00C64F6A" w:rsidRPr="002306CB" w14:paraId="0B8A321A" w14:textId="77777777" w:rsidTr="009463F3">
        <w:trPr>
          <w:trHeight w:val="300"/>
        </w:trPr>
        <w:tc>
          <w:tcPr>
            <w:tcW w:w="869" w:type="pct"/>
            <w:tcBorders>
              <w:top w:val="nil"/>
              <w:left w:val="single" w:sz="4" w:space="0" w:color="auto"/>
              <w:bottom w:val="single" w:sz="4" w:space="0" w:color="auto"/>
              <w:right w:val="single" w:sz="4" w:space="0" w:color="auto"/>
            </w:tcBorders>
            <w:shd w:val="clear" w:color="000000" w:fill="CAEDFB"/>
            <w:noWrap/>
            <w:vAlign w:val="bottom"/>
            <w:hideMark/>
          </w:tcPr>
          <w:p w14:paraId="1D943A88" w14:textId="77777777" w:rsidR="00C64F6A" w:rsidRPr="002306CB" w:rsidRDefault="00C64F6A" w:rsidP="009463F3">
            <w:pPr>
              <w:spacing w:after="0" w:line="240" w:lineRule="auto"/>
              <w:jc w:val="left"/>
              <w:rPr>
                <w:rFonts w:ascii="Aptos Narrow" w:eastAsia="Times New Roman" w:hAnsi="Aptos Narrow" w:cs="Times New Roman"/>
                <w:b/>
                <w:bCs/>
                <w:color w:val="000000"/>
                <w:kern w:val="0"/>
                <w:sz w:val="22"/>
                <w:szCs w:val="22"/>
                <w:lang w:val="en-US"/>
                <w14:ligatures w14:val="none"/>
              </w:rPr>
            </w:pPr>
            <w:r w:rsidRPr="002306CB">
              <w:rPr>
                <w:rFonts w:ascii="Aptos Narrow" w:eastAsia="Times New Roman" w:hAnsi="Aptos Narrow" w:cs="Times New Roman"/>
                <w:b/>
                <w:bCs/>
                <w:color w:val="000000"/>
                <w:kern w:val="0"/>
                <w:sz w:val="22"/>
                <w:szCs w:val="22"/>
                <w:lang w:val="en-US"/>
                <w14:ligatures w14:val="none"/>
              </w:rPr>
              <w:t>Gearing (Solvency) Ratios</w:t>
            </w:r>
          </w:p>
        </w:tc>
        <w:tc>
          <w:tcPr>
            <w:tcW w:w="1088" w:type="pct"/>
            <w:tcBorders>
              <w:top w:val="nil"/>
              <w:left w:val="nil"/>
              <w:bottom w:val="single" w:sz="4" w:space="0" w:color="auto"/>
              <w:right w:val="single" w:sz="4" w:space="0" w:color="auto"/>
            </w:tcBorders>
            <w:shd w:val="clear" w:color="000000" w:fill="CAEDFB"/>
            <w:noWrap/>
            <w:vAlign w:val="bottom"/>
            <w:hideMark/>
          </w:tcPr>
          <w:p w14:paraId="5A9624C8" w14:textId="77777777" w:rsidR="00C64F6A" w:rsidRPr="002306CB" w:rsidRDefault="00C64F6A" w:rsidP="009463F3">
            <w:pPr>
              <w:spacing w:after="0" w:line="240" w:lineRule="auto"/>
              <w:jc w:val="left"/>
              <w:rPr>
                <w:rFonts w:ascii="Aptos Narrow" w:eastAsia="Times New Roman" w:hAnsi="Aptos Narrow" w:cs="Times New Roman"/>
                <w:b/>
                <w:bCs/>
                <w:color w:val="000000"/>
                <w:kern w:val="0"/>
                <w:sz w:val="22"/>
                <w:szCs w:val="22"/>
                <w:lang w:val="en-US"/>
                <w14:ligatures w14:val="none"/>
              </w:rPr>
            </w:pPr>
            <w:r w:rsidRPr="002306CB">
              <w:rPr>
                <w:rFonts w:ascii="Aptos Narrow" w:eastAsia="Times New Roman" w:hAnsi="Aptos Narrow" w:cs="Times New Roman"/>
                <w:b/>
                <w:bCs/>
                <w:color w:val="000000"/>
                <w:kern w:val="0"/>
                <w:sz w:val="22"/>
                <w:szCs w:val="22"/>
                <w:lang w:val="en-US"/>
                <w14:ligatures w14:val="none"/>
              </w:rPr>
              <w:t> </w:t>
            </w:r>
          </w:p>
        </w:tc>
        <w:tc>
          <w:tcPr>
            <w:tcW w:w="783" w:type="pct"/>
            <w:tcBorders>
              <w:top w:val="nil"/>
              <w:left w:val="nil"/>
              <w:bottom w:val="single" w:sz="4" w:space="0" w:color="auto"/>
              <w:right w:val="single" w:sz="4" w:space="0" w:color="auto"/>
            </w:tcBorders>
            <w:shd w:val="clear" w:color="000000" w:fill="CAEDFB"/>
            <w:noWrap/>
            <w:vAlign w:val="bottom"/>
            <w:hideMark/>
          </w:tcPr>
          <w:p w14:paraId="4D0E0165" w14:textId="77777777" w:rsidR="00C64F6A" w:rsidRPr="002306CB" w:rsidRDefault="00C64F6A" w:rsidP="009463F3">
            <w:pPr>
              <w:spacing w:after="0" w:line="240" w:lineRule="auto"/>
              <w:jc w:val="left"/>
              <w:rPr>
                <w:rFonts w:ascii="Aptos Narrow" w:eastAsia="Times New Roman" w:hAnsi="Aptos Narrow" w:cs="Times New Roman"/>
                <w:b/>
                <w:bCs/>
                <w:color w:val="000000"/>
                <w:kern w:val="0"/>
                <w:sz w:val="22"/>
                <w:szCs w:val="22"/>
                <w:lang w:val="en-US"/>
                <w14:ligatures w14:val="none"/>
              </w:rPr>
            </w:pPr>
            <w:r w:rsidRPr="002306CB">
              <w:rPr>
                <w:rFonts w:ascii="Aptos Narrow" w:eastAsia="Times New Roman" w:hAnsi="Aptos Narrow" w:cs="Times New Roman"/>
                <w:b/>
                <w:bCs/>
                <w:color w:val="000000"/>
                <w:kern w:val="0"/>
                <w:sz w:val="22"/>
                <w:szCs w:val="22"/>
                <w:lang w:val="en-US"/>
                <w14:ligatures w14:val="none"/>
              </w:rPr>
              <w:t> </w:t>
            </w:r>
          </w:p>
        </w:tc>
        <w:tc>
          <w:tcPr>
            <w:tcW w:w="810" w:type="pct"/>
            <w:tcBorders>
              <w:top w:val="nil"/>
              <w:left w:val="nil"/>
              <w:bottom w:val="single" w:sz="4" w:space="0" w:color="auto"/>
              <w:right w:val="single" w:sz="4" w:space="0" w:color="auto"/>
            </w:tcBorders>
            <w:shd w:val="clear" w:color="000000" w:fill="CAEDFB"/>
            <w:noWrap/>
            <w:vAlign w:val="bottom"/>
            <w:hideMark/>
          </w:tcPr>
          <w:p w14:paraId="2D585962" w14:textId="77777777" w:rsidR="00C64F6A" w:rsidRPr="002306CB" w:rsidRDefault="00C64F6A" w:rsidP="009463F3">
            <w:pPr>
              <w:spacing w:after="0" w:line="240" w:lineRule="auto"/>
              <w:jc w:val="left"/>
              <w:rPr>
                <w:rFonts w:ascii="Aptos Narrow" w:eastAsia="Times New Roman" w:hAnsi="Aptos Narrow" w:cs="Times New Roman"/>
                <w:b/>
                <w:bCs/>
                <w:color w:val="000000"/>
                <w:kern w:val="0"/>
                <w:sz w:val="22"/>
                <w:szCs w:val="22"/>
                <w:lang w:val="en-US"/>
                <w14:ligatures w14:val="none"/>
              </w:rPr>
            </w:pPr>
            <w:r w:rsidRPr="002306CB">
              <w:rPr>
                <w:rFonts w:ascii="Aptos Narrow" w:eastAsia="Times New Roman" w:hAnsi="Aptos Narrow" w:cs="Times New Roman"/>
                <w:b/>
                <w:bCs/>
                <w:color w:val="000000"/>
                <w:kern w:val="0"/>
                <w:sz w:val="22"/>
                <w:szCs w:val="22"/>
                <w:lang w:val="en-US"/>
                <w14:ligatures w14:val="none"/>
              </w:rPr>
              <w:t> </w:t>
            </w:r>
          </w:p>
        </w:tc>
        <w:tc>
          <w:tcPr>
            <w:tcW w:w="373" w:type="pct"/>
            <w:tcBorders>
              <w:top w:val="nil"/>
              <w:left w:val="nil"/>
              <w:bottom w:val="single" w:sz="4" w:space="0" w:color="auto"/>
              <w:right w:val="single" w:sz="4" w:space="0" w:color="auto"/>
            </w:tcBorders>
            <w:shd w:val="clear" w:color="000000" w:fill="CAEDFB"/>
            <w:noWrap/>
            <w:vAlign w:val="bottom"/>
            <w:hideMark/>
          </w:tcPr>
          <w:p w14:paraId="3169C857" w14:textId="77777777" w:rsidR="00C64F6A" w:rsidRPr="002306CB" w:rsidRDefault="00C64F6A" w:rsidP="009463F3">
            <w:pPr>
              <w:spacing w:after="0" w:line="240" w:lineRule="auto"/>
              <w:jc w:val="left"/>
              <w:rPr>
                <w:rFonts w:ascii="Aptos Narrow" w:eastAsia="Times New Roman" w:hAnsi="Aptos Narrow" w:cs="Times New Roman"/>
                <w:b/>
                <w:bCs/>
                <w:color w:val="000000"/>
                <w:kern w:val="0"/>
                <w:sz w:val="22"/>
                <w:szCs w:val="22"/>
                <w:lang w:val="en-US"/>
                <w14:ligatures w14:val="none"/>
              </w:rPr>
            </w:pPr>
            <w:r w:rsidRPr="002306CB">
              <w:rPr>
                <w:rFonts w:ascii="Aptos Narrow" w:eastAsia="Times New Roman" w:hAnsi="Aptos Narrow" w:cs="Times New Roman"/>
                <w:b/>
                <w:bCs/>
                <w:color w:val="000000"/>
                <w:kern w:val="0"/>
                <w:sz w:val="22"/>
                <w:szCs w:val="22"/>
                <w:lang w:val="en-US"/>
                <w14:ligatures w14:val="none"/>
              </w:rPr>
              <w:t> </w:t>
            </w:r>
          </w:p>
        </w:tc>
        <w:tc>
          <w:tcPr>
            <w:tcW w:w="373" w:type="pct"/>
            <w:tcBorders>
              <w:top w:val="nil"/>
              <w:left w:val="nil"/>
              <w:bottom w:val="single" w:sz="4" w:space="0" w:color="auto"/>
              <w:right w:val="single" w:sz="4" w:space="0" w:color="auto"/>
            </w:tcBorders>
            <w:shd w:val="clear" w:color="000000" w:fill="CAEDFB"/>
            <w:noWrap/>
            <w:vAlign w:val="bottom"/>
            <w:hideMark/>
          </w:tcPr>
          <w:p w14:paraId="42376CE0" w14:textId="77777777" w:rsidR="00C64F6A" w:rsidRPr="002306CB" w:rsidRDefault="00C64F6A" w:rsidP="009463F3">
            <w:pPr>
              <w:spacing w:after="0" w:line="240" w:lineRule="auto"/>
              <w:jc w:val="left"/>
              <w:rPr>
                <w:rFonts w:ascii="Aptos Narrow" w:eastAsia="Times New Roman" w:hAnsi="Aptos Narrow" w:cs="Times New Roman"/>
                <w:b/>
                <w:bCs/>
                <w:color w:val="000000"/>
                <w:kern w:val="0"/>
                <w:sz w:val="22"/>
                <w:szCs w:val="22"/>
                <w:lang w:val="en-US"/>
                <w14:ligatures w14:val="none"/>
              </w:rPr>
            </w:pPr>
            <w:r w:rsidRPr="002306CB">
              <w:rPr>
                <w:rFonts w:ascii="Aptos Narrow" w:eastAsia="Times New Roman" w:hAnsi="Aptos Narrow" w:cs="Times New Roman"/>
                <w:b/>
                <w:bCs/>
                <w:color w:val="000000"/>
                <w:kern w:val="0"/>
                <w:sz w:val="22"/>
                <w:szCs w:val="22"/>
                <w:lang w:val="en-US"/>
                <w14:ligatures w14:val="none"/>
              </w:rPr>
              <w:t> </w:t>
            </w:r>
          </w:p>
        </w:tc>
        <w:tc>
          <w:tcPr>
            <w:tcW w:w="351" w:type="pct"/>
            <w:tcBorders>
              <w:top w:val="nil"/>
              <w:left w:val="nil"/>
              <w:bottom w:val="single" w:sz="4" w:space="0" w:color="auto"/>
              <w:right w:val="single" w:sz="4" w:space="0" w:color="auto"/>
            </w:tcBorders>
            <w:shd w:val="clear" w:color="000000" w:fill="CAEDFB"/>
            <w:noWrap/>
            <w:vAlign w:val="bottom"/>
            <w:hideMark/>
          </w:tcPr>
          <w:p w14:paraId="63589AD9" w14:textId="77777777" w:rsidR="00C64F6A" w:rsidRPr="002306CB" w:rsidRDefault="00C64F6A" w:rsidP="009463F3">
            <w:pPr>
              <w:spacing w:after="0" w:line="240" w:lineRule="auto"/>
              <w:jc w:val="left"/>
              <w:rPr>
                <w:rFonts w:ascii="Aptos Narrow" w:eastAsia="Times New Roman" w:hAnsi="Aptos Narrow" w:cs="Times New Roman"/>
                <w:b/>
                <w:bCs/>
                <w:color w:val="000000"/>
                <w:kern w:val="0"/>
                <w:sz w:val="22"/>
                <w:szCs w:val="22"/>
                <w:lang w:val="en-US"/>
                <w14:ligatures w14:val="none"/>
              </w:rPr>
            </w:pPr>
            <w:r w:rsidRPr="002306CB">
              <w:rPr>
                <w:rFonts w:ascii="Aptos Narrow" w:eastAsia="Times New Roman" w:hAnsi="Aptos Narrow" w:cs="Times New Roman"/>
                <w:b/>
                <w:bCs/>
                <w:color w:val="000000"/>
                <w:kern w:val="0"/>
                <w:sz w:val="22"/>
                <w:szCs w:val="22"/>
                <w:lang w:val="en-US"/>
                <w14:ligatures w14:val="none"/>
              </w:rPr>
              <w:t> </w:t>
            </w:r>
          </w:p>
        </w:tc>
        <w:tc>
          <w:tcPr>
            <w:tcW w:w="351" w:type="pct"/>
            <w:tcBorders>
              <w:top w:val="nil"/>
              <w:left w:val="nil"/>
              <w:bottom w:val="single" w:sz="4" w:space="0" w:color="auto"/>
              <w:right w:val="single" w:sz="4" w:space="0" w:color="auto"/>
            </w:tcBorders>
            <w:shd w:val="clear" w:color="000000" w:fill="CAEDFB"/>
            <w:noWrap/>
            <w:vAlign w:val="bottom"/>
            <w:hideMark/>
          </w:tcPr>
          <w:p w14:paraId="59396FFD" w14:textId="77777777" w:rsidR="00C64F6A" w:rsidRPr="002306CB" w:rsidRDefault="00C64F6A" w:rsidP="009463F3">
            <w:pPr>
              <w:spacing w:after="0" w:line="240" w:lineRule="auto"/>
              <w:jc w:val="left"/>
              <w:rPr>
                <w:rFonts w:ascii="Aptos Narrow" w:eastAsia="Times New Roman" w:hAnsi="Aptos Narrow" w:cs="Times New Roman"/>
                <w:b/>
                <w:bCs/>
                <w:color w:val="000000"/>
                <w:kern w:val="0"/>
                <w:sz w:val="22"/>
                <w:szCs w:val="22"/>
                <w:lang w:val="en-US"/>
                <w14:ligatures w14:val="none"/>
              </w:rPr>
            </w:pPr>
            <w:r w:rsidRPr="002306CB">
              <w:rPr>
                <w:rFonts w:ascii="Aptos Narrow" w:eastAsia="Times New Roman" w:hAnsi="Aptos Narrow" w:cs="Times New Roman"/>
                <w:b/>
                <w:bCs/>
                <w:color w:val="000000"/>
                <w:kern w:val="0"/>
                <w:sz w:val="22"/>
                <w:szCs w:val="22"/>
                <w:lang w:val="en-US"/>
                <w14:ligatures w14:val="none"/>
              </w:rPr>
              <w:t> </w:t>
            </w:r>
          </w:p>
        </w:tc>
      </w:tr>
      <w:tr w:rsidR="00C64F6A" w:rsidRPr="002306CB" w14:paraId="38AFF9F4" w14:textId="77777777" w:rsidTr="009463F3">
        <w:trPr>
          <w:trHeight w:val="300"/>
        </w:trPr>
        <w:tc>
          <w:tcPr>
            <w:tcW w:w="869" w:type="pct"/>
            <w:tcBorders>
              <w:top w:val="nil"/>
              <w:left w:val="single" w:sz="4" w:space="0" w:color="auto"/>
              <w:bottom w:val="single" w:sz="4" w:space="0" w:color="auto"/>
              <w:right w:val="single" w:sz="4" w:space="0" w:color="auto"/>
            </w:tcBorders>
            <w:noWrap/>
            <w:vAlign w:val="bottom"/>
            <w:hideMark/>
          </w:tcPr>
          <w:p w14:paraId="4FB0C638"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Debt to Equity Ratio</w:t>
            </w:r>
          </w:p>
        </w:tc>
        <w:tc>
          <w:tcPr>
            <w:tcW w:w="1088" w:type="pct"/>
            <w:tcBorders>
              <w:top w:val="nil"/>
              <w:left w:val="nil"/>
              <w:bottom w:val="single" w:sz="4" w:space="0" w:color="auto"/>
              <w:right w:val="single" w:sz="4" w:space="0" w:color="auto"/>
            </w:tcBorders>
            <w:noWrap/>
            <w:vAlign w:val="bottom"/>
            <w:hideMark/>
          </w:tcPr>
          <w:p w14:paraId="4BB123B7"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Total Liabilities / Equity</w:t>
            </w:r>
          </w:p>
        </w:tc>
        <w:tc>
          <w:tcPr>
            <w:tcW w:w="783" w:type="pct"/>
            <w:tcBorders>
              <w:top w:val="nil"/>
              <w:left w:val="nil"/>
              <w:bottom w:val="single" w:sz="4" w:space="0" w:color="auto"/>
              <w:right w:val="single" w:sz="4" w:space="0" w:color="auto"/>
            </w:tcBorders>
            <w:noWrap/>
            <w:vAlign w:val="bottom"/>
            <w:hideMark/>
          </w:tcPr>
          <w:p w14:paraId="65B4075C"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Total Liabilities</w:t>
            </w:r>
          </w:p>
        </w:tc>
        <w:tc>
          <w:tcPr>
            <w:tcW w:w="810" w:type="pct"/>
            <w:tcBorders>
              <w:top w:val="nil"/>
              <w:left w:val="nil"/>
              <w:bottom w:val="single" w:sz="4" w:space="0" w:color="auto"/>
              <w:right w:val="single" w:sz="4" w:space="0" w:color="auto"/>
            </w:tcBorders>
            <w:noWrap/>
            <w:vAlign w:val="bottom"/>
            <w:hideMark/>
          </w:tcPr>
          <w:p w14:paraId="468B3322"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196,989</w:t>
            </w:r>
          </w:p>
        </w:tc>
        <w:tc>
          <w:tcPr>
            <w:tcW w:w="373" w:type="pct"/>
            <w:tcBorders>
              <w:top w:val="nil"/>
              <w:left w:val="nil"/>
              <w:bottom w:val="single" w:sz="4" w:space="0" w:color="auto"/>
              <w:right w:val="single" w:sz="4" w:space="0" w:color="auto"/>
            </w:tcBorders>
            <w:noWrap/>
            <w:vAlign w:val="bottom"/>
            <w:hideMark/>
          </w:tcPr>
          <w:p w14:paraId="6535699B"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234,399</w:t>
            </w:r>
          </w:p>
        </w:tc>
        <w:tc>
          <w:tcPr>
            <w:tcW w:w="373" w:type="pct"/>
            <w:tcBorders>
              <w:top w:val="nil"/>
              <w:left w:val="nil"/>
              <w:bottom w:val="single" w:sz="4" w:space="0" w:color="auto"/>
              <w:right w:val="single" w:sz="4" w:space="0" w:color="auto"/>
            </w:tcBorders>
            <w:noWrap/>
            <w:vAlign w:val="bottom"/>
            <w:hideMark/>
          </w:tcPr>
          <w:p w14:paraId="4D21395F"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235,757</w:t>
            </w:r>
          </w:p>
        </w:tc>
        <w:tc>
          <w:tcPr>
            <w:tcW w:w="351" w:type="pct"/>
            <w:tcBorders>
              <w:top w:val="nil"/>
              <w:left w:val="nil"/>
              <w:bottom w:val="single" w:sz="4" w:space="0" w:color="auto"/>
              <w:right w:val="single" w:sz="4" w:space="0" w:color="auto"/>
            </w:tcBorders>
            <w:noWrap/>
            <w:vAlign w:val="bottom"/>
            <w:hideMark/>
          </w:tcPr>
          <w:p w14:paraId="0EA2D818"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176,952</w:t>
            </w:r>
          </w:p>
        </w:tc>
        <w:tc>
          <w:tcPr>
            <w:tcW w:w="351" w:type="pct"/>
            <w:tcBorders>
              <w:top w:val="nil"/>
              <w:left w:val="nil"/>
              <w:bottom w:val="single" w:sz="4" w:space="0" w:color="auto"/>
              <w:right w:val="single" w:sz="4" w:space="0" w:color="auto"/>
            </w:tcBorders>
            <w:noWrap/>
            <w:vAlign w:val="bottom"/>
            <w:hideMark/>
          </w:tcPr>
          <w:p w14:paraId="1848B762"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170,249</w:t>
            </w:r>
          </w:p>
        </w:tc>
      </w:tr>
      <w:tr w:rsidR="00C64F6A" w:rsidRPr="002306CB" w14:paraId="67495BC7" w14:textId="77777777" w:rsidTr="009463F3">
        <w:trPr>
          <w:trHeight w:val="300"/>
        </w:trPr>
        <w:tc>
          <w:tcPr>
            <w:tcW w:w="869" w:type="pct"/>
            <w:tcBorders>
              <w:top w:val="nil"/>
              <w:left w:val="single" w:sz="4" w:space="0" w:color="auto"/>
              <w:bottom w:val="single" w:sz="4" w:space="0" w:color="auto"/>
              <w:right w:val="single" w:sz="4" w:space="0" w:color="auto"/>
            </w:tcBorders>
            <w:noWrap/>
            <w:vAlign w:val="bottom"/>
            <w:hideMark/>
          </w:tcPr>
          <w:p w14:paraId="5214C6D4"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 </w:t>
            </w:r>
          </w:p>
        </w:tc>
        <w:tc>
          <w:tcPr>
            <w:tcW w:w="1088" w:type="pct"/>
            <w:tcBorders>
              <w:top w:val="nil"/>
              <w:left w:val="nil"/>
              <w:bottom w:val="single" w:sz="4" w:space="0" w:color="auto"/>
              <w:right w:val="single" w:sz="4" w:space="0" w:color="auto"/>
            </w:tcBorders>
            <w:noWrap/>
            <w:vAlign w:val="bottom"/>
            <w:hideMark/>
          </w:tcPr>
          <w:p w14:paraId="021C8DE8"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 </w:t>
            </w:r>
          </w:p>
        </w:tc>
        <w:tc>
          <w:tcPr>
            <w:tcW w:w="783" w:type="pct"/>
            <w:tcBorders>
              <w:top w:val="nil"/>
              <w:left w:val="nil"/>
              <w:bottom w:val="single" w:sz="4" w:space="0" w:color="auto"/>
              <w:right w:val="single" w:sz="4" w:space="0" w:color="auto"/>
            </w:tcBorders>
            <w:noWrap/>
            <w:vAlign w:val="bottom"/>
            <w:hideMark/>
          </w:tcPr>
          <w:p w14:paraId="1C7CBD6C"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Total Equity</w:t>
            </w:r>
          </w:p>
        </w:tc>
        <w:tc>
          <w:tcPr>
            <w:tcW w:w="810" w:type="pct"/>
            <w:tcBorders>
              <w:top w:val="nil"/>
              <w:left w:val="nil"/>
              <w:bottom w:val="single" w:sz="4" w:space="0" w:color="auto"/>
              <w:right w:val="single" w:sz="4" w:space="0" w:color="auto"/>
            </w:tcBorders>
            <w:noWrap/>
            <w:vAlign w:val="bottom"/>
            <w:hideMark/>
          </w:tcPr>
          <w:p w14:paraId="787B9E4B"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313,301</w:t>
            </w:r>
          </w:p>
        </w:tc>
        <w:tc>
          <w:tcPr>
            <w:tcW w:w="373" w:type="pct"/>
            <w:tcBorders>
              <w:top w:val="nil"/>
              <w:left w:val="nil"/>
              <w:bottom w:val="single" w:sz="4" w:space="0" w:color="auto"/>
              <w:right w:val="single" w:sz="4" w:space="0" w:color="auto"/>
            </w:tcBorders>
            <w:noWrap/>
            <w:vAlign w:val="bottom"/>
            <w:hideMark/>
          </w:tcPr>
          <w:p w14:paraId="39748DB8"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275,949</w:t>
            </w:r>
          </w:p>
        </w:tc>
        <w:tc>
          <w:tcPr>
            <w:tcW w:w="373" w:type="pct"/>
            <w:tcBorders>
              <w:top w:val="nil"/>
              <w:left w:val="nil"/>
              <w:bottom w:val="single" w:sz="4" w:space="0" w:color="auto"/>
              <w:right w:val="single" w:sz="4" w:space="0" w:color="auto"/>
            </w:tcBorders>
            <w:noWrap/>
            <w:vAlign w:val="bottom"/>
            <w:hideMark/>
          </w:tcPr>
          <w:p w14:paraId="476DAA07"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268,406</w:t>
            </w:r>
          </w:p>
        </w:tc>
        <w:tc>
          <w:tcPr>
            <w:tcW w:w="351" w:type="pct"/>
            <w:tcBorders>
              <w:top w:val="nil"/>
              <w:left w:val="nil"/>
              <w:bottom w:val="single" w:sz="4" w:space="0" w:color="auto"/>
              <w:right w:val="single" w:sz="4" w:space="0" w:color="auto"/>
            </w:tcBorders>
            <w:noWrap/>
            <w:vAlign w:val="bottom"/>
            <w:hideMark/>
          </w:tcPr>
          <w:p w14:paraId="5520B4BF"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178,920</w:t>
            </w:r>
          </w:p>
        </w:tc>
        <w:tc>
          <w:tcPr>
            <w:tcW w:w="351" w:type="pct"/>
            <w:tcBorders>
              <w:top w:val="nil"/>
              <w:left w:val="nil"/>
              <w:bottom w:val="single" w:sz="4" w:space="0" w:color="auto"/>
              <w:right w:val="single" w:sz="4" w:space="0" w:color="auto"/>
            </w:tcBorders>
            <w:noWrap/>
            <w:vAlign w:val="bottom"/>
            <w:hideMark/>
          </w:tcPr>
          <w:p w14:paraId="62C2D3EF"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153,105</w:t>
            </w:r>
          </w:p>
        </w:tc>
      </w:tr>
      <w:tr w:rsidR="00C64F6A" w:rsidRPr="002306CB" w14:paraId="791DDC2C" w14:textId="77777777" w:rsidTr="009463F3">
        <w:trPr>
          <w:trHeight w:val="300"/>
        </w:trPr>
        <w:tc>
          <w:tcPr>
            <w:tcW w:w="869" w:type="pct"/>
            <w:tcBorders>
              <w:top w:val="nil"/>
              <w:left w:val="single" w:sz="4" w:space="0" w:color="auto"/>
              <w:bottom w:val="single" w:sz="4" w:space="0" w:color="auto"/>
              <w:right w:val="single" w:sz="4" w:space="0" w:color="auto"/>
            </w:tcBorders>
            <w:noWrap/>
            <w:vAlign w:val="bottom"/>
            <w:hideMark/>
          </w:tcPr>
          <w:p w14:paraId="0452C6FA"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Debt Ratio</w:t>
            </w:r>
          </w:p>
        </w:tc>
        <w:tc>
          <w:tcPr>
            <w:tcW w:w="1088" w:type="pct"/>
            <w:tcBorders>
              <w:top w:val="nil"/>
              <w:left w:val="nil"/>
              <w:bottom w:val="single" w:sz="4" w:space="0" w:color="auto"/>
              <w:right w:val="single" w:sz="4" w:space="0" w:color="auto"/>
            </w:tcBorders>
            <w:noWrap/>
            <w:vAlign w:val="bottom"/>
            <w:hideMark/>
          </w:tcPr>
          <w:p w14:paraId="76A80496"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Total Liabilities / Total Assets</w:t>
            </w:r>
          </w:p>
        </w:tc>
        <w:tc>
          <w:tcPr>
            <w:tcW w:w="783" w:type="pct"/>
            <w:tcBorders>
              <w:top w:val="nil"/>
              <w:left w:val="nil"/>
              <w:bottom w:val="single" w:sz="4" w:space="0" w:color="auto"/>
              <w:right w:val="single" w:sz="4" w:space="0" w:color="auto"/>
            </w:tcBorders>
            <w:noWrap/>
            <w:vAlign w:val="bottom"/>
            <w:hideMark/>
          </w:tcPr>
          <w:p w14:paraId="26C4EF4C"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Total Liabilities</w:t>
            </w:r>
          </w:p>
        </w:tc>
        <w:tc>
          <w:tcPr>
            <w:tcW w:w="810" w:type="pct"/>
            <w:tcBorders>
              <w:top w:val="nil"/>
              <w:left w:val="nil"/>
              <w:bottom w:val="single" w:sz="4" w:space="0" w:color="auto"/>
              <w:right w:val="single" w:sz="4" w:space="0" w:color="auto"/>
            </w:tcBorders>
            <w:noWrap/>
            <w:vAlign w:val="bottom"/>
            <w:hideMark/>
          </w:tcPr>
          <w:p w14:paraId="6C1CF360"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196,989</w:t>
            </w:r>
          </w:p>
        </w:tc>
        <w:tc>
          <w:tcPr>
            <w:tcW w:w="373" w:type="pct"/>
            <w:tcBorders>
              <w:top w:val="nil"/>
              <w:left w:val="nil"/>
              <w:bottom w:val="single" w:sz="4" w:space="0" w:color="auto"/>
              <w:right w:val="single" w:sz="4" w:space="0" w:color="auto"/>
            </w:tcBorders>
            <w:noWrap/>
            <w:vAlign w:val="bottom"/>
            <w:hideMark/>
          </w:tcPr>
          <w:p w14:paraId="2DB18FA1"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234,399</w:t>
            </w:r>
          </w:p>
        </w:tc>
        <w:tc>
          <w:tcPr>
            <w:tcW w:w="373" w:type="pct"/>
            <w:tcBorders>
              <w:top w:val="nil"/>
              <w:left w:val="nil"/>
              <w:bottom w:val="single" w:sz="4" w:space="0" w:color="auto"/>
              <w:right w:val="single" w:sz="4" w:space="0" w:color="auto"/>
            </w:tcBorders>
            <w:noWrap/>
            <w:vAlign w:val="bottom"/>
            <w:hideMark/>
          </w:tcPr>
          <w:p w14:paraId="0FDFE0BE"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235,757</w:t>
            </w:r>
          </w:p>
        </w:tc>
        <w:tc>
          <w:tcPr>
            <w:tcW w:w="351" w:type="pct"/>
            <w:tcBorders>
              <w:top w:val="nil"/>
              <w:left w:val="nil"/>
              <w:bottom w:val="single" w:sz="4" w:space="0" w:color="auto"/>
              <w:right w:val="single" w:sz="4" w:space="0" w:color="auto"/>
            </w:tcBorders>
            <w:noWrap/>
            <w:vAlign w:val="bottom"/>
            <w:hideMark/>
          </w:tcPr>
          <w:p w14:paraId="1ABD96EB"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176,952</w:t>
            </w:r>
          </w:p>
        </w:tc>
        <w:tc>
          <w:tcPr>
            <w:tcW w:w="351" w:type="pct"/>
            <w:tcBorders>
              <w:top w:val="nil"/>
              <w:left w:val="nil"/>
              <w:bottom w:val="single" w:sz="4" w:space="0" w:color="auto"/>
              <w:right w:val="single" w:sz="4" w:space="0" w:color="auto"/>
            </w:tcBorders>
            <w:noWrap/>
            <w:vAlign w:val="bottom"/>
            <w:hideMark/>
          </w:tcPr>
          <w:p w14:paraId="76536A31"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170,249</w:t>
            </w:r>
          </w:p>
        </w:tc>
      </w:tr>
      <w:tr w:rsidR="00C64F6A" w:rsidRPr="002306CB" w14:paraId="7DE335F2" w14:textId="77777777" w:rsidTr="009463F3">
        <w:trPr>
          <w:trHeight w:val="300"/>
        </w:trPr>
        <w:tc>
          <w:tcPr>
            <w:tcW w:w="869" w:type="pct"/>
            <w:tcBorders>
              <w:top w:val="nil"/>
              <w:left w:val="single" w:sz="4" w:space="0" w:color="auto"/>
              <w:bottom w:val="single" w:sz="4" w:space="0" w:color="auto"/>
              <w:right w:val="single" w:sz="4" w:space="0" w:color="auto"/>
            </w:tcBorders>
            <w:noWrap/>
            <w:vAlign w:val="bottom"/>
            <w:hideMark/>
          </w:tcPr>
          <w:p w14:paraId="0994864A"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 </w:t>
            </w:r>
          </w:p>
        </w:tc>
        <w:tc>
          <w:tcPr>
            <w:tcW w:w="1088" w:type="pct"/>
            <w:tcBorders>
              <w:top w:val="nil"/>
              <w:left w:val="nil"/>
              <w:bottom w:val="single" w:sz="4" w:space="0" w:color="auto"/>
              <w:right w:val="single" w:sz="4" w:space="0" w:color="auto"/>
            </w:tcBorders>
            <w:noWrap/>
            <w:vAlign w:val="bottom"/>
            <w:hideMark/>
          </w:tcPr>
          <w:p w14:paraId="21F07391"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 </w:t>
            </w:r>
          </w:p>
        </w:tc>
        <w:tc>
          <w:tcPr>
            <w:tcW w:w="783" w:type="pct"/>
            <w:tcBorders>
              <w:top w:val="nil"/>
              <w:left w:val="nil"/>
              <w:bottom w:val="single" w:sz="4" w:space="0" w:color="auto"/>
              <w:right w:val="single" w:sz="4" w:space="0" w:color="auto"/>
            </w:tcBorders>
            <w:noWrap/>
            <w:vAlign w:val="bottom"/>
            <w:hideMark/>
          </w:tcPr>
          <w:p w14:paraId="208E3B5F"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Total Assets</w:t>
            </w:r>
          </w:p>
        </w:tc>
        <w:tc>
          <w:tcPr>
            <w:tcW w:w="810" w:type="pct"/>
            <w:tcBorders>
              <w:top w:val="nil"/>
              <w:left w:val="nil"/>
              <w:bottom w:val="single" w:sz="4" w:space="0" w:color="auto"/>
              <w:right w:val="single" w:sz="4" w:space="0" w:color="auto"/>
            </w:tcBorders>
            <w:noWrap/>
            <w:vAlign w:val="bottom"/>
            <w:hideMark/>
          </w:tcPr>
          <w:p w14:paraId="0B88801C"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510,290</w:t>
            </w:r>
          </w:p>
        </w:tc>
        <w:tc>
          <w:tcPr>
            <w:tcW w:w="373" w:type="pct"/>
            <w:tcBorders>
              <w:top w:val="nil"/>
              <w:left w:val="nil"/>
              <w:bottom w:val="single" w:sz="4" w:space="0" w:color="auto"/>
              <w:right w:val="single" w:sz="4" w:space="0" w:color="auto"/>
            </w:tcBorders>
            <w:noWrap/>
            <w:vAlign w:val="bottom"/>
            <w:hideMark/>
          </w:tcPr>
          <w:p w14:paraId="0EA7686C"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510,348</w:t>
            </w:r>
          </w:p>
        </w:tc>
        <w:tc>
          <w:tcPr>
            <w:tcW w:w="373" w:type="pct"/>
            <w:tcBorders>
              <w:top w:val="nil"/>
              <w:left w:val="nil"/>
              <w:bottom w:val="single" w:sz="4" w:space="0" w:color="auto"/>
              <w:right w:val="single" w:sz="4" w:space="0" w:color="auto"/>
            </w:tcBorders>
            <w:noWrap/>
            <w:vAlign w:val="bottom"/>
            <w:hideMark/>
          </w:tcPr>
          <w:p w14:paraId="475DBE31"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504,163</w:t>
            </w:r>
          </w:p>
        </w:tc>
        <w:tc>
          <w:tcPr>
            <w:tcW w:w="351" w:type="pct"/>
            <w:tcBorders>
              <w:top w:val="nil"/>
              <w:left w:val="nil"/>
              <w:bottom w:val="single" w:sz="4" w:space="0" w:color="auto"/>
              <w:right w:val="single" w:sz="4" w:space="0" w:color="auto"/>
            </w:tcBorders>
            <w:noWrap/>
            <w:vAlign w:val="bottom"/>
            <w:hideMark/>
          </w:tcPr>
          <w:p w14:paraId="72563829"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355,872</w:t>
            </w:r>
          </w:p>
        </w:tc>
        <w:tc>
          <w:tcPr>
            <w:tcW w:w="351" w:type="pct"/>
            <w:tcBorders>
              <w:top w:val="nil"/>
              <w:left w:val="nil"/>
              <w:bottom w:val="single" w:sz="4" w:space="0" w:color="auto"/>
              <w:right w:val="single" w:sz="4" w:space="0" w:color="auto"/>
            </w:tcBorders>
            <w:noWrap/>
            <w:vAlign w:val="bottom"/>
            <w:hideMark/>
          </w:tcPr>
          <w:p w14:paraId="70B57F58"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323,354</w:t>
            </w:r>
          </w:p>
        </w:tc>
      </w:tr>
      <w:tr w:rsidR="00C64F6A" w:rsidRPr="002306CB" w14:paraId="21F72279" w14:textId="77777777" w:rsidTr="009463F3">
        <w:trPr>
          <w:trHeight w:val="300"/>
        </w:trPr>
        <w:tc>
          <w:tcPr>
            <w:tcW w:w="869" w:type="pct"/>
            <w:tcBorders>
              <w:top w:val="nil"/>
              <w:left w:val="single" w:sz="4" w:space="0" w:color="auto"/>
              <w:bottom w:val="single" w:sz="4" w:space="0" w:color="auto"/>
              <w:right w:val="single" w:sz="4" w:space="0" w:color="auto"/>
            </w:tcBorders>
            <w:noWrap/>
            <w:vAlign w:val="bottom"/>
            <w:hideMark/>
          </w:tcPr>
          <w:p w14:paraId="1099832C"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Equity Ratio</w:t>
            </w:r>
          </w:p>
        </w:tc>
        <w:tc>
          <w:tcPr>
            <w:tcW w:w="1088" w:type="pct"/>
            <w:tcBorders>
              <w:top w:val="nil"/>
              <w:left w:val="nil"/>
              <w:bottom w:val="single" w:sz="4" w:space="0" w:color="auto"/>
              <w:right w:val="single" w:sz="4" w:space="0" w:color="auto"/>
            </w:tcBorders>
            <w:noWrap/>
            <w:vAlign w:val="bottom"/>
            <w:hideMark/>
          </w:tcPr>
          <w:p w14:paraId="6C49E501"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Equity / Total Assets</w:t>
            </w:r>
          </w:p>
        </w:tc>
        <w:tc>
          <w:tcPr>
            <w:tcW w:w="783" w:type="pct"/>
            <w:tcBorders>
              <w:top w:val="nil"/>
              <w:left w:val="nil"/>
              <w:bottom w:val="single" w:sz="4" w:space="0" w:color="auto"/>
              <w:right w:val="single" w:sz="4" w:space="0" w:color="auto"/>
            </w:tcBorders>
            <w:noWrap/>
            <w:vAlign w:val="bottom"/>
            <w:hideMark/>
          </w:tcPr>
          <w:p w14:paraId="69E35624"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Total Shareholders’ Equity</w:t>
            </w:r>
          </w:p>
        </w:tc>
        <w:tc>
          <w:tcPr>
            <w:tcW w:w="810" w:type="pct"/>
            <w:tcBorders>
              <w:top w:val="nil"/>
              <w:left w:val="nil"/>
              <w:bottom w:val="single" w:sz="4" w:space="0" w:color="auto"/>
              <w:right w:val="single" w:sz="4" w:space="0" w:color="auto"/>
            </w:tcBorders>
            <w:noWrap/>
            <w:vAlign w:val="bottom"/>
            <w:hideMark/>
          </w:tcPr>
          <w:p w14:paraId="516C89CE"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313,301</w:t>
            </w:r>
          </w:p>
        </w:tc>
        <w:tc>
          <w:tcPr>
            <w:tcW w:w="373" w:type="pct"/>
            <w:tcBorders>
              <w:top w:val="nil"/>
              <w:left w:val="nil"/>
              <w:bottom w:val="single" w:sz="4" w:space="0" w:color="auto"/>
              <w:right w:val="single" w:sz="4" w:space="0" w:color="auto"/>
            </w:tcBorders>
            <w:noWrap/>
            <w:vAlign w:val="bottom"/>
            <w:hideMark/>
          </w:tcPr>
          <w:p w14:paraId="4BEF7ECC"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275,949</w:t>
            </w:r>
          </w:p>
        </w:tc>
        <w:tc>
          <w:tcPr>
            <w:tcW w:w="373" w:type="pct"/>
            <w:tcBorders>
              <w:top w:val="nil"/>
              <w:left w:val="nil"/>
              <w:bottom w:val="single" w:sz="4" w:space="0" w:color="auto"/>
              <w:right w:val="single" w:sz="4" w:space="0" w:color="auto"/>
            </w:tcBorders>
            <w:noWrap/>
            <w:vAlign w:val="bottom"/>
            <w:hideMark/>
          </w:tcPr>
          <w:p w14:paraId="3DE04594"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268,406</w:t>
            </w:r>
          </w:p>
        </w:tc>
        <w:tc>
          <w:tcPr>
            <w:tcW w:w="351" w:type="pct"/>
            <w:tcBorders>
              <w:top w:val="nil"/>
              <w:left w:val="nil"/>
              <w:bottom w:val="single" w:sz="4" w:space="0" w:color="auto"/>
              <w:right w:val="single" w:sz="4" w:space="0" w:color="auto"/>
            </w:tcBorders>
            <w:noWrap/>
            <w:vAlign w:val="bottom"/>
            <w:hideMark/>
          </w:tcPr>
          <w:p w14:paraId="5FDA2710"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178,920</w:t>
            </w:r>
          </w:p>
        </w:tc>
        <w:tc>
          <w:tcPr>
            <w:tcW w:w="351" w:type="pct"/>
            <w:tcBorders>
              <w:top w:val="nil"/>
              <w:left w:val="nil"/>
              <w:bottom w:val="single" w:sz="4" w:space="0" w:color="auto"/>
              <w:right w:val="single" w:sz="4" w:space="0" w:color="auto"/>
            </w:tcBorders>
            <w:noWrap/>
            <w:vAlign w:val="bottom"/>
            <w:hideMark/>
          </w:tcPr>
          <w:p w14:paraId="4F198B05"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153,105</w:t>
            </w:r>
          </w:p>
        </w:tc>
      </w:tr>
      <w:tr w:rsidR="00C64F6A" w:rsidRPr="002306CB" w14:paraId="565F4F98" w14:textId="77777777" w:rsidTr="009463F3">
        <w:trPr>
          <w:trHeight w:val="300"/>
        </w:trPr>
        <w:tc>
          <w:tcPr>
            <w:tcW w:w="869" w:type="pct"/>
            <w:tcBorders>
              <w:top w:val="nil"/>
              <w:left w:val="single" w:sz="4" w:space="0" w:color="auto"/>
              <w:bottom w:val="single" w:sz="4" w:space="0" w:color="auto"/>
              <w:right w:val="single" w:sz="4" w:space="0" w:color="auto"/>
            </w:tcBorders>
            <w:noWrap/>
            <w:vAlign w:val="bottom"/>
            <w:hideMark/>
          </w:tcPr>
          <w:p w14:paraId="20F245C3"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 </w:t>
            </w:r>
          </w:p>
        </w:tc>
        <w:tc>
          <w:tcPr>
            <w:tcW w:w="1088" w:type="pct"/>
            <w:tcBorders>
              <w:top w:val="nil"/>
              <w:left w:val="nil"/>
              <w:bottom w:val="single" w:sz="4" w:space="0" w:color="auto"/>
              <w:right w:val="single" w:sz="4" w:space="0" w:color="auto"/>
            </w:tcBorders>
            <w:noWrap/>
            <w:vAlign w:val="bottom"/>
            <w:hideMark/>
          </w:tcPr>
          <w:p w14:paraId="096B2076"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 </w:t>
            </w:r>
          </w:p>
        </w:tc>
        <w:tc>
          <w:tcPr>
            <w:tcW w:w="783" w:type="pct"/>
            <w:tcBorders>
              <w:top w:val="nil"/>
              <w:left w:val="nil"/>
              <w:bottom w:val="single" w:sz="4" w:space="0" w:color="auto"/>
              <w:right w:val="single" w:sz="4" w:space="0" w:color="auto"/>
            </w:tcBorders>
            <w:noWrap/>
            <w:vAlign w:val="bottom"/>
            <w:hideMark/>
          </w:tcPr>
          <w:p w14:paraId="6DC90171"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Total Assets</w:t>
            </w:r>
          </w:p>
        </w:tc>
        <w:tc>
          <w:tcPr>
            <w:tcW w:w="810" w:type="pct"/>
            <w:tcBorders>
              <w:top w:val="nil"/>
              <w:left w:val="nil"/>
              <w:bottom w:val="single" w:sz="4" w:space="0" w:color="auto"/>
              <w:right w:val="single" w:sz="4" w:space="0" w:color="auto"/>
            </w:tcBorders>
            <w:noWrap/>
            <w:vAlign w:val="bottom"/>
            <w:hideMark/>
          </w:tcPr>
          <w:p w14:paraId="53493D31"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510,290</w:t>
            </w:r>
          </w:p>
        </w:tc>
        <w:tc>
          <w:tcPr>
            <w:tcW w:w="373" w:type="pct"/>
            <w:tcBorders>
              <w:top w:val="nil"/>
              <w:left w:val="nil"/>
              <w:bottom w:val="single" w:sz="4" w:space="0" w:color="auto"/>
              <w:right w:val="single" w:sz="4" w:space="0" w:color="auto"/>
            </w:tcBorders>
            <w:noWrap/>
            <w:vAlign w:val="bottom"/>
            <w:hideMark/>
          </w:tcPr>
          <w:p w14:paraId="3BBD656E"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510,348</w:t>
            </w:r>
          </w:p>
        </w:tc>
        <w:tc>
          <w:tcPr>
            <w:tcW w:w="373" w:type="pct"/>
            <w:tcBorders>
              <w:top w:val="nil"/>
              <w:left w:val="nil"/>
              <w:bottom w:val="single" w:sz="4" w:space="0" w:color="auto"/>
              <w:right w:val="single" w:sz="4" w:space="0" w:color="auto"/>
            </w:tcBorders>
            <w:noWrap/>
            <w:vAlign w:val="bottom"/>
            <w:hideMark/>
          </w:tcPr>
          <w:p w14:paraId="6BE904A0"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504,163</w:t>
            </w:r>
          </w:p>
        </w:tc>
        <w:tc>
          <w:tcPr>
            <w:tcW w:w="351" w:type="pct"/>
            <w:tcBorders>
              <w:top w:val="nil"/>
              <w:left w:val="nil"/>
              <w:bottom w:val="single" w:sz="4" w:space="0" w:color="auto"/>
              <w:right w:val="single" w:sz="4" w:space="0" w:color="auto"/>
            </w:tcBorders>
            <w:noWrap/>
            <w:vAlign w:val="bottom"/>
            <w:hideMark/>
          </w:tcPr>
          <w:p w14:paraId="65635BE5"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355,872</w:t>
            </w:r>
          </w:p>
        </w:tc>
        <w:tc>
          <w:tcPr>
            <w:tcW w:w="351" w:type="pct"/>
            <w:tcBorders>
              <w:top w:val="nil"/>
              <w:left w:val="nil"/>
              <w:bottom w:val="single" w:sz="4" w:space="0" w:color="auto"/>
              <w:right w:val="single" w:sz="4" w:space="0" w:color="auto"/>
            </w:tcBorders>
            <w:noWrap/>
            <w:vAlign w:val="bottom"/>
            <w:hideMark/>
          </w:tcPr>
          <w:p w14:paraId="2FC93E14"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323,354</w:t>
            </w:r>
          </w:p>
        </w:tc>
      </w:tr>
      <w:tr w:rsidR="00C64F6A" w:rsidRPr="002306CB" w14:paraId="69D95651" w14:textId="77777777" w:rsidTr="009463F3">
        <w:trPr>
          <w:trHeight w:val="300"/>
        </w:trPr>
        <w:tc>
          <w:tcPr>
            <w:tcW w:w="869" w:type="pct"/>
            <w:tcBorders>
              <w:top w:val="nil"/>
              <w:left w:val="single" w:sz="4" w:space="0" w:color="auto"/>
              <w:bottom w:val="single" w:sz="4" w:space="0" w:color="auto"/>
              <w:right w:val="single" w:sz="4" w:space="0" w:color="auto"/>
            </w:tcBorders>
            <w:noWrap/>
            <w:vAlign w:val="bottom"/>
            <w:hideMark/>
          </w:tcPr>
          <w:p w14:paraId="217D5B41"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Interest Coverage Ratio</w:t>
            </w:r>
          </w:p>
        </w:tc>
        <w:tc>
          <w:tcPr>
            <w:tcW w:w="1088" w:type="pct"/>
            <w:tcBorders>
              <w:top w:val="nil"/>
              <w:left w:val="nil"/>
              <w:bottom w:val="single" w:sz="4" w:space="0" w:color="auto"/>
              <w:right w:val="single" w:sz="4" w:space="0" w:color="auto"/>
            </w:tcBorders>
            <w:noWrap/>
            <w:vAlign w:val="bottom"/>
            <w:hideMark/>
          </w:tcPr>
          <w:p w14:paraId="612288B4"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EBIT / Interest Expense</w:t>
            </w:r>
          </w:p>
        </w:tc>
        <w:tc>
          <w:tcPr>
            <w:tcW w:w="783" w:type="pct"/>
            <w:tcBorders>
              <w:top w:val="nil"/>
              <w:left w:val="nil"/>
              <w:bottom w:val="single" w:sz="4" w:space="0" w:color="auto"/>
              <w:right w:val="single" w:sz="4" w:space="0" w:color="auto"/>
            </w:tcBorders>
            <w:noWrap/>
            <w:vAlign w:val="bottom"/>
            <w:hideMark/>
          </w:tcPr>
          <w:p w14:paraId="04E35529"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EBIT (Operating Income)</w:t>
            </w:r>
          </w:p>
        </w:tc>
        <w:tc>
          <w:tcPr>
            <w:tcW w:w="810" w:type="pct"/>
            <w:tcBorders>
              <w:top w:val="nil"/>
              <w:left w:val="nil"/>
              <w:bottom w:val="single" w:sz="4" w:space="0" w:color="auto"/>
              <w:right w:val="single" w:sz="4" w:space="0" w:color="auto"/>
            </w:tcBorders>
            <w:noWrap/>
            <w:vAlign w:val="bottom"/>
            <w:hideMark/>
          </w:tcPr>
          <w:p w14:paraId="2046AB5C"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37,267</w:t>
            </w:r>
          </w:p>
        </w:tc>
        <w:tc>
          <w:tcPr>
            <w:tcW w:w="373" w:type="pct"/>
            <w:tcBorders>
              <w:top w:val="nil"/>
              <w:left w:val="nil"/>
              <w:bottom w:val="single" w:sz="4" w:space="0" w:color="auto"/>
              <w:right w:val="single" w:sz="4" w:space="0" w:color="auto"/>
            </w:tcBorders>
            <w:noWrap/>
            <w:vAlign w:val="bottom"/>
            <w:hideMark/>
          </w:tcPr>
          <w:p w14:paraId="5228BB5E"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23,253</w:t>
            </w:r>
          </w:p>
        </w:tc>
        <w:tc>
          <w:tcPr>
            <w:tcW w:w="373" w:type="pct"/>
            <w:tcBorders>
              <w:top w:val="nil"/>
              <w:left w:val="nil"/>
              <w:bottom w:val="single" w:sz="4" w:space="0" w:color="auto"/>
              <w:right w:val="single" w:sz="4" w:space="0" w:color="auto"/>
            </w:tcBorders>
            <w:noWrap/>
            <w:vAlign w:val="bottom"/>
            <w:hideMark/>
          </w:tcPr>
          <w:p w14:paraId="7FA8E1E8"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14,548</w:t>
            </w:r>
          </w:p>
        </w:tc>
        <w:tc>
          <w:tcPr>
            <w:tcW w:w="351" w:type="pct"/>
            <w:tcBorders>
              <w:top w:val="nil"/>
              <w:left w:val="nil"/>
              <w:bottom w:val="single" w:sz="4" w:space="0" w:color="auto"/>
              <w:right w:val="single" w:sz="4" w:space="0" w:color="auto"/>
            </w:tcBorders>
            <w:noWrap/>
            <w:vAlign w:val="bottom"/>
            <w:hideMark/>
          </w:tcPr>
          <w:p w14:paraId="0CEF7C8B"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-85,301</w:t>
            </w:r>
          </w:p>
        </w:tc>
        <w:tc>
          <w:tcPr>
            <w:tcW w:w="351" w:type="pct"/>
            <w:tcBorders>
              <w:top w:val="nil"/>
              <w:left w:val="nil"/>
              <w:bottom w:val="single" w:sz="4" w:space="0" w:color="auto"/>
              <w:right w:val="single" w:sz="4" w:space="0" w:color="auto"/>
            </w:tcBorders>
            <w:noWrap/>
            <w:vAlign w:val="bottom"/>
            <w:hideMark/>
          </w:tcPr>
          <w:p w14:paraId="5A898C54"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-15,297</w:t>
            </w:r>
          </w:p>
        </w:tc>
      </w:tr>
      <w:tr w:rsidR="00C64F6A" w:rsidRPr="002306CB" w14:paraId="52E8E057" w14:textId="77777777" w:rsidTr="009463F3">
        <w:trPr>
          <w:trHeight w:val="300"/>
        </w:trPr>
        <w:tc>
          <w:tcPr>
            <w:tcW w:w="869" w:type="pct"/>
            <w:tcBorders>
              <w:top w:val="nil"/>
              <w:left w:val="single" w:sz="4" w:space="0" w:color="auto"/>
              <w:bottom w:val="single" w:sz="4" w:space="0" w:color="auto"/>
              <w:right w:val="single" w:sz="4" w:space="0" w:color="auto"/>
            </w:tcBorders>
            <w:noWrap/>
            <w:vAlign w:val="bottom"/>
            <w:hideMark/>
          </w:tcPr>
          <w:p w14:paraId="51D15F88"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 </w:t>
            </w:r>
          </w:p>
        </w:tc>
        <w:tc>
          <w:tcPr>
            <w:tcW w:w="1088" w:type="pct"/>
            <w:tcBorders>
              <w:top w:val="nil"/>
              <w:left w:val="nil"/>
              <w:bottom w:val="single" w:sz="4" w:space="0" w:color="auto"/>
              <w:right w:val="single" w:sz="4" w:space="0" w:color="auto"/>
            </w:tcBorders>
            <w:noWrap/>
            <w:vAlign w:val="bottom"/>
            <w:hideMark/>
          </w:tcPr>
          <w:p w14:paraId="684AB2C7"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 </w:t>
            </w:r>
          </w:p>
        </w:tc>
        <w:tc>
          <w:tcPr>
            <w:tcW w:w="783" w:type="pct"/>
            <w:tcBorders>
              <w:top w:val="nil"/>
              <w:left w:val="nil"/>
              <w:bottom w:val="single" w:sz="4" w:space="0" w:color="auto"/>
              <w:right w:val="single" w:sz="4" w:space="0" w:color="auto"/>
            </w:tcBorders>
            <w:noWrap/>
            <w:vAlign w:val="bottom"/>
            <w:hideMark/>
          </w:tcPr>
          <w:p w14:paraId="14B97C59"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Interest Expense</w:t>
            </w:r>
          </w:p>
        </w:tc>
        <w:tc>
          <w:tcPr>
            <w:tcW w:w="810" w:type="pct"/>
            <w:tcBorders>
              <w:top w:val="nil"/>
              <w:left w:val="nil"/>
              <w:bottom w:val="single" w:sz="4" w:space="0" w:color="auto"/>
              <w:right w:val="single" w:sz="4" w:space="0" w:color="auto"/>
            </w:tcBorders>
            <w:noWrap/>
            <w:vAlign w:val="bottom"/>
            <w:hideMark/>
          </w:tcPr>
          <w:p w14:paraId="2AE42612"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1,422</w:t>
            </w:r>
          </w:p>
        </w:tc>
        <w:tc>
          <w:tcPr>
            <w:tcW w:w="373" w:type="pct"/>
            <w:tcBorders>
              <w:top w:val="nil"/>
              <w:left w:val="nil"/>
              <w:bottom w:val="single" w:sz="4" w:space="0" w:color="auto"/>
              <w:right w:val="single" w:sz="4" w:space="0" w:color="auto"/>
            </w:tcBorders>
            <w:noWrap/>
            <w:vAlign w:val="bottom"/>
            <w:hideMark/>
          </w:tcPr>
          <w:p w14:paraId="0D953BD0"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566</w:t>
            </w:r>
          </w:p>
        </w:tc>
        <w:tc>
          <w:tcPr>
            <w:tcW w:w="373" w:type="pct"/>
            <w:tcBorders>
              <w:top w:val="nil"/>
              <w:left w:val="nil"/>
              <w:bottom w:val="single" w:sz="4" w:space="0" w:color="auto"/>
              <w:right w:val="single" w:sz="4" w:space="0" w:color="auto"/>
            </w:tcBorders>
            <w:noWrap/>
            <w:vAlign w:val="bottom"/>
            <w:hideMark/>
          </w:tcPr>
          <w:p w14:paraId="312441AD"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2,200</w:t>
            </w:r>
          </w:p>
        </w:tc>
        <w:tc>
          <w:tcPr>
            <w:tcW w:w="351" w:type="pct"/>
            <w:tcBorders>
              <w:top w:val="nil"/>
              <w:left w:val="nil"/>
              <w:bottom w:val="single" w:sz="4" w:space="0" w:color="auto"/>
              <w:right w:val="single" w:sz="4" w:space="0" w:color="auto"/>
            </w:tcBorders>
            <w:noWrap/>
            <w:vAlign w:val="bottom"/>
            <w:hideMark/>
          </w:tcPr>
          <w:p w14:paraId="56F85CA4"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4,332</w:t>
            </w:r>
          </w:p>
        </w:tc>
        <w:tc>
          <w:tcPr>
            <w:tcW w:w="351" w:type="pct"/>
            <w:tcBorders>
              <w:top w:val="nil"/>
              <w:left w:val="nil"/>
              <w:bottom w:val="single" w:sz="4" w:space="0" w:color="auto"/>
              <w:right w:val="single" w:sz="4" w:space="0" w:color="auto"/>
            </w:tcBorders>
            <w:noWrap/>
            <w:vAlign w:val="bottom"/>
            <w:hideMark/>
          </w:tcPr>
          <w:p w14:paraId="1106F4C5"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3,361</w:t>
            </w:r>
          </w:p>
        </w:tc>
      </w:tr>
      <w:tr w:rsidR="00C64F6A" w:rsidRPr="002306CB" w14:paraId="5190EFF7" w14:textId="77777777" w:rsidTr="009463F3">
        <w:trPr>
          <w:trHeight w:val="300"/>
        </w:trPr>
        <w:tc>
          <w:tcPr>
            <w:tcW w:w="869" w:type="pct"/>
            <w:tcBorders>
              <w:top w:val="nil"/>
              <w:left w:val="single" w:sz="4" w:space="0" w:color="auto"/>
              <w:bottom w:val="single" w:sz="4" w:space="0" w:color="auto"/>
              <w:right w:val="single" w:sz="4" w:space="0" w:color="auto"/>
            </w:tcBorders>
            <w:shd w:val="clear" w:color="000000" w:fill="CAEDFB"/>
            <w:noWrap/>
            <w:vAlign w:val="bottom"/>
            <w:hideMark/>
          </w:tcPr>
          <w:p w14:paraId="4AF33AFA" w14:textId="77777777" w:rsidR="00C64F6A" w:rsidRPr="002306CB" w:rsidRDefault="00C64F6A" w:rsidP="009463F3">
            <w:pPr>
              <w:spacing w:after="0" w:line="240" w:lineRule="auto"/>
              <w:jc w:val="left"/>
              <w:rPr>
                <w:rFonts w:ascii="Aptos Narrow" w:eastAsia="Times New Roman" w:hAnsi="Aptos Narrow" w:cs="Times New Roman"/>
                <w:b/>
                <w:bCs/>
                <w:color w:val="000000"/>
                <w:kern w:val="0"/>
                <w:sz w:val="22"/>
                <w:szCs w:val="22"/>
                <w:lang w:val="en-US"/>
                <w14:ligatures w14:val="none"/>
              </w:rPr>
            </w:pPr>
            <w:r w:rsidRPr="002306CB">
              <w:rPr>
                <w:rFonts w:ascii="Aptos Narrow" w:eastAsia="Times New Roman" w:hAnsi="Aptos Narrow" w:cs="Times New Roman"/>
                <w:b/>
                <w:bCs/>
                <w:color w:val="000000"/>
                <w:kern w:val="0"/>
                <w:sz w:val="22"/>
                <w:szCs w:val="22"/>
                <w:lang w:val="en-US"/>
                <w14:ligatures w14:val="none"/>
              </w:rPr>
              <w:t>Investment Ratios</w:t>
            </w:r>
          </w:p>
        </w:tc>
        <w:tc>
          <w:tcPr>
            <w:tcW w:w="1088" w:type="pct"/>
            <w:tcBorders>
              <w:top w:val="nil"/>
              <w:left w:val="nil"/>
              <w:bottom w:val="single" w:sz="4" w:space="0" w:color="auto"/>
              <w:right w:val="single" w:sz="4" w:space="0" w:color="auto"/>
            </w:tcBorders>
            <w:shd w:val="clear" w:color="000000" w:fill="CAEDFB"/>
            <w:noWrap/>
            <w:vAlign w:val="bottom"/>
            <w:hideMark/>
          </w:tcPr>
          <w:p w14:paraId="702A6CB2" w14:textId="77777777" w:rsidR="00C64F6A" w:rsidRPr="002306CB" w:rsidRDefault="00C64F6A" w:rsidP="009463F3">
            <w:pPr>
              <w:spacing w:after="0" w:line="240" w:lineRule="auto"/>
              <w:jc w:val="left"/>
              <w:rPr>
                <w:rFonts w:ascii="Aptos Narrow" w:eastAsia="Times New Roman" w:hAnsi="Aptos Narrow" w:cs="Times New Roman"/>
                <w:b/>
                <w:bCs/>
                <w:color w:val="000000"/>
                <w:kern w:val="0"/>
                <w:sz w:val="22"/>
                <w:szCs w:val="22"/>
                <w:lang w:val="en-US"/>
                <w14:ligatures w14:val="none"/>
              </w:rPr>
            </w:pPr>
            <w:r w:rsidRPr="002306CB">
              <w:rPr>
                <w:rFonts w:ascii="Aptos Narrow" w:eastAsia="Times New Roman" w:hAnsi="Aptos Narrow" w:cs="Times New Roman"/>
                <w:b/>
                <w:bCs/>
                <w:color w:val="000000"/>
                <w:kern w:val="0"/>
                <w:sz w:val="22"/>
                <w:szCs w:val="22"/>
                <w:lang w:val="en-US"/>
                <w14:ligatures w14:val="none"/>
              </w:rPr>
              <w:t> </w:t>
            </w:r>
          </w:p>
        </w:tc>
        <w:tc>
          <w:tcPr>
            <w:tcW w:w="783" w:type="pct"/>
            <w:tcBorders>
              <w:top w:val="nil"/>
              <w:left w:val="nil"/>
              <w:bottom w:val="single" w:sz="4" w:space="0" w:color="auto"/>
              <w:right w:val="single" w:sz="4" w:space="0" w:color="auto"/>
            </w:tcBorders>
            <w:shd w:val="clear" w:color="000000" w:fill="CAEDFB"/>
            <w:noWrap/>
            <w:vAlign w:val="bottom"/>
            <w:hideMark/>
          </w:tcPr>
          <w:p w14:paraId="2698EDBD" w14:textId="77777777" w:rsidR="00C64F6A" w:rsidRPr="002306CB" w:rsidRDefault="00C64F6A" w:rsidP="009463F3">
            <w:pPr>
              <w:spacing w:after="0" w:line="240" w:lineRule="auto"/>
              <w:jc w:val="left"/>
              <w:rPr>
                <w:rFonts w:ascii="Aptos Narrow" w:eastAsia="Times New Roman" w:hAnsi="Aptos Narrow" w:cs="Times New Roman"/>
                <w:b/>
                <w:bCs/>
                <w:color w:val="000000"/>
                <w:kern w:val="0"/>
                <w:sz w:val="22"/>
                <w:szCs w:val="22"/>
                <w:lang w:val="en-US"/>
                <w14:ligatures w14:val="none"/>
              </w:rPr>
            </w:pPr>
            <w:r w:rsidRPr="002306CB">
              <w:rPr>
                <w:rFonts w:ascii="Aptos Narrow" w:eastAsia="Times New Roman" w:hAnsi="Aptos Narrow" w:cs="Times New Roman"/>
                <w:b/>
                <w:bCs/>
                <w:color w:val="000000"/>
                <w:kern w:val="0"/>
                <w:sz w:val="22"/>
                <w:szCs w:val="22"/>
                <w:lang w:val="en-US"/>
                <w14:ligatures w14:val="none"/>
              </w:rPr>
              <w:t> </w:t>
            </w:r>
          </w:p>
        </w:tc>
        <w:tc>
          <w:tcPr>
            <w:tcW w:w="810" w:type="pct"/>
            <w:tcBorders>
              <w:top w:val="nil"/>
              <w:left w:val="nil"/>
              <w:bottom w:val="single" w:sz="4" w:space="0" w:color="auto"/>
              <w:right w:val="single" w:sz="4" w:space="0" w:color="auto"/>
            </w:tcBorders>
            <w:shd w:val="clear" w:color="000000" w:fill="CAEDFB"/>
            <w:noWrap/>
            <w:vAlign w:val="bottom"/>
            <w:hideMark/>
          </w:tcPr>
          <w:p w14:paraId="53E535EA" w14:textId="77777777" w:rsidR="00C64F6A" w:rsidRPr="002306CB" w:rsidRDefault="00C64F6A" w:rsidP="009463F3">
            <w:pPr>
              <w:spacing w:after="0" w:line="240" w:lineRule="auto"/>
              <w:jc w:val="left"/>
              <w:rPr>
                <w:rFonts w:ascii="Aptos Narrow" w:eastAsia="Times New Roman" w:hAnsi="Aptos Narrow" w:cs="Times New Roman"/>
                <w:b/>
                <w:bCs/>
                <w:color w:val="000000"/>
                <w:kern w:val="0"/>
                <w:sz w:val="22"/>
                <w:szCs w:val="22"/>
                <w:lang w:val="en-US"/>
                <w14:ligatures w14:val="none"/>
              </w:rPr>
            </w:pPr>
            <w:r w:rsidRPr="002306CB">
              <w:rPr>
                <w:rFonts w:ascii="Aptos Narrow" w:eastAsia="Times New Roman" w:hAnsi="Aptos Narrow" w:cs="Times New Roman"/>
                <w:b/>
                <w:bCs/>
                <w:color w:val="000000"/>
                <w:kern w:val="0"/>
                <w:sz w:val="22"/>
                <w:szCs w:val="22"/>
                <w:lang w:val="en-US"/>
                <w14:ligatures w14:val="none"/>
              </w:rPr>
              <w:t> </w:t>
            </w:r>
          </w:p>
        </w:tc>
        <w:tc>
          <w:tcPr>
            <w:tcW w:w="373" w:type="pct"/>
            <w:tcBorders>
              <w:top w:val="nil"/>
              <w:left w:val="nil"/>
              <w:bottom w:val="single" w:sz="4" w:space="0" w:color="auto"/>
              <w:right w:val="single" w:sz="4" w:space="0" w:color="auto"/>
            </w:tcBorders>
            <w:shd w:val="clear" w:color="000000" w:fill="CAEDFB"/>
            <w:noWrap/>
            <w:vAlign w:val="bottom"/>
            <w:hideMark/>
          </w:tcPr>
          <w:p w14:paraId="1B522C13" w14:textId="77777777" w:rsidR="00C64F6A" w:rsidRPr="002306CB" w:rsidRDefault="00C64F6A" w:rsidP="009463F3">
            <w:pPr>
              <w:spacing w:after="0" w:line="240" w:lineRule="auto"/>
              <w:jc w:val="left"/>
              <w:rPr>
                <w:rFonts w:ascii="Aptos Narrow" w:eastAsia="Times New Roman" w:hAnsi="Aptos Narrow" w:cs="Times New Roman"/>
                <w:b/>
                <w:bCs/>
                <w:color w:val="000000"/>
                <w:kern w:val="0"/>
                <w:sz w:val="22"/>
                <w:szCs w:val="22"/>
                <w:lang w:val="en-US"/>
                <w14:ligatures w14:val="none"/>
              </w:rPr>
            </w:pPr>
            <w:r w:rsidRPr="002306CB">
              <w:rPr>
                <w:rFonts w:ascii="Aptos Narrow" w:eastAsia="Times New Roman" w:hAnsi="Aptos Narrow" w:cs="Times New Roman"/>
                <w:b/>
                <w:bCs/>
                <w:color w:val="000000"/>
                <w:kern w:val="0"/>
                <w:sz w:val="22"/>
                <w:szCs w:val="22"/>
                <w:lang w:val="en-US"/>
                <w14:ligatures w14:val="none"/>
              </w:rPr>
              <w:t> </w:t>
            </w:r>
          </w:p>
        </w:tc>
        <w:tc>
          <w:tcPr>
            <w:tcW w:w="373" w:type="pct"/>
            <w:tcBorders>
              <w:top w:val="nil"/>
              <w:left w:val="nil"/>
              <w:bottom w:val="single" w:sz="4" w:space="0" w:color="auto"/>
              <w:right w:val="single" w:sz="4" w:space="0" w:color="auto"/>
            </w:tcBorders>
            <w:shd w:val="clear" w:color="000000" w:fill="CAEDFB"/>
            <w:noWrap/>
            <w:vAlign w:val="bottom"/>
            <w:hideMark/>
          </w:tcPr>
          <w:p w14:paraId="3A71951E" w14:textId="77777777" w:rsidR="00C64F6A" w:rsidRPr="002306CB" w:rsidRDefault="00C64F6A" w:rsidP="009463F3">
            <w:pPr>
              <w:spacing w:after="0" w:line="240" w:lineRule="auto"/>
              <w:jc w:val="left"/>
              <w:rPr>
                <w:rFonts w:ascii="Aptos Narrow" w:eastAsia="Times New Roman" w:hAnsi="Aptos Narrow" w:cs="Times New Roman"/>
                <w:b/>
                <w:bCs/>
                <w:color w:val="000000"/>
                <w:kern w:val="0"/>
                <w:sz w:val="22"/>
                <w:szCs w:val="22"/>
                <w:lang w:val="en-US"/>
                <w14:ligatures w14:val="none"/>
              </w:rPr>
            </w:pPr>
            <w:r w:rsidRPr="002306CB">
              <w:rPr>
                <w:rFonts w:ascii="Aptos Narrow" w:eastAsia="Times New Roman" w:hAnsi="Aptos Narrow" w:cs="Times New Roman"/>
                <w:b/>
                <w:bCs/>
                <w:color w:val="000000"/>
                <w:kern w:val="0"/>
                <w:sz w:val="22"/>
                <w:szCs w:val="22"/>
                <w:lang w:val="en-US"/>
                <w14:ligatures w14:val="none"/>
              </w:rPr>
              <w:t> </w:t>
            </w:r>
          </w:p>
        </w:tc>
        <w:tc>
          <w:tcPr>
            <w:tcW w:w="351" w:type="pct"/>
            <w:tcBorders>
              <w:top w:val="nil"/>
              <w:left w:val="nil"/>
              <w:bottom w:val="single" w:sz="4" w:space="0" w:color="auto"/>
              <w:right w:val="single" w:sz="4" w:space="0" w:color="auto"/>
            </w:tcBorders>
            <w:shd w:val="clear" w:color="000000" w:fill="CAEDFB"/>
            <w:noWrap/>
            <w:vAlign w:val="bottom"/>
            <w:hideMark/>
          </w:tcPr>
          <w:p w14:paraId="32726CED" w14:textId="77777777" w:rsidR="00C64F6A" w:rsidRPr="002306CB" w:rsidRDefault="00C64F6A" w:rsidP="009463F3">
            <w:pPr>
              <w:spacing w:after="0" w:line="240" w:lineRule="auto"/>
              <w:jc w:val="left"/>
              <w:rPr>
                <w:rFonts w:ascii="Aptos Narrow" w:eastAsia="Times New Roman" w:hAnsi="Aptos Narrow" w:cs="Times New Roman"/>
                <w:b/>
                <w:bCs/>
                <w:color w:val="000000"/>
                <w:kern w:val="0"/>
                <w:sz w:val="22"/>
                <w:szCs w:val="22"/>
                <w:lang w:val="en-US"/>
                <w14:ligatures w14:val="none"/>
              </w:rPr>
            </w:pPr>
            <w:r w:rsidRPr="002306CB">
              <w:rPr>
                <w:rFonts w:ascii="Aptos Narrow" w:eastAsia="Times New Roman" w:hAnsi="Aptos Narrow" w:cs="Times New Roman"/>
                <w:b/>
                <w:bCs/>
                <w:color w:val="000000"/>
                <w:kern w:val="0"/>
                <w:sz w:val="22"/>
                <w:szCs w:val="22"/>
                <w:lang w:val="en-US"/>
                <w14:ligatures w14:val="none"/>
              </w:rPr>
              <w:t> </w:t>
            </w:r>
          </w:p>
        </w:tc>
        <w:tc>
          <w:tcPr>
            <w:tcW w:w="351" w:type="pct"/>
            <w:tcBorders>
              <w:top w:val="nil"/>
              <w:left w:val="nil"/>
              <w:bottom w:val="single" w:sz="4" w:space="0" w:color="auto"/>
              <w:right w:val="single" w:sz="4" w:space="0" w:color="auto"/>
            </w:tcBorders>
            <w:shd w:val="clear" w:color="000000" w:fill="CAEDFB"/>
            <w:noWrap/>
            <w:vAlign w:val="bottom"/>
            <w:hideMark/>
          </w:tcPr>
          <w:p w14:paraId="6AC98F72" w14:textId="77777777" w:rsidR="00C64F6A" w:rsidRPr="002306CB" w:rsidRDefault="00C64F6A" w:rsidP="009463F3">
            <w:pPr>
              <w:spacing w:after="0" w:line="240" w:lineRule="auto"/>
              <w:jc w:val="left"/>
              <w:rPr>
                <w:rFonts w:ascii="Aptos Narrow" w:eastAsia="Times New Roman" w:hAnsi="Aptos Narrow" w:cs="Times New Roman"/>
                <w:b/>
                <w:bCs/>
                <w:color w:val="000000"/>
                <w:kern w:val="0"/>
                <w:sz w:val="22"/>
                <w:szCs w:val="22"/>
                <w:lang w:val="en-US"/>
                <w14:ligatures w14:val="none"/>
              </w:rPr>
            </w:pPr>
            <w:r w:rsidRPr="002306CB">
              <w:rPr>
                <w:rFonts w:ascii="Aptos Narrow" w:eastAsia="Times New Roman" w:hAnsi="Aptos Narrow" w:cs="Times New Roman"/>
                <w:b/>
                <w:bCs/>
                <w:color w:val="000000"/>
                <w:kern w:val="0"/>
                <w:sz w:val="22"/>
                <w:szCs w:val="22"/>
                <w:lang w:val="en-US"/>
                <w14:ligatures w14:val="none"/>
              </w:rPr>
              <w:t> </w:t>
            </w:r>
          </w:p>
        </w:tc>
      </w:tr>
      <w:tr w:rsidR="00C64F6A" w:rsidRPr="002306CB" w14:paraId="3D975D03" w14:textId="77777777" w:rsidTr="009463F3">
        <w:trPr>
          <w:trHeight w:val="300"/>
        </w:trPr>
        <w:tc>
          <w:tcPr>
            <w:tcW w:w="869" w:type="pct"/>
            <w:tcBorders>
              <w:top w:val="nil"/>
              <w:left w:val="single" w:sz="4" w:space="0" w:color="auto"/>
              <w:bottom w:val="single" w:sz="4" w:space="0" w:color="auto"/>
              <w:right w:val="single" w:sz="4" w:space="0" w:color="auto"/>
            </w:tcBorders>
            <w:noWrap/>
            <w:vAlign w:val="bottom"/>
            <w:hideMark/>
          </w:tcPr>
          <w:p w14:paraId="4052B1C5"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Earnings per Share (£)</w:t>
            </w:r>
          </w:p>
        </w:tc>
        <w:tc>
          <w:tcPr>
            <w:tcW w:w="1088" w:type="pct"/>
            <w:tcBorders>
              <w:top w:val="nil"/>
              <w:left w:val="nil"/>
              <w:bottom w:val="single" w:sz="4" w:space="0" w:color="auto"/>
              <w:right w:val="single" w:sz="4" w:space="0" w:color="auto"/>
            </w:tcBorders>
            <w:noWrap/>
            <w:vAlign w:val="bottom"/>
            <w:hideMark/>
          </w:tcPr>
          <w:p w14:paraId="3F7AA0A4"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Earnings per Share (£)</w:t>
            </w:r>
          </w:p>
        </w:tc>
        <w:tc>
          <w:tcPr>
            <w:tcW w:w="783" w:type="pct"/>
            <w:tcBorders>
              <w:top w:val="nil"/>
              <w:left w:val="nil"/>
              <w:bottom w:val="single" w:sz="4" w:space="0" w:color="auto"/>
              <w:right w:val="single" w:sz="4" w:space="0" w:color="auto"/>
            </w:tcBorders>
            <w:noWrap/>
            <w:vAlign w:val="bottom"/>
            <w:hideMark/>
          </w:tcPr>
          <w:p w14:paraId="5E7197C1"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Earnings per Share (£)</w:t>
            </w:r>
          </w:p>
        </w:tc>
        <w:tc>
          <w:tcPr>
            <w:tcW w:w="810" w:type="pct"/>
            <w:tcBorders>
              <w:top w:val="nil"/>
              <w:left w:val="nil"/>
              <w:bottom w:val="single" w:sz="4" w:space="0" w:color="auto"/>
              <w:right w:val="single" w:sz="4" w:space="0" w:color="auto"/>
            </w:tcBorders>
            <w:noWrap/>
            <w:vAlign w:val="bottom"/>
            <w:hideMark/>
          </w:tcPr>
          <w:p w14:paraId="46D7C1B2"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-1.85</w:t>
            </w:r>
          </w:p>
        </w:tc>
        <w:tc>
          <w:tcPr>
            <w:tcW w:w="373" w:type="pct"/>
            <w:tcBorders>
              <w:top w:val="nil"/>
              <w:left w:val="nil"/>
              <w:bottom w:val="single" w:sz="4" w:space="0" w:color="auto"/>
              <w:right w:val="single" w:sz="4" w:space="0" w:color="auto"/>
            </w:tcBorders>
            <w:noWrap/>
            <w:vAlign w:val="bottom"/>
            <w:hideMark/>
          </w:tcPr>
          <w:p w14:paraId="5E2EA9CC"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-7.64</w:t>
            </w:r>
          </w:p>
        </w:tc>
        <w:tc>
          <w:tcPr>
            <w:tcW w:w="373" w:type="pct"/>
            <w:tcBorders>
              <w:top w:val="nil"/>
              <w:left w:val="nil"/>
              <w:bottom w:val="single" w:sz="4" w:space="0" w:color="auto"/>
              <w:right w:val="single" w:sz="4" w:space="0" w:color="auto"/>
            </w:tcBorders>
            <w:noWrap/>
            <w:vAlign w:val="bottom"/>
            <w:hideMark/>
          </w:tcPr>
          <w:p w14:paraId="3F34D2AC"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0.03</w:t>
            </w:r>
          </w:p>
        </w:tc>
        <w:tc>
          <w:tcPr>
            <w:tcW w:w="351" w:type="pct"/>
            <w:tcBorders>
              <w:top w:val="nil"/>
              <w:left w:val="nil"/>
              <w:bottom w:val="single" w:sz="4" w:space="0" w:color="auto"/>
              <w:right w:val="single" w:sz="4" w:space="0" w:color="auto"/>
            </w:tcBorders>
            <w:noWrap/>
            <w:vAlign w:val="bottom"/>
            <w:hideMark/>
          </w:tcPr>
          <w:p w14:paraId="6882E8F9"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0.39</w:t>
            </w:r>
          </w:p>
        </w:tc>
        <w:tc>
          <w:tcPr>
            <w:tcW w:w="351" w:type="pct"/>
            <w:tcBorders>
              <w:top w:val="nil"/>
              <w:left w:val="nil"/>
              <w:bottom w:val="single" w:sz="4" w:space="0" w:color="auto"/>
              <w:right w:val="single" w:sz="4" w:space="0" w:color="auto"/>
            </w:tcBorders>
            <w:noWrap/>
            <w:vAlign w:val="bottom"/>
            <w:hideMark/>
          </w:tcPr>
          <w:p w14:paraId="01308628"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2.78</w:t>
            </w:r>
          </w:p>
        </w:tc>
      </w:tr>
      <w:tr w:rsidR="00C64F6A" w:rsidRPr="002306CB" w14:paraId="6DCF4C2D" w14:textId="77777777" w:rsidTr="009463F3">
        <w:trPr>
          <w:trHeight w:val="300"/>
        </w:trPr>
        <w:tc>
          <w:tcPr>
            <w:tcW w:w="869" w:type="pct"/>
            <w:tcBorders>
              <w:top w:val="nil"/>
              <w:left w:val="single" w:sz="4" w:space="0" w:color="auto"/>
              <w:bottom w:val="single" w:sz="4" w:space="0" w:color="auto"/>
              <w:right w:val="single" w:sz="4" w:space="0" w:color="auto"/>
            </w:tcBorders>
            <w:shd w:val="clear" w:color="000000" w:fill="CAEDFB"/>
            <w:noWrap/>
            <w:vAlign w:val="bottom"/>
            <w:hideMark/>
          </w:tcPr>
          <w:p w14:paraId="72D80392" w14:textId="77777777" w:rsidR="00C64F6A" w:rsidRPr="002306CB" w:rsidRDefault="00C64F6A" w:rsidP="009463F3">
            <w:pPr>
              <w:spacing w:after="0" w:line="240" w:lineRule="auto"/>
              <w:jc w:val="left"/>
              <w:rPr>
                <w:rFonts w:ascii="Aptos Narrow" w:eastAsia="Times New Roman" w:hAnsi="Aptos Narrow" w:cs="Times New Roman"/>
                <w:b/>
                <w:bCs/>
                <w:color w:val="000000"/>
                <w:kern w:val="0"/>
                <w:sz w:val="22"/>
                <w:szCs w:val="22"/>
                <w:lang w:val="en-US"/>
                <w14:ligatures w14:val="none"/>
              </w:rPr>
            </w:pPr>
            <w:r w:rsidRPr="002306CB">
              <w:rPr>
                <w:rFonts w:ascii="Aptos Narrow" w:eastAsia="Times New Roman" w:hAnsi="Aptos Narrow" w:cs="Times New Roman"/>
                <w:b/>
                <w:bCs/>
                <w:color w:val="000000"/>
                <w:kern w:val="0"/>
                <w:sz w:val="22"/>
                <w:szCs w:val="22"/>
                <w:lang w:val="en-US"/>
                <w14:ligatures w14:val="none"/>
              </w:rPr>
              <w:t>Cash Flow Ratios</w:t>
            </w:r>
          </w:p>
        </w:tc>
        <w:tc>
          <w:tcPr>
            <w:tcW w:w="1088" w:type="pct"/>
            <w:tcBorders>
              <w:top w:val="nil"/>
              <w:left w:val="nil"/>
              <w:bottom w:val="single" w:sz="4" w:space="0" w:color="auto"/>
              <w:right w:val="single" w:sz="4" w:space="0" w:color="auto"/>
            </w:tcBorders>
            <w:shd w:val="clear" w:color="000000" w:fill="CAEDFB"/>
            <w:noWrap/>
            <w:vAlign w:val="bottom"/>
            <w:hideMark/>
          </w:tcPr>
          <w:p w14:paraId="640DE848" w14:textId="77777777" w:rsidR="00C64F6A" w:rsidRPr="002306CB" w:rsidRDefault="00C64F6A" w:rsidP="009463F3">
            <w:pPr>
              <w:spacing w:after="0" w:line="240" w:lineRule="auto"/>
              <w:jc w:val="left"/>
              <w:rPr>
                <w:rFonts w:ascii="Aptos Narrow" w:eastAsia="Times New Roman" w:hAnsi="Aptos Narrow" w:cs="Times New Roman"/>
                <w:b/>
                <w:bCs/>
                <w:color w:val="000000"/>
                <w:kern w:val="0"/>
                <w:sz w:val="22"/>
                <w:szCs w:val="22"/>
                <w:lang w:val="en-US"/>
                <w14:ligatures w14:val="none"/>
              </w:rPr>
            </w:pPr>
            <w:r w:rsidRPr="002306CB">
              <w:rPr>
                <w:rFonts w:ascii="Aptos Narrow" w:eastAsia="Times New Roman" w:hAnsi="Aptos Narrow" w:cs="Times New Roman"/>
                <w:b/>
                <w:bCs/>
                <w:color w:val="000000"/>
                <w:kern w:val="0"/>
                <w:sz w:val="22"/>
                <w:szCs w:val="22"/>
                <w:lang w:val="en-US"/>
                <w14:ligatures w14:val="none"/>
              </w:rPr>
              <w:t> </w:t>
            </w:r>
          </w:p>
        </w:tc>
        <w:tc>
          <w:tcPr>
            <w:tcW w:w="783" w:type="pct"/>
            <w:tcBorders>
              <w:top w:val="nil"/>
              <w:left w:val="nil"/>
              <w:bottom w:val="single" w:sz="4" w:space="0" w:color="auto"/>
              <w:right w:val="single" w:sz="4" w:space="0" w:color="auto"/>
            </w:tcBorders>
            <w:shd w:val="clear" w:color="000000" w:fill="CAEDFB"/>
            <w:noWrap/>
            <w:vAlign w:val="bottom"/>
            <w:hideMark/>
          </w:tcPr>
          <w:p w14:paraId="0494EFE5" w14:textId="77777777" w:rsidR="00C64F6A" w:rsidRPr="002306CB" w:rsidRDefault="00C64F6A" w:rsidP="009463F3">
            <w:pPr>
              <w:spacing w:after="0" w:line="240" w:lineRule="auto"/>
              <w:jc w:val="left"/>
              <w:rPr>
                <w:rFonts w:ascii="Aptos Narrow" w:eastAsia="Times New Roman" w:hAnsi="Aptos Narrow" w:cs="Times New Roman"/>
                <w:b/>
                <w:bCs/>
                <w:color w:val="000000"/>
                <w:kern w:val="0"/>
                <w:sz w:val="22"/>
                <w:szCs w:val="22"/>
                <w:lang w:val="en-US"/>
                <w14:ligatures w14:val="none"/>
              </w:rPr>
            </w:pPr>
            <w:r w:rsidRPr="002306CB">
              <w:rPr>
                <w:rFonts w:ascii="Aptos Narrow" w:eastAsia="Times New Roman" w:hAnsi="Aptos Narrow" w:cs="Times New Roman"/>
                <w:b/>
                <w:bCs/>
                <w:color w:val="000000"/>
                <w:kern w:val="0"/>
                <w:sz w:val="22"/>
                <w:szCs w:val="22"/>
                <w:lang w:val="en-US"/>
                <w14:ligatures w14:val="none"/>
              </w:rPr>
              <w:t> </w:t>
            </w:r>
          </w:p>
        </w:tc>
        <w:tc>
          <w:tcPr>
            <w:tcW w:w="810" w:type="pct"/>
            <w:tcBorders>
              <w:top w:val="nil"/>
              <w:left w:val="nil"/>
              <w:bottom w:val="single" w:sz="4" w:space="0" w:color="auto"/>
              <w:right w:val="single" w:sz="4" w:space="0" w:color="auto"/>
            </w:tcBorders>
            <w:shd w:val="clear" w:color="000000" w:fill="CAEDFB"/>
            <w:noWrap/>
            <w:vAlign w:val="bottom"/>
            <w:hideMark/>
          </w:tcPr>
          <w:p w14:paraId="60C3E095" w14:textId="77777777" w:rsidR="00C64F6A" w:rsidRPr="002306CB" w:rsidRDefault="00C64F6A" w:rsidP="009463F3">
            <w:pPr>
              <w:spacing w:after="0" w:line="240" w:lineRule="auto"/>
              <w:jc w:val="left"/>
              <w:rPr>
                <w:rFonts w:ascii="Aptos Narrow" w:eastAsia="Times New Roman" w:hAnsi="Aptos Narrow" w:cs="Times New Roman"/>
                <w:b/>
                <w:bCs/>
                <w:color w:val="000000"/>
                <w:kern w:val="0"/>
                <w:sz w:val="22"/>
                <w:szCs w:val="22"/>
                <w:lang w:val="en-US"/>
                <w14:ligatures w14:val="none"/>
              </w:rPr>
            </w:pPr>
            <w:r w:rsidRPr="002306CB">
              <w:rPr>
                <w:rFonts w:ascii="Aptos Narrow" w:eastAsia="Times New Roman" w:hAnsi="Aptos Narrow" w:cs="Times New Roman"/>
                <w:b/>
                <w:bCs/>
                <w:color w:val="000000"/>
                <w:kern w:val="0"/>
                <w:sz w:val="22"/>
                <w:szCs w:val="22"/>
                <w:lang w:val="en-US"/>
                <w14:ligatures w14:val="none"/>
              </w:rPr>
              <w:t> </w:t>
            </w:r>
          </w:p>
        </w:tc>
        <w:tc>
          <w:tcPr>
            <w:tcW w:w="373" w:type="pct"/>
            <w:tcBorders>
              <w:top w:val="nil"/>
              <w:left w:val="nil"/>
              <w:bottom w:val="single" w:sz="4" w:space="0" w:color="auto"/>
              <w:right w:val="single" w:sz="4" w:space="0" w:color="auto"/>
            </w:tcBorders>
            <w:shd w:val="clear" w:color="000000" w:fill="CAEDFB"/>
            <w:noWrap/>
            <w:vAlign w:val="bottom"/>
            <w:hideMark/>
          </w:tcPr>
          <w:p w14:paraId="558B9D67" w14:textId="77777777" w:rsidR="00C64F6A" w:rsidRPr="002306CB" w:rsidRDefault="00C64F6A" w:rsidP="009463F3">
            <w:pPr>
              <w:spacing w:after="0" w:line="240" w:lineRule="auto"/>
              <w:jc w:val="left"/>
              <w:rPr>
                <w:rFonts w:ascii="Aptos Narrow" w:eastAsia="Times New Roman" w:hAnsi="Aptos Narrow" w:cs="Times New Roman"/>
                <w:b/>
                <w:bCs/>
                <w:color w:val="000000"/>
                <w:kern w:val="0"/>
                <w:sz w:val="22"/>
                <w:szCs w:val="22"/>
                <w:lang w:val="en-US"/>
                <w14:ligatures w14:val="none"/>
              </w:rPr>
            </w:pPr>
            <w:r w:rsidRPr="002306CB">
              <w:rPr>
                <w:rFonts w:ascii="Aptos Narrow" w:eastAsia="Times New Roman" w:hAnsi="Aptos Narrow" w:cs="Times New Roman"/>
                <w:b/>
                <w:bCs/>
                <w:color w:val="000000"/>
                <w:kern w:val="0"/>
                <w:sz w:val="22"/>
                <w:szCs w:val="22"/>
                <w:lang w:val="en-US"/>
                <w14:ligatures w14:val="none"/>
              </w:rPr>
              <w:t> </w:t>
            </w:r>
          </w:p>
        </w:tc>
        <w:tc>
          <w:tcPr>
            <w:tcW w:w="373" w:type="pct"/>
            <w:tcBorders>
              <w:top w:val="nil"/>
              <w:left w:val="nil"/>
              <w:bottom w:val="single" w:sz="4" w:space="0" w:color="auto"/>
              <w:right w:val="single" w:sz="4" w:space="0" w:color="auto"/>
            </w:tcBorders>
            <w:shd w:val="clear" w:color="000000" w:fill="CAEDFB"/>
            <w:noWrap/>
            <w:vAlign w:val="bottom"/>
            <w:hideMark/>
          </w:tcPr>
          <w:p w14:paraId="68225A1F" w14:textId="77777777" w:rsidR="00C64F6A" w:rsidRPr="002306CB" w:rsidRDefault="00C64F6A" w:rsidP="009463F3">
            <w:pPr>
              <w:spacing w:after="0" w:line="240" w:lineRule="auto"/>
              <w:jc w:val="left"/>
              <w:rPr>
                <w:rFonts w:ascii="Aptos Narrow" w:eastAsia="Times New Roman" w:hAnsi="Aptos Narrow" w:cs="Times New Roman"/>
                <w:b/>
                <w:bCs/>
                <w:color w:val="000000"/>
                <w:kern w:val="0"/>
                <w:sz w:val="22"/>
                <w:szCs w:val="22"/>
                <w:lang w:val="en-US"/>
                <w14:ligatures w14:val="none"/>
              </w:rPr>
            </w:pPr>
            <w:r w:rsidRPr="002306CB">
              <w:rPr>
                <w:rFonts w:ascii="Aptos Narrow" w:eastAsia="Times New Roman" w:hAnsi="Aptos Narrow" w:cs="Times New Roman"/>
                <w:b/>
                <w:bCs/>
                <w:color w:val="000000"/>
                <w:kern w:val="0"/>
                <w:sz w:val="22"/>
                <w:szCs w:val="22"/>
                <w:lang w:val="en-US"/>
                <w14:ligatures w14:val="none"/>
              </w:rPr>
              <w:t> </w:t>
            </w:r>
          </w:p>
        </w:tc>
        <w:tc>
          <w:tcPr>
            <w:tcW w:w="351" w:type="pct"/>
            <w:tcBorders>
              <w:top w:val="nil"/>
              <w:left w:val="nil"/>
              <w:bottom w:val="single" w:sz="4" w:space="0" w:color="auto"/>
              <w:right w:val="single" w:sz="4" w:space="0" w:color="auto"/>
            </w:tcBorders>
            <w:shd w:val="clear" w:color="000000" w:fill="CAEDFB"/>
            <w:noWrap/>
            <w:vAlign w:val="bottom"/>
            <w:hideMark/>
          </w:tcPr>
          <w:p w14:paraId="08E85213" w14:textId="77777777" w:rsidR="00C64F6A" w:rsidRPr="002306CB" w:rsidRDefault="00C64F6A" w:rsidP="009463F3">
            <w:pPr>
              <w:spacing w:after="0" w:line="240" w:lineRule="auto"/>
              <w:jc w:val="left"/>
              <w:rPr>
                <w:rFonts w:ascii="Aptos Narrow" w:eastAsia="Times New Roman" w:hAnsi="Aptos Narrow" w:cs="Times New Roman"/>
                <w:b/>
                <w:bCs/>
                <w:color w:val="000000"/>
                <w:kern w:val="0"/>
                <w:sz w:val="22"/>
                <w:szCs w:val="22"/>
                <w:lang w:val="en-US"/>
                <w14:ligatures w14:val="none"/>
              </w:rPr>
            </w:pPr>
            <w:r w:rsidRPr="002306CB">
              <w:rPr>
                <w:rFonts w:ascii="Aptos Narrow" w:eastAsia="Times New Roman" w:hAnsi="Aptos Narrow" w:cs="Times New Roman"/>
                <w:b/>
                <w:bCs/>
                <w:color w:val="000000"/>
                <w:kern w:val="0"/>
                <w:sz w:val="22"/>
                <w:szCs w:val="22"/>
                <w:lang w:val="en-US"/>
                <w14:ligatures w14:val="none"/>
              </w:rPr>
              <w:t> </w:t>
            </w:r>
          </w:p>
        </w:tc>
        <w:tc>
          <w:tcPr>
            <w:tcW w:w="351" w:type="pct"/>
            <w:tcBorders>
              <w:top w:val="nil"/>
              <w:left w:val="nil"/>
              <w:bottom w:val="single" w:sz="4" w:space="0" w:color="auto"/>
              <w:right w:val="single" w:sz="4" w:space="0" w:color="auto"/>
            </w:tcBorders>
            <w:shd w:val="clear" w:color="000000" w:fill="CAEDFB"/>
            <w:noWrap/>
            <w:vAlign w:val="bottom"/>
            <w:hideMark/>
          </w:tcPr>
          <w:p w14:paraId="53A14B37" w14:textId="77777777" w:rsidR="00C64F6A" w:rsidRPr="002306CB" w:rsidRDefault="00C64F6A" w:rsidP="009463F3">
            <w:pPr>
              <w:spacing w:after="0" w:line="240" w:lineRule="auto"/>
              <w:jc w:val="left"/>
              <w:rPr>
                <w:rFonts w:ascii="Aptos Narrow" w:eastAsia="Times New Roman" w:hAnsi="Aptos Narrow" w:cs="Times New Roman"/>
                <w:b/>
                <w:bCs/>
                <w:color w:val="000000"/>
                <w:kern w:val="0"/>
                <w:sz w:val="22"/>
                <w:szCs w:val="22"/>
                <w:lang w:val="en-US"/>
                <w14:ligatures w14:val="none"/>
              </w:rPr>
            </w:pPr>
            <w:r w:rsidRPr="002306CB">
              <w:rPr>
                <w:rFonts w:ascii="Aptos Narrow" w:eastAsia="Times New Roman" w:hAnsi="Aptos Narrow" w:cs="Times New Roman"/>
                <w:b/>
                <w:bCs/>
                <w:color w:val="000000"/>
                <w:kern w:val="0"/>
                <w:sz w:val="22"/>
                <w:szCs w:val="22"/>
                <w:lang w:val="en-US"/>
                <w14:ligatures w14:val="none"/>
              </w:rPr>
              <w:t> </w:t>
            </w:r>
          </w:p>
        </w:tc>
      </w:tr>
      <w:tr w:rsidR="00C64F6A" w:rsidRPr="002306CB" w14:paraId="0CC9679A" w14:textId="77777777" w:rsidTr="009463F3">
        <w:trPr>
          <w:trHeight w:val="300"/>
        </w:trPr>
        <w:tc>
          <w:tcPr>
            <w:tcW w:w="869" w:type="pct"/>
            <w:tcBorders>
              <w:top w:val="nil"/>
              <w:left w:val="single" w:sz="4" w:space="0" w:color="auto"/>
              <w:bottom w:val="single" w:sz="4" w:space="0" w:color="auto"/>
              <w:right w:val="single" w:sz="4" w:space="0" w:color="auto"/>
            </w:tcBorders>
            <w:noWrap/>
            <w:vAlign w:val="bottom"/>
            <w:hideMark/>
          </w:tcPr>
          <w:p w14:paraId="44AA5A53"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Operating Cash Flow Ratio</w:t>
            </w:r>
          </w:p>
        </w:tc>
        <w:tc>
          <w:tcPr>
            <w:tcW w:w="1088" w:type="pct"/>
            <w:tcBorders>
              <w:top w:val="nil"/>
              <w:left w:val="nil"/>
              <w:bottom w:val="single" w:sz="4" w:space="0" w:color="auto"/>
              <w:right w:val="single" w:sz="4" w:space="0" w:color="auto"/>
            </w:tcBorders>
            <w:noWrap/>
            <w:vAlign w:val="bottom"/>
            <w:hideMark/>
          </w:tcPr>
          <w:p w14:paraId="56580548"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OCF / Current Liabilities</w:t>
            </w:r>
          </w:p>
        </w:tc>
        <w:tc>
          <w:tcPr>
            <w:tcW w:w="783" w:type="pct"/>
            <w:tcBorders>
              <w:top w:val="nil"/>
              <w:left w:val="nil"/>
              <w:bottom w:val="single" w:sz="4" w:space="0" w:color="auto"/>
              <w:right w:val="single" w:sz="4" w:space="0" w:color="auto"/>
            </w:tcBorders>
            <w:noWrap/>
            <w:vAlign w:val="bottom"/>
            <w:hideMark/>
          </w:tcPr>
          <w:p w14:paraId="09CF80EA"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Operating Cash Flow</w:t>
            </w:r>
          </w:p>
        </w:tc>
        <w:tc>
          <w:tcPr>
            <w:tcW w:w="810" w:type="pct"/>
            <w:tcBorders>
              <w:top w:val="nil"/>
              <w:left w:val="nil"/>
              <w:bottom w:val="single" w:sz="4" w:space="0" w:color="auto"/>
              <w:right w:val="single" w:sz="4" w:space="0" w:color="auto"/>
            </w:tcBorders>
            <w:noWrap/>
            <w:vAlign w:val="bottom"/>
            <w:hideMark/>
          </w:tcPr>
          <w:p w14:paraId="789137BE"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73,392</w:t>
            </w:r>
          </w:p>
        </w:tc>
        <w:tc>
          <w:tcPr>
            <w:tcW w:w="373" w:type="pct"/>
            <w:tcBorders>
              <w:top w:val="nil"/>
              <w:left w:val="nil"/>
              <w:bottom w:val="single" w:sz="4" w:space="0" w:color="auto"/>
              <w:right w:val="single" w:sz="4" w:space="0" w:color="auto"/>
            </w:tcBorders>
            <w:noWrap/>
            <w:vAlign w:val="bottom"/>
            <w:hideMark/>
          </w:tcPr>
          <w:p w14:paraId="761470B3"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40,283</w:t>
            </w:r>
          </w:p>
        </w:tc>
        <w:tc>
          <w:tcPr>
            <w:tcW w:w="373" w:type="pct"/>
            <w:tcBorders>
              <w:top w:val="nil"/>
              <w:left w:val="nil"/>
              <w:bottom w:val="single" w:sz="4" w:space="0" w:color="auto"/>
              <w:right w:val="single" w:sz="4" w:space="0" w:color="auto"/>
            </w:tcBorders>
            <w:noWrap/>
            <w:vAlign w:val="bottom"/>
            <w:hideMark/>
          </w:tcPr>
          <w:p w14:paraId="09348CD3"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10,926</w:t>
            </w:r>
          </w:p>
        </w:tc>
        <w:tc>
          <w:tcPr>
            <w:tcW w:w="351" w:type="pct"/>
            <w:tcBorders>
              <w:top w:val="nil"/>
              <w:left w:val="nil"/>
              <w:bottom w:val="single" w:sz="4" w:space="0" w:color="auto"/>
              <w:right w:val="single" w:sz="4" w:space="0" w:color="auto"/>
            </w:tcBorders>
            <w:noWrap/>
            <w:vAlign w:val="bottom"/>
            <w:hideMark/>
          </w:tcPr>
          <w:p w14:paraId="400B2FA1"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25,190</w:t>
            </w:r>
          </w:p>
        </w:tc>
        <w:tc>
          <w:tcPr>
            <w:tcW w:w="351" w:type="pct"/>
            <w:tcBorders>
              <w:top w:val="nil"/>
              <w:left w:val="nil"/>
              <w:bottom w:val="single" w:sz="4" w:space="0" w:color="auto"/>
              <w:right w:val="single" w:sz="4" w:space="0" w:color="auto"/>
            </w:tcBorders>
            <w:noWrap/>
            <w:vAlign w:val="bottom"/>
            <w:hideMark/>
          </w:tcPr>
          <w:p w14:paraId="082EF714"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14,822</w:t>
            </w:r>
          </w:p>
        </w:tc>
      </w:tr>
      <w:tr w:rsidR="00C64F6A" w:rsidRPr="002306CB" w14:paraId="5CE43B77" w14:textId="77777777" w:rsidTr="009463F3">
        <w:trPr>
          <w:trHeight w:val="300"/>
        </w:trPr>
        <w:tc>
          <w:tcPr>
            <w:tcW w:w="869" w:type="pct"/>
            <w:tcBorders>
              <w:top w:val="nil"/>
              <w:left w:val="single" w:sz="4" w:space="0" w:color="auto"/>
              <w:bottom w:val="single" w:sz="4" w:space="0" w:color="auto"/>
              <w:right w:val="single" w:sz="4" w:space="0" w:color="auto"/>
            </w:tcBorders>
            <w:noWrap/>
            <w:vAlign w:val="bottom"/>
            <w:hideMark/>
          </w:tcPr>
          <w:p w14:paraId="25982E4D"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lastRenderedPageBreak/>
              <w:t> </w:t>
            </w:r>
          </w:p>
        </w:tc>
        <w:tc>
          <w:tcPr>
            <w:tcW w:w="1088" w:type="pct"/>
            <w:tcBorders>
              <w:top w:val="nil"/>
              <w:left w:val="nil"/>
              <w:bottom w:val="single" w:sz="4" w:space="0" w:color="auto"/>
              <w:right w:val="single" w:sz="4" w:space="0" w:color="auto"/>
            </w:tcBorders>
            <w:noWrap/>
            <w:vAlign w:val="bottom"/>
            <w:hideMark/>
          </w:tcPr>
          <w:p w14:paraId="5A351205"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 </w:t>
            </w:r>
          </w:p>
        </w:tc>
        <w:tc>
          <w:tcPr>
            <w:tcW w:w="783" w:type="pct"/>
            <w:tcBorders>
              <w:top w:val="nil"/>
              <w:left w:val="nil"/>
              <w:bottom w:val="single" w:sz="4" w:space="0" w:color="auto"/>
              <w:right w:val="single" w:sz="4" w:space="0" w:color="auto"/>
            </w:tcBorders>
            <w:noWrap/>
            <w:vAlign w:val="bottom"/>
            <w:hideMark/>
          </w:tcPr>
          <w:p w14:paraId="41011FAF"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Current Liabilities</w:t>
            </w:r>
          </w:p>
        </w:tc>
        <w:tc>
          <w:tcPr>
            <w:tcW w:w="810" w:type="pct"/>
            <w:tcBorders>
              <w:top w:val="nil"/>
              <w:left w:val="nil"/>
              <w:bottom w:val="single" w:sz="4" w:space="0" w:color="auto"/>
              <w:right w:val="single" w:sz="4" w:space="0" w:color="auto"/>
            </w:tcBorders>
            <w:noWrap/>
            <w:vAlign w:val="bottom"/>
            <w:hideMark/>
          </w:tcPr>
          <w:p w14:paraId="63295C8E"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179,510</w:t>
            </w:r>
          </w:p>
        </w:tc>
        <w:tc>
          <w:tcPr>
            <w:tcW w:w="373" w:type="pct"/>
            <w:tcBorders>
              <w:top w:val="nil"/>
              <w:left w:val="nil"/>
              <w:bottom w:val="single" w:sz="4" w:space="0" w:color="auto"/>
              <w:right w:val="single" w:sz="4" w:space="0" w:color="auto"/>
            </w:tcBorders>
            <w:noWrap/>
            <w:vAlign w:val="bottom"/>
            <w:hideMark/>
          </w:tcPr>
          <w:p w14:paraId="44D0A793"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216,787</w:t>
            </w:r>
          </w:p>
        </w:tc>
        <w:tc>
          <w:tcPr>
            <w:tcW w:w="373" w:type="pct"/>
            <w:tcBorders>
              <w:top w:val="nil"/>
              <w:left w:val="nil"/>
              <w:bottom w:val="single" w:sz="4" w:space="0" w:color="auto"/>
              <w:right w:val="single" w:sz="4" w:space="0" w:color="auto"/>
            </w:tcBorders>
            <w:noWrap/>
            <w:vAlign w:val="bottom"/>
            <w:hideMark/>
          </w:tcPr>
          <w:p w14:paraId="13B99323"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216,473</w:t>
            </w:r>
          </w:p>
        </w:tc>
        <w:tc>
          <w:tcPr>
            <w:tcW w:w="351" w:type="pct"/>
            <w:tcBorders>
              <w:top w:val="nil"/>
              <w:left w:val="nil"/>
              <w:bottom w:val="single" w:sz="4" w:space="0" w:color="auto"/>
              <w:right w:val="single" w:sz="4" w:space="0" w:color="auto"/>
            </w:tcBorders>
            <w:noWrap/>
            <w:vAlign w:val="bottom"/>
            <w:hideMark/>
          </w:tcPr>
          <w:p w14:paraId="514E6C4C"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161,148</w:t>
            </w:r>
          </w:p>
        </w:tc>
        <w:tc>
          <w:tcPr>
            <w:tcW w:w="351" w:type="pct"/>
            <w:tcBorders>
              <w:top w:val="nil"/>
              <w:left w:val="nil"/>
              <w:bottom w:val="single" w:sz="4" w:space="0" w:color="auto"/>
              <w:right w:val="single" w:sz="4" w:space="0" w:color="auto"/>
            </w:tcBorders>
            <w:noWrap/>
            <w:vAlign w:val="bottom"/>
            <w:hideMark/>
          </w:tcPr>
          <w:p w14:paraId="489D7D7F"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158,291</w:t>
            </w:r>
          </w:p>
        </w:tc>
      </w:tr>
      <w:tr w:rsidR="00C64F6A" w:rsidRPr="002306CB" w14:paraId="7E054D3D" w14:textId="77777777" w:rsidTr="009463F3">
        <w:trPr>
          <w:trHeight w:val="300"/>
        </w:trPr>
        <w:tc>
          <w:tcPr>
            <w:tcW w:w="869" w:type="pct"/>
            <w:tcBorders>
              <w:top w:val="nil"/>
              <w:left w:val="single" w:sz="4" w:space="0" w:color="auto"/>
              <w:bottom w:val="single" w:sz="4" w:space="0" w:color="auto"/>
              <w:right w:val="single" w:sz="4" w:space="0" w:color="auto"/>
            </w:tcBorders>
            <w:noWrap/>
            <w:vAlign w:val="bottom"/>
            <w:hideMark/>
          </w:tcPr>
          <w:p w14:paraId="3ACA2543"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Free Cash Flow (FCF)</w:t>
            </w:r>
          </w:p>
        </w:tc>
        <w:tc>
          <w:tcPr>
            <w:tcW w:w="1088" w:type="pct"/>
            <w:tcBorders>
              <w:top w:val="nil"/>
              <w:left w:val="nil"/>
              <w:bottom w:val="single" w:sz="4" w:space="0" w:color="auto"/>
              <w:right w:val="single" w:sz="4" w:space="0" w:color="auto"/>
            </w:tcBorders>
            <w:noWrap/>
            <w:vAlign w:val="bottom"/>
            <w:hideMark/>
          </w:tcPr>
          <w:p w14:paraId="78045DCB"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 xml:space="preserve">OCF − </w:t>
            </w:r>
            <w:proofErr w:type="spellStart"/>
            <w:r w:rsidRPr="002306CB">
              <w:rPr>
                <w:rFonts w:ascii="Aptos Narrow" w:eastAsia="Times New Roman" w:hAnsi="Aptos Narrow" w:cs="Times New Roman"/>
                <w:color w:val="000000"/>
                <w:kern w:val="0"/>
                <w:sz w:val="22"/>
                <w:szCs w:val="22"/>
                <w:lang w:val="en-US"/>
                <w14:ligatures w14:val="none"/>
              </w:rPr>
              <w:t>CapEx</w:t>
            </w:r>
            <w:proofErr w:type="spellEnd"/>
          </w:p>
        </w:tc>
        <w:tc>
          <w:tcPr>
            <w:tcW w:w="783" w:type="pct"/>
            <w:tcBorders>
              <w:top w:val="nil"/>
              <w:left w:val="nil"/>
              <w:bottom w:val="single" w:sz="4" w:space="0" w:color="auto"/>
              <w:right w:val="single" w:sz="4" w:space="0" w:color="auto"/>
            </w:tcBorders>
            <w:noWrap/>
            <w:vAlign w:val="bottom"/>
            <w:hideMark/>
          </w:tcPr>
          <w:p w14:paraId="5A8F2882"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Operating Cash Flow</w:t>
            </w:r>
          </w:p>
        </w:tc>
        <w:tc>
          <w:tcPr>
            <w:tcW w:w="810" w:type="pct"/>
            <w:tcBorders>
              <w:top w:val="nil"/>
              <w:left w:val="nil"/>
              <w:bottom w:val="single" w:sz="4" w:space="0" w:color="auto"/>
              <w:right w:val="single" w:sz="4" w:space="0" w:color="auto"/>
            </w:tcBorders>
            <w:noWrap/>
            <w:vAlign w:val="bottom"/>
            <w:hideMark/>
          </w:tcPr>
          <w:p w14:paraId="4111F57E"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73,392</w:t>
            </w:r>
          </w:p>
        </w:tc>
        <w:tc>
          <w:tcPr>
            <w:tcW w:w="373" w:type="pct"/>
            <w:tcBorders>
              <w:top w:val="nil"/>
              <w:left w:val="nil"/>
              <w:bottom w:val="single" w:sz="4" w:space="0" w:color="auto"/>
              <w:right w:val="single" w:sz="4" w:space="0" w:color="auto"/>
            </w:tcBorders>
            <w:noWrap/>
            <w:vAlign w:val="bottom"/>
            <w:hideMark/>
          </w:tcPr>
          <w:p w14:paraId="6903BCAF"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40,283</w:t>
            </w:r>
          </w:p>
        </w:tc>
        <w:tc>
          <w:tcPr>
            <w:tcW w:w="373" w:type="pct"/>
            <w:tcBorders>
              <w:top w:val="nil"/>
              <w:left w:val="nil"/>
              <w:bottom w:val="single" w:sz="4" w:space="0" w:color="auto"/>
              <w:right w:val="single" w:sz="4" w:space="0" w:color="auto"/>
            </w:tcBorders>
            <w:noWrap/>
            <w:vAlign w:val="bottom"/>
            <w:hideMark/>
          </w:tcPr>
          <w:p w14:paraId="4F6A8494"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10,926</w:t>
            </w:r>
          </w:p>
        </w:tc>
        <w:tc>
          <w:tcPr>
            <w:tcW w:w="351" w:type="pct"/>
            <w:tcBorders>
              <w:top w:val="nil"/>
              <w:left w:val="nil"/>
              <w:bottom w:val="single" w:sz="4" w:space="0" w:color="auto"/>
              <w:right w:val="single" w:sz="4" w:space="0" w:color="auto"/>
            </w:tcBorders>
            <w:noWrap/>
            <w:vAlign w:val="bottom"/>
            <w:hideMark/>
          </w:tcPr>
          <w:p w14:paraId="446CF709"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25,190</w:t>
            </w:r>
          </w:p>
        </w:tc>
        <w:tc>
          <w:tcPr>
            <w:tcW w:w="351" w:type="pct"/>
            <w:tcBorders>
              <w:top w:val="nil"/>
              <w:left w:val="nil"/>
              <w:bottom w:val="single" w:sz="4" w:space="0" w:color="auto"/>
              <w:right w:val="single" w:sz="4" w:space="0" w:color="auto"/>
            </w:tcBorders>
            <w:noWrap/>
            <w:vAlign w:val="bottom"/>
            <w:hideMark/>
          </w:tcPr>
          <w:p w14:paraId="234DE2DF"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14,822</w:t>
            </w:r>
          </w:p>
        </w:tc>
      </w:tr>
      <w:tr w:rsidR="00C64F6A" w:rsidRPr="002306CB" w14:paraId="08380E54" w14:textId="77777777" w:rsidTr="009463F3">
        <w:trPr>
          <w:trHeight w:val="300"/>
        </w:trPr>
        <w:tc>
          <w:tcPr>
            <w:tcW w:w="869" w:type="pct"/>
            <w:tcBorders>
              <w:top w:val="nil"/>
              <w:left w:val="single" w:sz="4" w:space="0" w:color="auto"/>
              <w:bottom w:val="single" w:sz="4" w:space="0" w:color="auto"/>
              <w:right w:val="single" w:sz="4" w:space="0" w:color="auto"/>
            </w:tcBorders>
            <w:noWrap/>
            <w:vAlign w:val="bottom"/>
            <w:hideMark/>
          </w:tcPr>
          <w:p w14:paraId="2C712143"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 </w:t>
            </w:r>
          </w:p>
        </w:tc>
        <w:tc>
          <w:tcPr>
            <w:tcW w:w="1088" w:type="pct"/>
            <w:tcBorders>
              <w:top w:val="nil"/>
              <w:left w:val="nil"/>
              <w:bottom w:val="single" w:sz="4" w:space="0" w:color="auto"/>
              <w:right w:val="single" w:sz="4" w:space="0" w:color="auto"/>
            </w:tcBorders>
            <w:noWrap/>
            <w:vAlign w:val="bottom"/>
            <w:hideMark/>
          </w:tcPr>
          <w:p w14:paraId="0B15C3CF"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 </w:t>
            </w:r>
          </w:p>
        </w:tc>
        <w:tc>
          <w:tcPr>
            <w:tcW w:w="783" w:type="pct"/>
            <w:tcBorders>
              <w:top w:val="nil"/>
              <w:left w:val="nil"/>
              <w:bottom w:val="single" w:sz="4" w:space="0" w:color="auto"/>
              <w:right w:val="single" w:sz="4" w:space="0" w:color="auto"/>
            </w:tcBorders>
            <w:noWrap/>
            <w:vAlign w:val="bottom"/>
            <w:hideMark/>
          </w:tcPr>
          <w:p w14:paraId="5D05A614"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Capital Expenditure (PPE + Intangibles)</w:t>
            </w:r>
          </w:p>
        </w:tc>
        <w:tc>
          <w:tcPr>
            <w:tcW w:w="810" w:type="pct"/>
            <w:tcBorders>
              <w:top w:val="nil"/>
              <w:left w:val="nil"/>
              <w:bottom w:val="single" w:sz="4" w:space="0" w:color="auto"/>
              <w:right w:val="single" w:sz="4" w:space="0" w:color="auto"/>
            </w:tcBorders>
            <w:noWrap/>
            <w:vAlign w:val="bottom"/>
            <w:hideMark/>
          </w:tcPr>
          <w:p w14:paraId="3CC12ADA"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-23,234</w:t>
            </w:r>
          </w:p>
        </w:tc>
        <w:tc>
          <w:tcPr>
            <w:tcW w:w="373" w:type="pct"/>
            <w:tcBorders>
              <w:top w:val="nil"/>
              <w:left w:val="nil"/>
              <w:bottom w:val="single" w:sz="4" w:space="0" w:color="auto"/>
              <w:right w:val="single" w:sz="4" w:space="0" w:color="auto"/>
            </w:tcBorders>
            <w:noWrap/>
            <w:vAlign w:val="bottom"/>
            <w:hideMark/>
          </w:tcPr>
          <w:p w14:paraId="5995C203"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-17,041</w:t>
            </w:r>
          </w:p>
        </w:tc>
        <w:tc>
          <w:tcPr>
            <w:tcW w:w="373" w:type="pct"/>
            <w:tcBorders>
              <w:top w:val="nil"/>
              <w:left w:val="nil"/>
              <w:bottom w:val="single" w:sz="4" w:space="0" w:color="auto"/>
              <w:right w:val="single" w:sz="4" w:space="0" w:color="auto"/>
            </w:tcBorders>
            <w:noWrap/>
            <w:vAlign w:val="bottom"/>
            <w:hideMark/>
          </w:tcPr>
          <w:p w14:paraId="6140DE9B"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-20,585</w:t>
            </w:r>
          </w:p>
        </w:tc>
        <w:tc>
          <w:tcPr>
            <w:tcW w:w="351" w:type="pct"/>
            <w:tcBorders>
              <w:top w:val="nil"/>
              <w:left w:val="nil"/>
              <w:bottom w:val="single" w:sz="4" w:space="0" w:color="auto"/>
              <w:right w:val="single" w:sz="4" w:space="0" w:color="auto"/>
            </w:tcBorders>
            <w:noWrap/>
            <w:vAlign w:val="bottom"/>
            <w:hideMark/>
          </w:tcPr>
          <w:p w14:paraId="10A8C145"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-13,877</w:t>
            </w:r>
          </w:p>
        </w:tc>
        <w:tc>
          <w:tcPr>
            <w:tcW w:w="351" w:type="pct"/>
            <w:tcBorders>
              <w:top w:val="nil"/>
              <w:left w:val="nil"/>
              <w:bottom w:val="single" w:sz="4" w:space="0" w:color="auto"/>
              <w:right w:val="single" w:sz="4" w:space="0" w:color="auto"/>
            </w:tcBorders>
            <w:noWrap/>
            <w:vAlign w:val="bottom"/>
            <w:hideMark/>
          </w:tcPr>
          <w:p w14:paraId="350B2931"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-8,428</w:t>
            </w:r>
          </w:p>
        </w:tc>
      </w:tr>
      <w:tr w:rsidR="00C64F6A" w:rsidRPr="002306CB" w14:paraId="33175CE4" w14:textId="77777777" w:rsidTr="009463F3">
        <w:trPr>
          <w:trHeight w:val="300"/>
        </w:trPr>
        <w:tc>
          <w:tcPr>
            <w:tcW w:w="869" w:type="pct"/>
            <w:tcBorders>
              <w:top w:val="nil"/>
              <w:left w:val="single" w:sz="4" w:space="0" w:color="auto"/>
              <w:bottom w:val="single" w:sz="4" w:space="0" w:color="auto"/>
              <w:right w:val="single" w:sz="4" w:space="0" w:color="auto"/>
            </w:tcBorders>
            <w:noWrap/>
            <w:vAlign w:val="bottom"/>
            <w:hideMark/>
          </w:tcPr>
          <w:p w14:paraId="698A519A"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OCF to Net Income</w:t>
            </w:r>
          </w:p>
        </w:tc>
        <w:tc>
          <w:tcPr>
            <w:tcW w:w="1088" w:type="pct"/>
            <w:tcBorders>
              <w:top w:val="nil"/>
              <w:left w:val="nil"/>
              <w:bottom w:val="single" w:sz="4" w:space="0" w:color="auto"/>
              <w:right w:val="single" w:sz="4" w:space="0" w:color="auto"/>
            </w:tcBorders>
            <w:noWrap/>
            <w:vAlign w:val="bottom"/>
            <w:hideMark/>
          </w:tcPr>
          <w:p w14:paraId="7A697DC6"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OCF / Net Income</w:t>
            </w:r>
          </w:p>
        </w:tc>
        <w:tc>
          <w:tcPr>
            <w:tcW w:w="783" w:type="pct"/>
            <w:tcBorders>
              <w:top w:val="nil"/>
              <w:left w:val="nil"/>
              <w:bottom w:val="single" w:sz="4" w:space="0" w:color="auto"/>
              <w:right w:val="single" w:sz="4" w:space="0" w:color="auto"/>
            </w:tcBorders>
            <w:noWrap/>
            <w:vAlign w:val="bottom"/>
            <w:hideMark/>
          </w:tcPr>
          <w:p w14:paraId="3C0B064C"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Operating Cash Flow (OCF)</w:t>
            </w:r>
          </w:p>
        </w:tc>
        <w:tc>
          <w:tcPr>
            <w:tcW w:w="810" w:type="pct"/>
            <w:tcBorders>
              <w:top w:val="nil"/>
              <w:left w:val="nil"/>
              <w:bottom w:val="single" w:sz="4" w:space="0" w:color="auto"/>
              <w:right w:val="single" w:sz="4" w:space="0" w:color="auto"/>
            </w:tcBorders>
            <w:noWrap/>
            <w:vAlign w:val="bottom"/>
            <w:hideMark/>
          </w:tcPr>
          <w:p w14:paraId="0DFD64B5"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73,392</w:t>
            </w:r>
          </w:p>
        </w:tc>
        <w:tc>
          <w:tcPr>
            <w:tcW w:w="373" w:type="pct"/>
            <w:tcBorders>
              <w:top w:val="nil"/>
              <w:left w:val="nil"/>
              <w:bottom w:val="single" w:sz="4" w:space="0" w:color="auto"/>
              <w:right w:val="single" w:sz="4" w:space="0" w:color="auto"/>
            </w:tcBorders>
            <w:noWrap/>
            <w:vAlign w:val="bottom"/>
            <w:hideMark/>
          </w:tcPr>
          <w:p w14:paraId="4D0D3817"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40,283</w:t>
            </w:r>
          </w:p>
        </w:tc>
        <w:tc>
          <w:tcPr>
            <w:tcW w:w="373" w:type="pct"/>
            <w:tcBorders>
              <w:top w:val="nil"/>
              <w:left w:val="nil"/>
              <w:bottom w:val="single" w:sz="4" w:space="0" w:color="auto"/>
              <w:right w:val="single" w:sz="4" w:space="0" w:color="auto"/>
            </w:tcBorders>
            <w:noWrap/>
            <w:vAlign w:val="bottom"/>
            <w:hideMark/>
          </w:tcPr>
          <w:p w14:paraId="0F2D9703"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10,926</w:t>
            </w:r>
          </w:p>
        </w:tc>
        <w:tc>
          <w:tcPr>
            <w:tcW w:w="351" w:type="pct"/>
            <w:tcBorders>
              <w:top w:val="nil"/>
              <w:left w:val="nil"/>
              <w:bottom w:val="single" w:sz="4" w:space="0" w:color="auto"/>
              <w:right w:val="single" w:sz="4" w:space="0" w:color="auto"/>
            </w:tcBorders>
            <w:noWrap/>
            <w:vAlign w:val="bottom"/>
            <w:hideMark/>
          </w:tcPr>
          <w:p w14:paraId="6306FA98"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25,190</w:t>
            </w:r>
          </w:p>
        </w:tc>
        <w:tc>
          <w:tcPr>
            <w:tcW w:w="351" w:type="pct"/>
            <w:tcBorders>
              <w:top w:val="nil"/>
              <w:left w:val="nil"/>
              <w:bottom w:val="single" w:sz="4" w:space="0" w:color="auto"/>
              <w:right w:val="single" w:sz="4" w:space="0" w:color="auto"/>
            </w:tcBorders>
            <w:noWrap/>
            <w:vAlign w:val="bottom"/>
            <w:hideMark/>
          </w:tcPr>
          <w:p w14:paraId="1DC89561"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14,822</w:t>
            </w:r>
          </w:p>
        </w:tc>
      </w:tr>
      <w:tr w:rsidR="00C64F6A" w:rsidRPr="002306CB" w14:paraId="4D3D38B5" w14:textId="77777777" w:rsidTr="009463F3">
        <w:trPr>
          <w:trHeight w:val="300"/>
        </w:trPr>
        <w:tc>
          <w:tcPr>
            <w:tcW w:w="869" w:type="pct"/>
            <w:tcBorders>
              <w:top w:val="nil"/>
              <w:left w:val="single" w:sz="4" w:space="0" w:color="auto"/>
              <w:bottom w:val="single" w:sz="4" w:space="0" w:color="auto"/>
              <w:right w:val="single" w:sz="4" w:space="0" w:color="auto"/>
            </w:tcBorders>
            <w:noWrap/>
            <w:vAlign w:val="bottom"/>
            <w:hideMark/>
          </w:tcPr>
          <w:p w14:paraId="22536894"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 </w:t>
            </w:r>
          </w:p>
        </w:tc>
        <w:tc>
          <w:tcPr>
            <w:tcW w:w="1088" w:type="pct"/>
            <w:tcBorders>
              <w:top w:val="nil"/>
              <w:left w:val="nil"/>
              <w:bottom w:val="single" w:sz="4" w:space="0" w:color="auto"/>
              <w:right w:val="single" w:sz="4" w:space="0" w:color="auto"/>
            </w:tcBorders>
            <w:noWrap/>
            <w:vAlign w:val="bottom"/>
            <w:hideMark/>
          </w:tcPr>
          <w:p w14:paraId="74DFAFC2"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 </w:t>
            </w:r>
          </w:p>
        </w:tc>
        <w:tc>
          <w:tcPr>
            <w:tcW w:w="783" w:type="pct"/>
            <w:tcBorders>
              <w:top w:val="nil"/>
              <w:left w:val="nil"/>
              <w:bottom w:val="single" w:sz="4" w:space="0" w:color="auto"/>
              <w:right w:val="single" w:sz="4" w:space="0" w:color="auto"/>
            </w:tcBorders>
            <w:noWrap/>
            <w:vAlign w:val="bottom"/>
            <w:hideMark/>
          </w:tcPr>
          <w:p w14:paraId="446695F2"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Net Income (Loss)</w:t>
            </w:r>
          </w:p>
        </w:tc>
        <w:tc>
          <w:tcPr>
            <w:tcW w:w="810" w:type="pct"/>
            <w:tcBorders>
              <w:top w:val="nil"/>
              <w:left w:val="nil"/>
              <w:bottom w:val="single" w:sz="4" w:space="0" w:color="auto"/>
              <w:right w:val="single" w:sz="4" w:space="0" w:color="auto"/>
            </w:tcBorders>
            <w:noWrap/>
            <w:vAlign w:val="bottom"/>
            <w:hideMark/>
          </w:tcPr>
          <w:p w14:paraId="2E93311E"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38,572</w:t>
            </w:r>
          </w:p>
        </w:tc>
        <w:tc>
          <w:tcPr>
            <w:tcW w:w="373" w:type="pct"/>
            <w:tcBorders>
              <w:top w:val="nil"/>
              <w:left w:val="nil"/>
              <w:bottom w:val="single" w:sz="4" w:space="0" w:color="auto"/>
              <w:right w:val="single" w:sz="4" w:space="0" w:color="auto"/>
            </w:tcBorders>
            <w:noWrap/>
            <w:vAlign w:val="bottom"/>
            <w:hideMark/>
          </w:tcPr>
          <w:p w14:paraId="5FD01B52"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5,301</w:t>
            </w:r>
          </w:p>
        </w:tc>
        <w:tc>
          <w:tcPr>
            <w:tcW w:w="373" w:type="pct"/>
            <w:tcBorders>
              <w:top w:val="nil"/>
              <w:left w:val="nil"/>
              <w:bottom w:val="single" w:sz="4" w:space="0" w:color="auto"/>
              <w:right w:val="single" w:sz="4" w:space="0" w:color="auto"/>
            </w:tcBorders>
            <w:noWrap/>
            <w:vAlign w:val="bottom"/>
            <w:hideMark/>
          </w:tcPr>
          <w:p w14:paraId="4DB5074F"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407</w:t>
            </w:r>
          </w:p>
        </w:tc>
        <w:tc>
          <w:tcPr>
            <w:tcW w:w="351" w:type="pct"/>
            <w:tcBorders>
              <w:top w:val="nil"/>
              <w:left w:val="nil"/>
              <w:bottom w:val="single" w:sz="4" w:space="0" w:color="auto"/>
              <w:right w:val="single" w:sz="4" w:space="0" w:color="auto"/>
            </w:tcBorders>
            <w:noWrap/>
            <w:vAlign w:val="bottom"/>
            <w:hideMark/>
          </w:tcPr>
          <w:p w14:paraId="34E63878"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-98,238</w:t>
            </w:r>
          </w:p>
        </w:tc>
        <w:tc>
          <w:tcPr>
            <w:tcW w:w="351" w:type="pct"/>
            <w:tcBorders>
              <w:top w:val="nil"/>
              <w:left w:val="nil"/>
              <w:bottom w:val="single" w:sz="4" w:space="0" w:color="auto"/>
              <w:right w:val="single" w:sz="4" w:space="0" w:color="auto"/>
            </w:tcBorders>
            <w:noWrap/>
            <w:vAlign w:val="bottom"/>
            <w:hideMark/>
          </w:tcPr>
          <w:p w14:paraId="7F11141A"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-24,029</w:t>
            </w:r>
          </w:p>
        </w:tc>
      </w:tr>
      <w:tr w:rsidR="00C64F6A" w:rsidRPr="002306CB" w14:paraId="59EEA628" w14:textId="77777777" w:rsidTr="009463F3">
        <w:trPr>
          <w:trHeight w:val="300"/>
        </w:trPr>
        <w:tc>
          <w:tcPr>
            <w:tcW w:w="869" w:type="pct"/>
            <w:tcBorders>
              <w:top w:val="nil"/>
              <w:left w:val="single" w:sz="4" w:space="0" w:color="auto"/>
              <w:bottom w:val="single" w:sz="4" w:space="0" w:color="auto"/>
              <w:right w:val="single" w:sz="4" w:space="0" w:color="auto"/>
            </w:tcBorders>
            <w:noWrap/>
            <w:vAlign w:val="bottom"/>
            <w:hideMark/>
          </w:tcPr>
          <w:p w14:paraId="40B55CFB"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Cash Flow to Debt</w:t>
            </w:r>
          </w:p>
        </w:tc>
        <w:tc>
          <w:tcPr>
            <w:tcW w:w="1088" w:type="pct"/>
            <w:tcBorders>
              <w:top w:val="nil"/>
              <w:left w:val="nil"/>
              <w:bottom w:val="single" w:sz="4" w:space="0" w:color="auto"/>
              <w:right w:val="single" w:sz="4" w:space="0" w:color="auto"/>
            </w:tcBorders>
            <w:noWrap/>
            <w:vAlign w:val="bottom"/>
            <w:hideMark/>
          </w:tcPr>
          <w:p w14:paraId="08BCF23D"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OCF / Total Liabilities</w:t>
            </w:r>
          </w:p>
        </w:tc>
        <w:tc>
          <w:tcPr>
            <w:tcW w:w="783" w:type="pct"/>
            <w:tcBorders>
              <w:top w:val="nil"/>
              <w:left w:val="nil"/>
              <w:bottom w:val="single" w:sz="4" w:space="0" w:color="auto"/>
              <w:right w:val="single" w:sz="4" w:space="0" w:color="auto"/>
            </w:tcBorders>
            <w:noWrap/>
            <w:vAlign w:val="bottom"/>
            <w:hideMark/>
          </w:tcPr>
          <w:p w14:paraId="53A5B499"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Operating Cash Flow (OCF)</w:t>
            </w:r>
          </w:p>
        </w:tc>
        <w:tc>
          <w:tcPr>
            <w:tcW w:w="810" w:type="pct"/>
            <w:tcBorders>
              <w:top w:val="nil"/>
              <w:left w:val="nil"/>
              <w:bottom w:val="single" w:sz="4" w:space="0" w:color="auto"/>
              <w:right w:val="single" w:sz="4" w:space="0" w:color="auto"/>
            </w:tcBorders>
            <w:noWrap/>
            <w:vAlign w:val="bottom"/>
            <w:hideMark/>
          </w:tcPr>
          <w:p w14:paraId="170E3264"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73,392</w:t>
            </w:r>
          </w:p>
        </w:tc>
        <w:tc>
          <w:tcPr>
            <w:tcW w:w="373" w:type="pct"/>
            <w:tcBorders>
              <w:top w:val="nil"/>
              <w:left w:val="nil"/>
              <w:bottom w:val="single" w:sz="4" w:space="0" w:color="auto"/>
              <w:right w:val="single" w:sz="4" w:space="0" w:color="auto"/>
            </w:tcBorders>
            <w:noWrap/>
            <w:vAlign w:val="bottom"/>
            <w:hideMark/>
          </w:tcPr>
          <w:p w14:paraId="16AFF3E2"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40,283</w:t>
            </w:r>
          </w:p>
        </w:tc>
        <w:tc>
          <w:tcPr>
            <w:tcW w:w="373" w:type="pct"/>
            <w:tcBorders>
              <w:top w:val="nil"/>
              <w:left w:val="nil"/>
              <w:bottom w:val="single" w:sz="4" w:space="0" w:color="auto"/>
              <w:right w:val="single" w:sz="4" w:space="0" w:color="auto"/>
            </w:tcBorders>
            <w:noWrap/>
            <w:vAlign w:val="bottom"/>
            <w:hideMark/>
          </w:tcPr>
          <w:p w14:paraId="772BD880"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10,926</w:t>
            </w:r>
          </w:p>
        </w:tc>
        <w:tc>
          <w:tcPr>
            <w:tcW w:w="351" w:type="pct"/>
            <w:tcBorders>
              <w:top w:val="nil"/>
              <w:left w:val="nil"/>
              <w:bottom w:val="single" w:sz="4" w:space="0" w:color="auto"/>
              <w:right w:val="single" w:sz="4" w:space="0" w:color="auto"/>
            </w:tcBorders>
            <w:noWrap/>
            <w:vAlign w:val="bottom"/>
            <w:hideMark/>
          </w:tcPr>
          <w:p w14:paraId="681D9791"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25,190</w:t>
            </w:r>
          </w:p>
        </w:tc>
        <w:tc>
          <w:tcPr>
            <w:tcW w:w="351" w:type="pct"/>
            <w:tcBorders>
              <w:top w:val="nil"/>
              <w:left w:val="nil"/>
              <w:bottom w:val="single" w:sz="4" w:space="0" w:color="auto"/>
              <w:right w:val="single" w:sz="4" w:space="0" w:color="auto"/>
            </w:tcBorders>
            <w:noWrap/>
            <w:vAlign w:val="bottom"/>
            <w:hideMark/>
          </w:tcPr>
          <w:p w14:paraId="524C7343"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14,822</w:t>
            </w:r>
          </w:p>
        </w:tc>
      </w:tr>
      <w:tr w:rsidR="00C64F6A" w:rsidRPr="002306CB" w14:paraId="42CB8A11" w14:textId="77777777" w:rsidTr="009463F3">
        <w:trPr>
          <w:trHeight w:val="300"/>
        </w:trPr>
        <w:tc>
          <w:tcPr>
            <w:tcW w:w="869" w:type="pct"/>
            <w:tcBorders>
              <w:top w:val="nil"/>
              <w:left w:val="single" w:sz="4" w:space="0" w:color="auto"/>
              <w:bottom w:val="single" w:sz="4" w:space="0" w:color="auto"/>
              <w:right w:val="single" w:sz="4" w:space="0" w:color="auto"/>
            </w:tcBorders>
            <w:noWrap/>
            <w:vAlign w:val="bottom"/>
            <w:hideMark/>
          </w:tcPr>
          <w:p w14:paraId="33693E0C"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 </w:t>
            </w:r>
          </w:p>
        </w:tc>
        <w:tc>
          <w:tcPr>
            <w:tcW w:w="1088" w:type="pct"/>
            <w:tcBorders>
              <w:top w:val="nil"/>
              <w:left w:val="nil"/>
              <w:bottom w:val="single" w:sz="4" w:space="0" w:color="auto"/>
              <w:right w:val="single" w:sz="4" w:space="0" w:color="auto"/>
            </w:tcBorders>
            <w:noWrap/>
            <w:vAlign w:val="bottom"/>
            <w:hideMark/>
          </w:tcPr>
          <w:p w14:paraId="677E3351"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 </w:t>
            </w:r>
          </w:p>
        </w:tc>
        <w:tc>
          <w:tcPr>
            <w:tcW w:w="783" w:type="pct"/>
            <w:tcBorders>
              <w:top w:val="nil"/>
              <w:left w:val="nil"/>
              <w:bottom w:val="single" w:sz="4" w:space="0" w:color="auto"/>
              <w:right w:val="single" w:sz="4" w:space="0" w:color="auto"/>
            </w:tcBorders>
            <w:noWrap/>
            <w:vAlign w:val="bottom"/>
            <w:hideMark/>
          </w:tcPr>
          <w:p w14:paraId="6F8385E9" w14:textId="77777777" w:rsidR="00C64F6A" w:rsidRPr="002306CB"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Total Liabilities</w:t>
            </w:r>
          </w:p>
        </w:tc>
        <w:tc>
          <w:tcPr>
            <w:tcW w:w="810" w:type="pct"/>
            <w:tcBorders>
              <w:top w:val="nil"/>
              <w:left w:val="nil"/>
              <w:bottom w:val="single" w:sz="4" w:space="0" w:color="auto"/>
              <w:right w:val="single" w:sz="4" w:space="0" w:color="auto"/>
            </w:tcBorders>
            <w:noWrap/>
            <w:vAlign w:val="bottom"/>
            <w:hideMark/>
          </w:tcPr>
          <w:p w14:paraId="23B53388"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196,989</w:t>
            </w:r>
          </w:p>
        </w:tc>
        <w:tc>
          <w:tcPr>
            <w:tcW w:w="373" w:type="pct"/>
            <w:tcBorders>
              <w:top w:val="nil"/>
              <w:left w:val="nil"/>
              <w:bottom w:val="single" w:sz="4" w:space="0" w:color="auto"/>
              <w:right w:val="single" w:sz="4" w:space="0" w:color="auto"/>
            </w:tcBorders>
            <w:noWrap/>
            <w:vAlign w:val="bottom"/>
            <w:hideMark/>
          </w:tcPr>
          <w:p w14:paraId="7986B3DB"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234,399</w:t>
            </w:r>
          </w:p>
        </w:tc>
        <w:tc>
          <w:tcPr>
            <w:tcW w:w="373" w:type="pct"/>
            <w:tcBorders>
              <w:top w:val="nil"/>
              <w:left w:val="nil"/>
              <w:bottom w:val="single" w:sz="4" w:space="0" w:color="auto"/>
              <w:right w:val="single" w:sz="4" w:space="0" w:color="auto"/>
            </w:tcBorders>
            <w:noWrap/>
            <w:vAlign w:val="bottom"/>
            <w:hideMark/>
          </w:tcPr>
          <w:p w14:paraId="3FAED564"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235,757</w:t>
            </w:r>
          </w:p>
        </w:tc>
        <w:tc>
          <w:tcPr>
            <w:tcW w:w="351" w:type="pct"/>
            <w:tcBorders>
              <w:top w:val="nil"/>
              <w:left w:val="nil"/>
              <w:bottom w:val="single" w:sz="4" w:space="0" w:color="auto"/>
              <w:right w:val="single" w:sz="4" w:space="0" w:color="auto"/>
            </w:tcBorders>
            <w:noWrap/>
            <w:vAlign w:val="bottom"/>
            <w:hideMark/>
          </w:tcPr>
          <w:p w14:paraId="313D287C"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176,952</w:t>
            </w:r>
          </w:p>
        </w:tc>
        <w:tc>
          <w:tcPr>
            <w:tcW w:w="351" w:type="pct"/>
            <w:tcBorders>
              <w:top w:val="nil"/>
              <w:left w:val="nil"/>
              <w:bottom w:val="single" w:sz="4" w:space="0" w:color="auto"/>
              <w:right w:val="single" w:sz="4" w:space="0" w:color="auto"/>
            </w:tcBorders>
            <w:noWrap/>
            <w:vAlign w:val="bottom"/>
            <w:hideMark/>
          </w:tcPr>
          <w:p w14:paraId="1246D7A5" w14:textId="77777777" w:rsidR="00C64F6A" w:rsidRPr="002306CB"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2306CB">
              <w:rPr>
                <w:rFonts w:ascii="Aptos Narrow" w:eastAsia="Times New Roman" w:hAnsi="Aptos Narrow" w:cs="Times New Roman"/>
                <w:color w:val="000000"/>
                <w:kern w:val="0"/>
                <w:sz w:val="22"/>
                <w:szCs w:val="22"/>
                <w:lang w:val="en-US"/>
                <w14:ligatures w14:val="none"/>
              </w:rPr>
              <w:t>170,249</w:t>
            </w:r>
          </w:p>
        </w:tc>
      </w:tr>
    </w:tbl>
    <w:p w14:paraId="157C7FB3" w14:textId="77777777" w:rsidR="00C64F6A" w:rsidRPr="005F57AF" w:rsidRDefault="00C64F6A" w:rsidP="00C64F6A">
      <w:pPr>
        <w:spacing w:line="278" w:lineRule="auto"/>
        <w:jc w:val="left"/>
        <w:rPr>
          <w:b/>
          <w:bCs/>
          <w:sz w:val="28"/>
          <w:szCs w:val="28"/>
        </w:rPr>
      </w:pPr>
    </w:p>
    <w:tbl>
      <w:tblPr>
        <w:tblW w:w="5000" w:type="pct"/>
        <w:tblLook w:val="04A0" w:firstRow="1" w:lastRow="0" w:firstColumn="1" w:lastColumn="0" w:noHBand="0" w:noVBand="1"/>
      </w:tblPr>
      <w:tblGrid>
        <w:gridCol w:w="3176"/>
        <w:gridCol w:w="1181"/>
        <w:gridCol w:w="1180"/>
        <w:gridCol w:w="1180"/>
        <w:gridCol w:w="1180"/>
        <w:gridCol w:w="1180"/>
        <w:gridCol w:w="273"/>
      </w:tblGrid>
      <w:tr w:rsidR="00C64F6A" w:rsidRPr="00E55166" w14:paraId="25549745" w14:textId="77777777" w:rsidTr="009463F3">
        <w:trPr>
          <w:gridAfter w:val="1"/>
          <w:wAfter w:w="146" w:type="pct"/>
          <w:trHeight w:val="300"/>
        </w:trPr>
        <w:tc>
          <w:tcPr>
            <w:tcW w:w="1697" w:type="pct"/>
            <w:tcBorders>
              <w:top w:val="single" w:sz="4" w:space="0" w:color="auto"/>
              <w:left w:val="single" w:sz="4" w:space="0" w:color="auto"/>
              <w:bottom w:val="single" w:sz="4" w:space="0" w:color="auto"/>
              <w:right w:val="single" w:sz="4" w:space="0" w:color="auto"/>
            </w:tcBorders>
            <w:noWrap/>
            <w:vAlign w:val="center"/>
            <w:hideMark/>
          </w:tcPr>
          <w:p w14:paraId="643BC17A" w14:textId="77777777" w:rsidR="00C64F6A" w:rsidRPr="00E55166"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Profitability Ratios</w:t>
            </w:r>
          </w:p>
        </w:tc>
        <w:tc>
          <w:tcPr>
            <w:tcW w:w="631" w:type="pct"/>
            <w:tcBorders>
              <w:top w:val="single" w:sz="4" w:space="0" w:color="auto"/>
              <w:left w:val="nil"/>
              <w:bottom w:val="single" w:sz="4" w:space="0" w:color="auto"/>
              <w:right w:val="single" w:sz="4" w:space="0" w:color="auto"/>
            </w:tcBorders>
            <w:noWrap/>
            <w:vAlign w:val="center"/>
            <w:hideMark/>
          </w:tcPr>
          <w:p w14:paraId="637A6226"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2020</w:t>
            </w:r>
          </w:p>
        </w:tc>
        <w:tc>
          <w:tcPr>
            <w:tcW w:w="631" w:type="pct"/>
            <w:tcBorders>
              <w:top w:val="single" w:sz="4" w:space="0" w:color="auto"/>
              <w:left w:val="nil"/>
              <w:bottom w:val="single" w:sz="4" w:space="0" w:color="auto"/>
              <w:right w:val="single" w:sz="4" w:space="0" w:color="auto"/>
            </w:tcBorders>
            <w:noWrap/>
            <w:vAlign w:val="center"/>
            <w:hideMark/>
          </w:tcPr>
          <w:p w14:paraId="69143D2B"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2021</w:t>
            </w:r>
          </w:p>
        </w:tc>
        <w:tc>
          <w:tcPr>
            <w:tcW w:w="631" w:type="pct"/>
            <w:tcBorders>
              <w:top w:val="single" w:sz="4" w:space="0" w:color="auto"/>
              <w:left w:val="nil"/>
              <w:bottom w:val="single" w:sz="4" w:space="0" w:color="auto"/>
              <w:right w:val="single" w:sz="4" w:space="0" w:color="auto"/>
            </w:tcBorders>
            <w:noWrap/>
            <w:vAlign w:val="center"/>
            <w:hideMark/>
          </w:tcPr>
          <w:p w14:paraId="487B9401"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2022</w:t>
            </w:r>
          </w:p>
        </w:tc>
        <w:tc>
          <w:tcPr>
            <w:tcW w:w="631" w:type="pct"/>
            <w:tcBorders>
              <w:top w:val="single" w:sz="4" w:space="0" w:color="auto"/>
              <w:left w:val="nil"/>
              <w:bottom w:val="single" w:sz="4" w:space="0" w:color="auto"/>
              <w:right w:val="single" w:sz="4" w:space="0" w:color="auto"/>
            </w:tcBorders>
            <w:noWrap/>
            <w:vAlign w:val="center"/>
            <w:hideMark/>
          </w:tcPr>
          <w:p w14:paraId="47E9CE18"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2023</w:t>
            </w:r>
          </w:p>
        </w:tc>
        <w:tc>
          <w:tcPr>
            <w:tcW w:w="631" w:type="pct"/>
            <w:tcBorders>
              <w:top w:val="single" w:sz="4" w:space="0" w:color="auto"/>
              <w:left w:val="nil"/>
              <w:bottom w:val="single" w:sz="4" w:space="0" w:color="auto"/>
              <w:right w:val="single" w:sz="4" w:space="0" w:color="auto"/>
            </w:tcBorders>
            <w:noWrap/>
            <w:vAlign w:val="center"/>
            <w:hideMark/>
          </w:tcPr>
          <w:p w14:paraId="6F943F7D"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2024</w:t>
            </w:r>
          </w:p>
        </w:tc>
      </w:tr>
      <w:tr w:rsidR="00C64F6A" w:rsidRPr="00E55166" w14:paraId="15F7E4A1" w14:textId="77777777" w:rsidTr="009463F3">
        <w:trPr>
          <w:gridAfter w:val="1"/>
          <w:wAfter w:w="146" w:type="pct"/>
          <w:trHeight w:val="480"/>
        </w:trPr>
        <w:tc>
          <w:tcPr>
            <w:tcW w:w="1697" w:type="pct"/>
            <w:vMerge w:val="restart"/>
            <w:tcBorders>
              <w:top w:val="nil"/>
              <w:left w:val="single" w:sz="4" w:space="0" w:color="auto"/>
              <w:bottom w:val="single" w:sz="4" w:space="0" w:color="auto"/>
              <w:right w:val="single" w:sz="4" w:space="0" w:color="auto"/>
            </w:tcBorders>
            <w:noWrap/>
            <w:vAlign w:val="center"/>
            <w:hideMark/>
          </w:tcPr>
          <w:p w14:paraId="393C0B75" w14:textId="77777777" w:rsidR="00C64F6A" w:rsidRPr="00E55166" w:rsidRDefault="00C64F6A" w:rsidP="009463F3">
            <w:pPr>
              <w:spacing w:after="0" w:line="240" w:lineRule="auto"/>
              <w:jc w:val="center"/>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Gross Profit Margin</w:t>
            </w:r>
          </w:p>
        </w:tc>
        <w:tc>
          <w:tcPr>
            <w:tcW w:w="631" w:type="pct"/>
            <w:vMerge w:val="restart"/>
            <w:tcBorders>
              <w:top w:val="nil"/>
              <w:left w:val="single" w:sz="4" w:space="0" w:color="auto"/>
              <w:bottom w:val="single" w:sz="4" w:space="0" w:color="000000"/>
              <w:right w:val="single" w:sz="4" w:space="0" w:color="auto"/>
            </w:tcBorders>
            <w:noWrap/>
            <w:vAlign w:val="center"/>
            <w:hideMark/>
          </w:tcPr>
          <w:p w14:paraId="4F9055BA" w14:textId="77777777" w:rsidR="00C64F6A" w:rsidRPr="00E55166" w:rsidRDefault="00C64F6A" w:rsidP="009463F3">
            <w:pPr>
              <w:spacing w:after="0" w:line="240" w:lineRule="auto"/>
              <w:jc w:val="center"/>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28.67%</w:t>
            </w:r>
          </w:p>
        </w:tc>
        <w:tc>
          <w:tcPr>
            <w:tcW w:w="631" w:type="pct"/>
            <w:vMerge w:val="restart"/>
            <w:tcBorders>
              <w:top w:val="nil"/>
              <w:left w:val="single" w:sz="4" w:space="0" w:color="auto"/>
              <w:bottom w:val="single" w:sz="4" w:space="0" w:color="000000"/>
              <w:right w:val="single" w:sz="4" w:space="0" w:color="auto"/>
            </w:tcBorders>
            <w:noWrap/>
            <w:vAlign w:val="center"/>
            <w:hideMark/>
          </w:tcPr>
          <w:p w14:paraId="6F35B2AF" w14:textId="77777777" w:rsidR="00C64F6A" w:rsidRPr="00E55166" w:rsidRDefault="00C64F6A" w:rsidP="009463F3">
            <w:pPr>
              <w:spacing w:after="0" w:line="240" w:lineRule="auto"/>
              <w:jc w:val="center"/>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28.76%</w:t>
            </w:r>
          </w:p>
        </w:tc>
        <w:tc>
          <w:tcPr>
            <w:tcW w:w="631" w:type="pct"/>
            <w:vMerge w:val="restart"/>
            <w:tcBorders>
              <w:top w:val="nil"/>
              <w:left w:val="single" w:sz="4" w:space="0" w:color="auto"/>
              <w:bottom w:val="single" w:sz="4" w:space="0" w:color="000000"/>
              <w:right w:val="single" w:sz="4" w:space="0" w:color="auto"/>
            </w:tcBorders>
            <w:noWrap/>
            <w:vAlign w:val="center"/>
            <w:hideMark/>
          </w:tcPr>
          <w:p w14:paraId="7A14D5E9" w14:textId="77777777" w:rsidR="00C64F6A" w:rsidRPr="00E55166" w:rsidRDefault="00C64F6A" w:rsidP="009463F3">
            <w:pPr>
              <w:spacing w:after="0" w:line="240" w:lineRule="auto"/>
              <w:jc w:val="center"/>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28.06%</w:t>
            </w:r>
          </w:p>
        </w:tc>
        <w:tc>
          <w:tcPr>
            <w:tcW w:w="631" w:type="pct"/>
            <w:vMerge w:val="restart"/>
            <w:tcBorders>
              <w:top w:val="nil"/>
              <w:left w:val="single" w:sz="4" w:space="0" w:color="auto"/>
              <w:bottom w:val="single" w:sz="4" w:space="0" w:color="000000"/>
              <w:right w:val="single" w:sz="4" w:space="0" w:color="auto"/>
            </w:tcBorders>
            <w:noWrap/>
            <w:vAlign w:val="center"/>
            <w:hideMark/>
          </w:tcPr>
          <w:p w14:paraId="0C5F530B" w14:textId="77777777" w:rsidR="00C64F6A" w:rsidRPr="00E55166" w:rsidRDefault="00C64F6A" w:rsidP="009463F3">
            <w:pPr>
              <w:spacing w:after="0" w:line="240" w:lineRule="auto"/>
              <w:jc w:val="center"/>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23.20%</w:t>
            </w:r>
          </w:p>
        </w:tc>
        <w:tc>
          <w:tcPr>
            <w:tcW w:w="631" w:type="pct"/>
            <w:vMerge w:val="restart"/>
            <w:tcBorders>
              <w:top w:val="nil"/>
              <w:left w:val="single" w:sz="4" w:space="0" w:color="auto"/>
              <w:bottom w:val="single" w:sz="4" w:space="0" w:color="000000"/>
              <w:right w:val="single" w:sz="4" w:space="0" w:color="auto"/>
            </w:tcBorders>
            <w:noWrap/>
            <w:vAlign w:val="center"/>
            <w:hideMark/>
          </w:tcPr>
          <w:p w14:paraId="4001892A" w14:textId="77777777" w:rsidR="00C64F6A" w:rsidRPr="00E55166" w:rsidRDefault="00C64F6A" w:rsidP="009463F3">
            <w:pPr>
              <w:spacing w:after="0" w:line="240" w:lineRule="auto"/>
              <w:jc w:val="center"/>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28.87%</w:t>
            </w:r>
          </w:p>
        </w:tc>
      </w:tr>
      <w:tr w:rsidR="00C64F6A" w:rsidRPr="00E55166" w14:paraId="63AD8EE7" w14:textId="77777777" w:rsidTr="009463F3">
        <w:trPr>
          <w:trHeight w:val="70"/>
        </w:trPr>
        <w:tc>
          <w:tcPr>
            <w:tcW w:w="1697" w:type="pct"/>
            <w:vMerge/>
            <w:tcBorders>
              <w:top w:val="nil"/>
              <w:left w:val="single" w:sz="4" w:space="0" w:color="auto"/>
              <w:bottom w:val="single" w:sz="4" w:space="0" w:color="auto"/>
              <w:right w:val="single" w:sz="4" w:space="0" w:color="auto"/>
            </w:tcBorders>
            <w:vAlign w:val="center"/>
            <w:hideMark/>
          </w:tcPr>
          <w:p w14:paraId="620ABC31" w14:textId="77777777" w:rsidR="00C64F6A" w:rsidRPr="00E55166"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p>
        </w:tc>
        <w:tc>
          <w:tcPr>
            <w:tcW w:w="631" w:type="pct"/>
            <w:vMerge/>
            <w:tcBorders>
              <w:top w:val="nil"/>
              <w:left w:val="single" w:sz="4" w:space="0" w:color="auto"/>
              <w:bottom w:val="single" w:sz="4" w:space="0" w:color="000000"/>
              <w:right w:val="single" w:sz="4" w:space="0" w:color="auto"/>
            </w:tcBorders>
            <w:vAlign w:val="center"/>
            <w:hideMark/>
          </w:tcPr>
          <w:p w14:paraId="50E29D7C" w14:textId="77777777" w:rsidR="00C64F6A" w:rsidRPr="00E55166"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p>
        </w:tc>
        <w:tc>
          <w:tcPr>
            <w:tcW w:w="631" w:type="pct"/>
            <w:vMerge/>
            <w:tcBorders>
              <w:top w:val="nil"/>
              <w:left w:val="single" w:sz="4" w:space="0" w:color="auto"/>
              <w:bottom w:val="single" w:sz="4" w:space="0" w:color="000000"/>
              <w:right w:val="single" w:sz="4" w:space="0" w:color="auto"/>
            </w:tcBorders>
            <w:vAlign w:val="center"/>
            <w:hideMark/>
          </w:tcPr>
          <w:p w14:paraId="20C0774A" w14:textId="77777777" w:rsidR="00C64F6A" w:rsidRPr="00E55166"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p>
        </w:tc>
        <w:tc>
          <w:tcPr>
            <w:tcW w:w="631" w:type="pct"/>
            <w:vMerge/>
            <w:tcBorders>
              <w:top w:val="nil"/>
              <w:left w:val="single" w:sz="4" w:space="0" w:color="auto"/>
              <w:bottom w:val="single" w:sz="4" w:space="0" w:color="000000"/>
              <w:right w:val="single" w:sz="4" w:space="0" w:color="auto"/>
            </w:tcBorders>
            <w:vAlign w:val="center"/>
            <w:hideMark/>
          </w:tcPr>
          <w:p w14:paraId="12AD122D" w14:textId="77777777" w:rsidR="00C64F6A" w:rsidRPr="00E55166"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p>
        </w:tc>
        <w:tc>
          <w:tcPr>
            <w:tcW w:w="631" w:type="pct"/>
            <w:vMerge/>
            <w:tcBorders>
              <w:top w:val="nil"/>
              <w:left w:val="single" w:sz="4" w:space="0" w:color="auto"/>
              <w:bottom w:val="single" w:sz="4" w:space="0" w:color="000000"/>
              <w:right w:val="single" w:sz="4" w:space="0" w:color="auto"/>
            </w:tcBorders>
            <w:vAlign w:val="center"/>
            <w:hideMark/>
          </w:tcPr>
          <w:p w14:paraId="149EF5FB" w14:textId="77777777" w:rsidR="00C64F6A" w:rsidRPr="00E55166"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p>
        </w:tc>
        <w:tc>
          <w:tcPr>
            <w:tcW w:w="631" w:type="pct"/>
            <w:vMerge/>
            <w:tcBorders>
              <w:top w:val="nil"/>
              <w:left w:val="single" w:sz="4" w:space="0" w:color="auto"/>
              <w:bottom w:val="single" w:sz="4" w:space="0" w:color="000000"/>
              <w:right w:val="single" w:sz="4" w:space="0" w:color="auto"/>
            </w:tcBorders>
            <w:vAlign w:val="center"/>
            <w:hideMark/>
          </w:tcPr>
          <w:p w14:paraId="314F696A" w14:textId="77777777" w:rsidR="00C64F6A" w:rsidRPr="00E55166"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p>
        </w:tc>
        <w:tc>
          <w:tcPr>
            <w:tcW w:w="146" w:type="pct"/>
            <w:tcBorders>
              <w:top w:val="nil"/>
              <w:left w:val="nil"/>
              <w:bottom w:val="nil"/>
              <w:right w:val="nil"/>
            </w:tcBorders>
            <w:noWrap/>
            <w:vAlign w:val="bottom"/>
            <w:hideMark/>
          </w:tcPr>
          <w:p w14:paraId="4E8BC912" w14:textId="77777777" w:rsidR="00C64F6A" w:rsidRPr="00E55166" w:rsidRDefault="00C64F6A" w:rsidP="009463F3">
            <w:pPr>
              <w:spacing w:after="0" w:line="240" w:lineRule="auto"/>
              <w:jc w:val="center"/>
              <w:rPr>
                <w:rFonts w:ascii="Aptos Narrow" w:eastAsia="Times New Roman" w:hAnsi="Aptos Narrow" w:cs="Times New Roman"/>
                <w:color w:val="000000"/>
                <w:kern w:val="0"/>
                <w:sz w:val="22"/>
                <w:szCs w:val="22"/>
                <w:lang w:val="en-US"/>
                <w14:ligatures w14:val="none"/>
              </w:rPr>
            </w:pPr>
          </w:p>
        </w:tc>
      </w:tr>
      <w:tr w:rsidR="00C64F6A" w:rsidRPr="00E55166" w14:paraId="24E2D4FE" w14:textId="77777777" w:rsidTr="009463F3">
        <w:trPr>
          <w:trHeight w:val="300"/>
        </w:trPr>
        <w:tc>
          <w:tcPr>
            <w:tcW w:w="1697" w:type="pct"/>
            <w:vMerge w:val="restart"/>
            <w:tcBorders>
              <w:top w:val="nil"/>
              <w:left w:val="single" w:sz="4" w:space="0" w:color="auto"/>
              <w:bottom w:val="single" w:sz="4" w:space="0" w:color="auto"/>
              <w:right w:val="single" w:sz="4" w:space="0" w:color="auto"/>
            </w:tcBorders>
            <w:noWrap/>
            <w:vAlign w:val="center"/>
            <w:hideMark/>
          </w:tcPr>
          <w:p w14:paraId="14502C2E" w14:textId="77777777" w:rsidR="00C64F6A" w:rsidRPr="00E55166" w:rsidRDefault="00C64F6A" w:rsidP="009463F3">
            <w:pPr>
              <w:spacing w:after="0" w:line="240" w:lineRule="auto"/>
              <w:jc w:val="center"/>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Operating Profit Margin</w:t>
            </w:r>
          </w:p>
        </w:tc>
        <w:tc>
          <w:tcPr>
            <w:tcW w:w="631" w:type="pct"/>
            <w:vMerge w:val="restart"/>
            <w:tcBorders>
              <w:top w:val="nil"/>
              <w:left w:val="single" w:sz="4" w:space="0" w:color="auto"/>
              <w:bottom w:val="single" w:sz="4" w:space="0" w:color="000000"/>
              <w:right w:val="single" w:sz="4" w:space="0" w:color="auto"/>
            </w:tcBorders>
            <w:noWrap/>
            <w:vAlign w:val="center"/>
            <w:hideMark/>
          </w:tcPr>
          <w:p w14:paraId="62BBA8A4" w14:textId="77777777" w:rsidR="00C64F6A" w:rsidRPr="00E55166" w:rsidRDefault="00C64F6A" w:rsidP="009463F3">
            <w:pPr>
              <w:spacing w:after="0" w:line="240" w:lineRule="auto"/>
              <w:jc w:val="center"/>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6.06%</w:t>
            </w:r>
          </w:p>
        </w:tc>
        <w:tc>
          <w:tcPr>
            <w:tcW w:w="631" w:type="pct"/>
            <w:vMerge w:val="restart"/>
            <w:tcBorders>
              <w:top w:val="nil"/>
              <w:left w:val="single" w:sz="4" w:space="0" w:color="auto"/>
              <w:bottom w:val="single" w:sz="4" w:space="0" w:color="000000"/>
              <w:right w:val="single" w:sz="4" w:space="0" w:color="auto"/>
            </w:tcBorders>
            <w:noWrap/>
            <w:vAlign w:val="center"/>
            <w:hideMark/>
          </w:tcPr>
          <w:p w14:paraId="544183CD" w14:textId="77777777" w:rsidR="00C64F6A" w:rsidRPr="00E55166" w:rsidRDefault="00C64F6A" w:rsidP="009463F3">
            <w:pPr>
              <w:spacing w:after="0" w:line="240" w:lineRule="auto"/>
              <w:jc w:val="center"/>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3.87%</w:t>
            </w:r>
          </w:p>
        </w:tc>
        <w:tc>
          <w:tcPr>
            <w:tcW w:w="631" w:type="pct"/>
            <w:vMerge w:val="restart"/>
            <w:tcBorders>
              <w:top w:val="nil"/>
              <w:left w:val="single" w:sz="4" w:space="0" w:color="auto"/>
              <w:bottom w:val="single" w:sz="4" w:space="0" w:color="000000"/>
              <w:right w:val="single" w:sz="4" w:space="0" w:color="auto"/>
            </w:tcBorders>
            <w:noWrap/>
            <w:vAlign w:val="center"/>
            <w:hideMark/>
          </w:tcPr>
          <w:p w14:paraId="706A42B6" w14:textId="77777777" w:rsidR="00C64F6A" w:rsidRPr="00E55166" w:rsidRDefault="00C64F6A" w:rsidP="009463F3">
            <w:pPr>
              <w:spacing w:after="0" w:line="240" w:lineRule="auto"/>
              <w:jc w:val="center"/>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2.68%</w:t>
            </w:r>
          </w:p>
        </w:tc>
        <w:tc>
          <w:tcPr>
            <w:tcW w:w="631" w:type="pct"/>
            <w:vMerge w:val="restart"/>
            <w:tcBorders>
              <w:top w:val="nil"/>
              <w:left w:val="single" w:sz="4" w:space="0" w:color="auto"/>
              <w:bottom w:val="single" w:sz="4" w:space="0" w:color="000000"/>
              <w:right w:val="single" w:sz="4" w:space="0" w:color="auto"/>
            </w:tcBorders>
            <w:noWrap/>
            <w:vAlign w:val="center"/>
            <w:hideMark/>
          </w:tcPr>
          <w:p w14:paraId="378E27E5" w14:textId="77777777" w:rsidR="00C64F6A" w:rsidRPr="00E55166" w:rsidRDefault="00C64F6A" w:rsidP="009463F3">
            <w:pPr>
              <w:spacing w:after="0" w:line="240" w:lineRule="auto"/>
              <w:jc w:val="center"/>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-20.29%</w:t>
            </w:r>
          </w:p>
        </w:tc>
        <w:tc>
          <w:tcPr>
            <w:tcW w:w="631" w:type="pct"/>
            <w:vMerge w:val="restart"/>
            <w:tcBorders>
              <w:top w:val="nil"/>
              <w:left w:val="single" w:sz="4" w:space="0" w:color="auto"/>
              <w:bottom w:val="single" w:sz="4" w:space="0" w:color="000000"/>
              <w:right w:val="single" w:sz="4" w:space="0" w:color="auto"/>
            </w:tcBorders>
            <w:noWrap/>
            <w:vAlign w:val="center"/>
            <w:hideMark/>
          </w:tcPr>
          <w:p w14:paraId="639D45B2" w14:textId="77777777" w:rsidR="00C64F6A" w:rsidRPr="00E55166" w:rsidRDefault="00C64F6A" w:rsidP="009463F3">
            <w:pPr>
              <w:spacing w:after="0" w:line="240" w:lineRule="auto"/>
              <w:jc w:val="center"/>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-3.87%</w:t>
            </w:r>
          </w:p>
        </w:tc>
        <w:tc>
          <w:tcPr>
            <w:tcW w:w="146" w:type="pct"/>
            <w:vAlign w:val="center"/>
            <w:hideMark/>
          </w:tcPr>
          <w:p w14:paraId="23879EC6" w14:textId="77777777" w:rsidR="00C64F6A" w:rsidRPr="00E55166" w:rsidRDefault="00C64F6A" w:rsidP="009463F3">
            <w:pPr>
              <w:spacing w:after="0" w:line="240" w:lineRule="auto"/>
              <w:jc w:val="left"/>
              <w:rPr>
                <w:rFonts w:ascii="Times New Roman" w:eastAsia="Times New Roman" w:hAnsi="Times New Roman" w:cs="Times New Roman"/>
                <w:kern w:val="0"/>
                <w:sz w:val="20"/>
                <w:szCs w:val="20"/>
                <w:lang w:val="en-US"/>
                <w14:ligatures w14:val="none"/>
              </w:rPr>
            </w:pPr>
          </w:p>
        </w:tc>
      </w:tr>
      <w:tr w:rsidR="00C64F6A" w:rsidRPr="00E55166" w14:paraId="6D70FAD1" w14:textId="77777777" w:rsidTr="009463F3">
        <w:trPr>
          <w:trHeight w:val="70"/>
        </w:trPr>
        <w:tc>
          <w:tcPr>
            <w:tcW w:w="1697" w:type="pct"/>
            <w:vMerge/>
            <w:tcBorders>
              <w:top w:val="nil"/>
              <w:left w:val="single" w:sz="4" w:space="0" w:color="auto"/>
              <w:bottom w:val="single" w:sz="4" w:space="0" w:color="auto"/>
              <w:right w:val="single" w:sz="4" w:space="0" w:color="auto"/>
            </w:tcBorders>
            <w:vAlign w:val="center"/>
            <w:hideMark/>
          </w:tcPr>
          <w:p w14:paraId="2D11DD8E" w14:textId="77777777" w:rsidR="00C64F6A" w:rsidRPr="00E55166"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p>
        </w:tc>
        <w:tc>
          <w:tcPr>
            <w:tcW w:w="631" w:type="pct"/>
            <w:vMerge/>
            <w:tcBorders>
              <w:top w:val="nil"/>
              <w:left w:val="single" w:sz="4" w:space="0" w:color="auto"/>
              <w:bottom w:val="single" w:sz="4" w:space="0" w:color="000000"/>
              <w:right w:val="single" w:sz="4" w:space="0" w:color="auto"/>
            </w:tcBorders>
            <w:vAlign w:val="center"/>
            <w:hideMark/>
          </w:tcPr>
          <w:p w14:paraId="216D5CCA" w14:textId="77777777" w:rsidR="00C64F6A" w:rsidRPr="00E55166"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p>
        </w:tc>
        <w:tc>
          <w:tcPr>
            <w:tcW w:w="631" w:type="pct"/>
            <w:vMerge/>
            <w:tcBorders>
              <w:top w:val="nil"/>
              <w:left w:val="single" w:sz="4" w:space="0" w:color="auto"/>
              <w:bottom w:val="single" w:sz="4" w:space="0" w:color="000000"/>
              <w:right w:val="single" w:sz="4" w:space="0" w:color="auto"/>
            </w:tcBorders>
            <w:vAlign w:val="center"/>
            <w:hideMark/>
          </w:tcPr>
          <w:p w14:paraId="7B8D80CE" w14:textId="77777777" w:rsidR="00C64F6A" w:rsidRPr="00E55166"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p>
        </w:tc>
        <w:tc>
          <w:tcPr>
            <w:tcW w:w="631" w:type="pct"/>
            <w:vMerge/>
            <w:tcBorders>
              <w:top w:val="nil"/>
              <w:left w:val="single" w:sz="4" w:space="0" w:color="auto"/>
              <w:bottom w:val="single" w:sz="4" w:space="0" w:color="000000"/>
              <w:right w:val="single" w:sz="4" w:space="0" w:color="auto"/>
            </w:tcBorders>
            <w:vAlign w:val="center"/>
            <w:hideMark/>
          </w:tcPr>
          <w:p w14:paraId="7E934D5A" w14:textId="77777777" w:rsidR="00C64F6A" w:rsidRPr="00E55166"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p>
        </w:tc>
        <w:tc>
          <w:tcPr>
            <w:tcW w:w="631" w:type="pct"/>
            <w:vMerge/>
            <w:tcBorders>
              <w:top w:val="nil"/>
              <w:left w:val="single" w:sz="4" w:space="0" w:color="auto"/>
              <w:bottom w:val="single" w:sz="4" w:space="0" w:color="000000"/>
              <w:right w:val="single" w:sz="4" w:space="0" w:color="auto"/>
            </w:tcBorders>
            <w:vAlign w:val="center"/>
            <w:hideMark/>
          </w:tcPr>
          <w:p w14:paraId="740B72E6" w14:textId="77777777" w:rsidR="00C64F6A" w:rsidRPr="00E55166"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p>
        </w:tc>
        <w:tc>
          <w:tcPr>
            <w:tcW w:w="631" w:type="pct"/>
            <w:vMerge/>
            <w:tcBorders>
              <w:top w:val="nil"/>
              <w:left w:val="single" w:sz="4" w:space="0" w:color="auto"/>
              <w:bottom w:val="single" w:sz="4" w:space="0" w:color="000000"/>
              <w:right w:val="single" w:sz="4" w:space="0" w:color="auto"/>
            </w:tcBorders>
            <w:vAlign w:val="center"/>
            <w:hideMark/>
          </w:tcPr>
          <w:p w14:paraId="7643CF79" w14:textId="77777777" w:rsidR="00C64F6A" w:rsidRPr="00E55166"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p>
        </w:tc>
        <w:tc>
          <w:tcPr>
            <w:tcW w:w="146" w:type="pct"/>
            <w:tcBorders>
              <w:top w:val="nil"/>
              <w:left w:val="nil"/>
              <w:bottom w:val="nil"/>
              <w:right w:val="nil"/>
            </w:tcBorders>
            <w:noWrap/>
            <w:vAlign w:val="bottom"/>
            <w:hideMark/>
          </w:tcPr>
          <w:p w14:paraId="227B40C8" w14:textId="77777777" w:rsidR="00C64F6A" w:rsidRPr="00E55166" w:rsidRDefault="00C64F6A" w:rsidP="009463F3">
            <w:pPr>
              <w:spacing w:after="0" w:line="240" w:lineRule="auto"/>
              <w:jc w:val="center"/>
              <w:rPr>
                <w:rFonts w:ascii="Aptos Narrow" w:eastAsia="Times New Roman" w:hAnsi="Aptos Narrow" w:cs="Times New Roman"/>
                <w:color w:val="000000"/>
                <w:kern w:val="0"/>
                <w:sz w:val="22"/>
                <w:szCs w:val="22"/>
                <w:lang w:val="en-US"/>
                <w14:ligatures w14:val="none"/>
              </w:rPr>
            </w:pPr>
          </w:p>
        </w:tc>
      </w:tr>
      <w:tr w:rsidR="00C64F6A" w:rsidRPr="00E55166" w14:paraId="5FB3B6B1" w14:textId="77777777" w:rsidTr="009463F3">
        <w:trPr>
          <w:trHeight w:val="300"/>
        </w:trPr>
        <w:tc>
          <w:tcPr>
            <w:tcW w:w="1697" w:type="pct"/>
            <w:vMerge w:val="restart"/>
            <w:tcBorders>
              <w:top w:val="nil"/>
              <w:left w:val="single" w:sz="4" w:space="0" w:color="auto"/>
              <w:bottom w:val="single" w:sz="4" w:space="0" w:color="auto"/>
              <w:right w:val="single" w:sz="4" w:space="0" w:color="auto"/>
            </w:tcBorders>
            <w:noWrap/>
            <w:vAlign w:val="center"/>
            <w:hideMark/>
          </w:tcPr>
          <w:p w14:paraId="22530CAD" w14:textId="77777777" w:rsidR="00C64F6A" w:rsidRPr="00E55166" w:rsidRDefault="00C64F6A" w:rsidP="009463F3">
            <w:pPr>
              <w:spacing w:after="0" w:line="240" w:lineRule="auto"/>
              <w:jc w:val="center"/>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Net Profit Margin</w:t>
            </w:r>
          </w:p>
        </w:tc>
        <w:tc>
          <w:tcPr>
            <w:tcW w:w="631" w:type="pct"/>
            <w:vMerge w:val="restart"/>
            <w:tcBorders>
              <w:top w:val="nil"/>
              <w:left w:val="single" w:sz="4" w:space="0" w:color="auto"/>
              <w:bottom w:val="single" w:sz="4" w:space="0" w:color="000000"/>
              <w:right w:val="single" w:sz="4" w:space="0" w:color="auto"/>
            </w:tcBorders>
            <w:noWrap/>
            <w:vAlign w:val="center"/>
            <w:hideMark/>
          </w:tcPr>
          <w:p w14:paraId="671A2049" w14:textId="77777777" w:rsidR="00C64F6A" w:rsidRPr="00E55166" w:rsidRDefault="00C64F6A" w:rsidP="009463F3">
            <w:pPr>
              <w:spacing w:after="0" w:line="240" w:lineRule="auto"/>
              <w:jc w:val="center"/>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6.28%</w:t>
            </w:r>
          </w:p>
        </w:tc>
        <w:tc>
          <w:tcPr>
            <w:tcW w:w="631" w:type="pct"/>
            <w:vMerge w:val="restart"/>
            <w:tcBorders>
              <w:top w:val="nil"/>
              <w:left w:val="single" w:sz="4" w:space="0" w:color="auto"/>
              <w:bottom w:val="single" w:sz="4" w:space="0" w:color="000000"/>
              <w:right w:val="single" w:sz="4" w:space="0" w:color="auto"/>
            </w:tcBorders>
            <w:noWrap/>
            <w:vAlign w:val="center"/>
            <w:hideMark/>
          </w:tcPr>
          <w:p w14:paraId="70558FBF" w14:textId="77777777" w:rsidR="00C64F6A" w:rsidRPr="00E55166" w:rsidRDefault="00C64F6A" w:rsidP="009463F3">
            <w:pPr>
              <w:spacing w:after="0" w:line="240" w:lineRule="auto"/>
              <w:jc w:val="center"/>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0.88%</w:t>
            </w:r>
          </w:p>
        </w:tc>
        <w:tc>
          <w:tcPr>
            <w:tcW w:w="631" w:type="pct"/>
            <w:vMerge w:val="restart"/>
            <w:tcBorders>
              <w:top w:val="nil"/>
              <w:left w:val="single" w:sz="4" w:space="0" w:color="auto"/>
              <w:bottom w:val="single" w:sz="4" w:space="0" w:color="000000"/>
              <w:right w:val="single" w:sz="4" w:space="0" w:color="auto"/>
            </w:tcBorders>
            <w:noWrap/>
            <w:vAlign w:val="center"/>
            <w:hideMark/>
          </w:tcPr>
          <w:p w14:paraId="1D787C90" w14:textId="77777777" w:rsidR="00C64F6A" w:rsidRPr="00E55166" w:rsidRDefault="00C64F6A" w:rsidP="009463F3">
            <w:pPr>
              <w:spacing w:after="0" w:line="240" w:lineRule="auto"/>
              <w:jc w:val="center"/>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0.07%</w:t>
            </w:r>
          </w:p>
        </w:tc>
        <w:tc>
          <w:tcPr>
            <w:tcW w:w="631" w:type="pct"/>
            <w:vMerge w:val="restart"/>
            <w:tcBorders>
              <w:top w:val="nil"/>
              <w:left w:val="single" w:sz="4" w:space="0" w:color="auto"/>
              <w:bottom w:val="single" w:sz="4" w:space="0" w:color="000000"/>
              <w:right w:val="single" w:sz="4" w:space="0" w:color="auto"/>
            </w:tcBorders>
            <w:noWrap/>
            <w:vAlign w:val="center"/>
            <w:hideMark/>
          </w:tcPr>
          <w:p w14:paraId="324F62A0" w14:textId="77777777" w:rsidR="00C64F6A" w:rsidRPr="00E55166" w:rsidRDefault="00C64F6A" w:rsidP="009463F3">
            <w:pPr>
              <w:spacing w:after="0" w:line="240" w:lineRule="auto"/>
              <w:jc w:val="center"/>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-23.36%</w:t>
            </w:r>
          </w:p>
        </w:tc>
        <w:tc>
          <w:tcPr>
            <w:tcW w:w="631" w:type="pct"/>
            <w:vMerge w:val="restart"/>
            <w:tcBorders>
              <w:top w:val="nil"/>
              <w:left w:val="single" w:sz="4" w:space="0" w:color="auto"/>
              <w:bottom w:val="single" w:sz="4" w:space="0" w:color="000000"/>
              <w:right w:val="single" w:sz="4" w:space="0" w:color="auto"/>
            </w:tcBorders>
            <w:noWrap/>
            <w:vAlign w:val="center"/>
            <w:hideMark/>
          </w:tcPr>
          <w:p w14:paraId="2A876473" w14:textId="77777777" w:rsidR="00C64F6A" w:rsidRPr="00E55166" w:rsidRDefault="00C64F6A" w:rsidP="009463F3">
            <w:pPr>
              <w:spacing w:after="0" w:line="240" w:lineRule="auto"/>
              <w:jc w:val="center"/>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-6.09%</w:t>
            </w:r>
          </w:p>
        </w:tc>
        <w:tc>
          <w:tcPr>
            <w:tcW w:w="146" w:type="pct"/>
            <w:vAlign w:val="center"/>
            <w:hideMark/>
          </w:tcPr>
          <w:p w14:paraId="27255ED4" w14:textId="77777777" w:rsidR="00C64F6A" w:rsidRPr="00E55166" w:rsidRDefault="00C64F6A" w:rsidP="009463F3">
            <w:pPr>
              <w:spacing w:after="0" w:line="240" w:lineRule="auto"/>
              <w:jc w:val="left"/>
              <w:rPr>
                <w:rFonts w:ascii="Times New Roman" w:eastAsia="Times New Roman" w:hAnsi="Times New Roman" w:cs="Times New Roman"/>
                <w:kern w:val="0"/>
                <w:sz w:val="20"/>
                <w:szCs w:val="20"/>
                <w:lang w:val="en-US"/>
                <w14:ligatures w14:val="none"/>
              </w:rPr>
            </w:pPr>
          </w:p>
        </w:tc>
      </w:tr>
      <w:tr w:rsidR="00C64F6A" w:rsidRPr="00E55166" w14:paraId="4B6369AE" w14:textId="77777777" w:rsidTr="009463F3">
        <w:trPr>
          <w:trHeight w:val="70"/>
        </w:trPr>
        <w:tc>
          <w:tcPr>
            <w:tcW w:w="1697" w:type="pct"/>
            <w:vMerge/>
            <w:tcBorders>
              <w:top w:val="nil"/>
              <w:left w:val="single" w:sz="4" w:space="0" w:color="auto"/>
              <w:bottom w:val="single" w:sz="4" w:space="0" w:color="auto"/>
              <w:right w:val="single" w:sz="4" w:space="0" w:color="auto"/>
            </w:tcBorders>
            <w:vAlign w:val="center"/>
            <w:hideMark/>
          </w:tcPr>
          <w:p w14:paraId="0C748FAD" w14:textId="77777777" w:rsidR="00C64F6A" w:rsidRPr="00E55166"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p>
        </w:tc>
        <w:tc>
          <w:tcPr>
            <w:tcW w:w="631" w:type="pct"/>
            <w:vMerge/>
            <w:tcBorders>
              <w:top w:val="nil"/>
              <w:left w:val="single" w:sz="4" w:space="0" w:color="auto"/>
              <w:bottom w:val="single" w:sz="4" w:space="0" w:color="000000"/>
              <w:right w:val="single" w:sz="4" w:space="0" w:color="auto"/>
            </w:tcBorders>
            <w:vAlign w:val="center"/>
            <w:hideMark/>
          </w:tcPr>
          <w:p w14:paraId="6EB89E7C" w14:textId="77777777" w:rsidR="00C64F6A" w:rsidRPr="00E55166"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p>
        </w:tc>
        <w:tc>
          <w:tcPr>
            <w:tcW w:w="631" w:type="pct"/>
            <w:vMerge/>
            <w:tcBorders>
              <w:top w:val="nil"/>
              <w:left w:val="single" w:sz="4" w:space="0" w:color="auto"/>
              <w:bottom w:val="single" w:sz="4" w:space="0" w:color="000000"/>
              <w:right w:val="single" w:sz="4" w:space="0" w:color="auto"/>
            </w:tcBorders>
            <w:vAlign w:val="center"/>
            <w:hideMark/>
          </w:tcPr>
          <w:p w14:paraId="3BA4F58E" w14:textId="77777777" w:rsidR="00C64F6A" w:rsidRPr="00E55166"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p>
        </w:tc>
        <w:tc>
          <w:tcPr>
            <w:tcW w:w="631" w:type="pct"/>
            <w:vMerge/>
            <w:tcBorders>
              <w:top w:val="nil"/>
              <w:left w:val="single" w:sz="4" w:space="0" w:color="auto"/>
              <w:bottom w:val="single" w:sz="4" w:space="0" w:color="000000"/>
              <w:right w:val="single" w:sz="4" w:space="0" w:color="auto"/>
            </w:tcBorders>
            <w:vAlign w:val="center"/>
            <w:hideMark/>
          </w:tcPr>
          <w:p w14:paraId="426D21D3" w14:textId="77777777" w:rsidR="00C64F6A" w:rsidRPr="00E55166"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p>
        </w:tc>
        <w:tc>
          <w:tcPr>
            <w:tcW w:w="631" w:type="pct"/>
            <w:vMerge/>
            <w:tcBorders>
              <w:top w:val="nil"/>
              <w:left w:val="single" w:sz="4" w:space="0" w:color="auto"/>
              <w:bottom w:val="single" w:sz="4" w:space="0" w:color="000000"/>
              <w:right w:val="single" w:sz="4" w:space="0" w:color="auto"/>
            </w:tcBorders>
            <w:vAlign w:val="center"/>
            <w:hideMark/>
          </w:tcPr>
          <w:p w14:paraId="6FB7824D" w14:textId="77777777" w:rsidR="00C64F6A" w:rsidRPr="00E55166"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p>
        </w:tc>
        <w:tc>
          <w:tcPr>
            <w:tcW w:w="631" w:type="pct"/>
            <w:vMerge/>
            <w:tcBorders>
              <w:top w:val="nil"/>
              <w:left w:val="single" w:sz="4" w:space="0" w:color="auto"/>
              <w:bottom w:val="single" w:sz="4" w:space="0" w:color="000000"/>
              <w:right w:val="single" w:sz="4" w:space="0" w:color="auto"/>
            </w:tcBorders>
            <w:vAlign w:val="center"/>
            <w:hideMark/>
          </w:tcPr>
          <w:p w14:paraId="6E0EBE54" w14:textId="77777777" w:rsidR="00C64F6A" w:rsidRPr="00E55166"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p>
        </w:tc>
        <w:tc>
          <w:tcPr>
            <w:tcW w:w="146" w:type="pct"/>
            <w:tcBorders>
              <w:top w:val="nil"/>
              <w:left w:val="nil"/>
              <w:bottom w:val="nil"/>
              <w:right w:val="nil"/>
            </w:tcBorders>
            <w:noWrap/>
            <w:vAlign w:val="bottom"/>
            <w:hideMark/>
          </w:tcPr>
          <w:p w14:paraId="46A88E2F" w14:textId="77777777" w:rsidR="00C64F6A" w:rsidRPr="00E55166" w:rsidRDefault="00C64F6A" w:rsidP="009463F3">
            <w:pPr>
              <w:spacing w:after="0" w:line="240" w:lineRule="auto"/>
              <w:jc w:val="center"/>
              <w:rPr>
                <w:rFonts w:ascii="Aptos Narrow" w:eastAsia="Times New Roman" w:hAnsi="Aptos Narrow" w:cs="Times New Roman"/>
                <w:color w:val="000000"/>
                <w:kern w:val="0"/>
                <w:sz w:val="22"/>
                <w:szCs w:val="22"/>
                <w:lang w:val="en-US"/>
                <w14:ligatures w14:val="none"/>
              </w:rPr>
            </w:pPr>
          </w:p>
        </w:tc>
      </w:tr>
      <w:tr w:rsidR="00C64F6A" w:rsidRPr="00E55166" w14:paraId="76ED483C" w14:textId="77777777" w:rsidTr="009463F3">
        <w:trPr>
          <w:trHeight w:val="300"/>
        </w:trPr>
        <w:tc>
          <w:tcPr>
            <w:tcW w:w="1697" w:type="pct"/>
            <w:vMerge w:val="restart"/>
            <w:tcBorders>
              <w:top w:val="nil"/>
              <w:left w:val="single" w:sz="4" w:space="0" w:color="auto"/>
              <w:bottom w:val="single" w:sz="4" w:space="0" w:color="auto"/>
              <w:right w:val="single" w:sz="4" w:space="0" w:color="auto"/>
            </w:tcBorders>
            <w:noWrap/>
            <w:vAlign w:val="center"/>
            <w:hideMark/>
          </w:tcPr>
          <w:p w14:paraId="3FDA126D" w14:textId="77777777" w:rsidR="00C64F6A" w:rsidRPr="00E55166" w:rsidRDefault="00C64F6A" w:rsidP="009463F3">
            <w:pPr>
              <w:spacing w:after="0" w:line="240" w:lineRule="auto"/>
              <w:jc w:val="center"/>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Return on Assets (ROA)</w:t>
            </w:r>
          </w:p>
        </w:tc>
        <w:tc>
          <w:tcPr>
            <w:tcW w:w="631" w:type="pct"/>
            <w:vMerge w:val="restart"/>
            <w:tcBorders>
              <w:top w:val="nil"/>
              <w:left w:val="single" w:sz="4" w:space="0" w:color="auto"/>
              <w:bottom w:val="single" w:sz="4" w:space="0" w:color="000000"/>
              <w:right w:val="single" w:sz="4" w:space="0" w:color="auto"/>
            </w:tcBorders>
            <w:noWrap/>
            <w:vAlign w:val="center"/>
            <w:hideMark/>
          </w:tcPr>
          <w:p w14:paraId="2C01ADC0" w14:textId="77777777" w:rsidR="00C64F6A" w:rsidRPr="00E55166" w:rsidRDefault="00C64F6A" w:rsidP="009463F3">
            <w:pPr>
              <w:spacing w:after="0" w:line="240" w:lineRule="auto"/>
              <w:jc w:val="center"/>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7.56%</w:t>
            </w:r>
          </w:p>
        </w:tc>
        <w:tc>
          <w:tcPr>
            <w:tcW w:w="631" w:type="pct"/>
            <w:vMerge w:val="restart"/>
            <w:tcBorders>
              <w:top w:val="nil"/>
              <w:left w:val="single" w:sz="4" w:space="0" w:color="auto"/>
              <w:bottom w:val="single" w:sz="4" w:space="0" w:color="000000"/>
              <w:right w:val="single" w:sz="4" w:space="0" w:color="auto"/>
            </w:tcBorders>
            <w:noWrap/>
            <w:vAlign w:val="center"/>
            <w:hideMark/>
          </w:tcPr>
          <w:p w14:paraId="57736388" w14:textId="77777777" w:rsidR="00C64F6A" w:rsidRPr="00E55166" w:rsidRDefault="00C64F6A" w:rsidP="009463F3">
            <w:pPr>
              <w:spacing w:after="0" w:line="240" w:lineRule="auto"/>
              <w:jc w:val="center"/>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1.04%</w:t>
            </w:r>
          </w:p>
        </w:tc>
        <w:tc>
          <w:tcPr>
            <w:tcW w:w="631" w:type="pct"/>
            <w:vMerge w:val="restart"/>
            <w:tcBorders>
              <w:top w:val="nil"/>
              <w:left w:val="single" w:sz="4" w:space="0" w:color="auto"/>
              <w:bottom w:val="single" w:sz="4" w:space="0" w:color="000000"/>
              <w:right w:val="single" w:sz="4" w:space="0" w:color="auto"/>
            </w:tcBorders>
            <w:noWrap/>
            <w:vAlign w:val="center"/>
            <w:hideMark/>
          </w:tcPr>
          <w:p w14:paraId="00BE4EDF" w14:textId="77777777" w:rsidR="00C64F6A" w:rsidRPr="00E55166" w:rsidRDefault="00C64F6A" w:rsidP="009463F3">
            <w:pPr>
              <w:spacing w:after="0" w:line="240" w:lineRule="auto"/>
              <w:jc w:val="center"/>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0.08%</w:t>
            </w:r>
          </w:p>
        </w:tc>
        <w:tc>
          <w:tcPr>
            <w:tcW w:w="631" w:type="pct"/>
            <w:vMerge w:val="restart"/>
            <w:tcBorders>
              <w:top w:val="nil"/>
              <w:left w:val="single" w:sz="4" w:space="0" w:color="auto"/>
              <w:bottom w:val="single" w:sz="4" w:space="0" w:color="000000"/>
              <w:right w:val="single" w:sz="4" w:space="0" w:color="auto"/>
            </w:tcBorders>
            <w:noWrap/>
            <w:vAlign w:val="center"/>
            <w:hideMark/>
          </w:tcPr>
          <w:p w14:paraId="1FE47B29" w14:textId="77777777" w:rsidR="00C64F6A" w:rsidRPr="00E55166" w:rsidRDefault="00C64F6A" w:rsidP="009463F3">
            <w:pPr>
              <w:spacing w:after="0" w:line="240" w:lineRule="auto"/>
              <w:jc w:val="center"/>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-27.60%</w:t>
            </w:r>
          </w:p>
        </w:tc>
        <w:tc>
          <w:tcPr>
            <w:tcW w:w="631" w:type="pct"/>
            <w:vMerge w:val="restart"/>
            <w:tcBorders>
              <w:top w:val="nil"/>
              <w:left w:val="single" w:sz="4" w:space="0" w:color="auto"/>
              <w:bottom w:val="single" w:sz="4" w:space="0" w:color="000000"/>
              <w:right w:val="single" w:sz="4" w:space="0" w:color="auto"/>
            </w:tcBorders>
            <w:noWrap/>
            <w:vAlign w:val="center"/>
            <w:hideMark/>
          </w:tcPr>
          <w:p w14:paraId="1B558593" w14:textId="77777777" w:rsidR="00C64F6A" w:rsidRPr="00E55166" w:rsidRDefault="00C64F6A" w:rsidP="009463F3">
            <w:pPr>
              <w:spacing w:after="0" w:line="240" w:lineRule="auto"/>
              <w:jc w:val="center"/>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-7.43%</w:t>
            </w:r>
          </w:p>
        </w:tc>
        <w:tc>
          <w:tcPr>
            <w:tcW w:w="146" w:type="pct"/>
            <w:vAlign w:val="center"/>
            <w:hideMark/>
          </w:tcPr>
          <w:p w14:paraId="3AF227CA" w14:textId="77777777" w:rsidR="00C64F6A" w:rsidRPr="00E55166" w:rsidRDefault="00C64F6A" w:rsidP="009463F3">
            <w:pPr>
              <w:spacing w:after="0" w:line="240" w:lineRule="auto"/>
              <w:jc w:val="left"/>
              <w:rPr>
                <w:rFonts w:ascii="Times New Roman" w:eastAsia="Times New Roman" w:hAnsi="Times New Roman" w:cs="Times New Roman"/>
                <w:kern w:val="0"/>
                <w:sz w:val="20"/>
                <w:szCs w:val="20"/>
                <w:lang w:val="en-US"/>
                <w14:ligatures w14:val="none"/>
              </w:rPr>
            </w:pPr>
          </w:p>
        </w:tc>
      </w:tr>
      <w:tr w:rsidR="00C64F6A" w:rsidRPr="00E55166" w14:paraId="080CC624" w14:textId="77777777" w:rsidTr="009463F3">
        <w:trPr>
          <w:trHeight w:val="70"/>
        </w:trPr>
        <w:tc>
          <w:tcPr>
            <w:tcW w:w="1697" w:type="pct"/>
            <w:vMerge/>
            <w:tcBorders>
              <w:top w:val="nil"/>
              <w:left w:val="single" w:sz="4" w:space="0" w:color="auto"/>
              <w:bottom w:val="single" w:sz="4" w:space="0" w:color="auto"/>
              <w:right w:val="single" w:sz="4" w:space="0" w:color="auto"/>
            </w:tcBorders>
            <w:vAlign w:val="center"/>
            <w:hideMark/>
          </w:tcPr>
          <w:p w14:paraId="07F911D9" w14:textId="77777777" w:rsidR="00C64F6A" w:rsidRPr="00E55166"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p>
        </w:tc>
        <w:tc>
          <w:tcPr>
            <w:tcW w:w="631" w:type="pct"/>
            <w:vMerge/>
            <w:tcBorders>
              <w:top w:val="nil"/>
              <w:left w:val="single" w:sz="4" w:space="0" w:color="auto"/>
              <w:bottom w:val="single" w:sz="4" w:space="0" w:color="000000"/>
              <w:right w:val="single" w:sz="4" w:space="0" w:color="auto"/>
            </w:tcBorders>
            <w:vAlign w:val="center"/>
            <w:hideMark/>
          </w:tcPr>
          <w:p w14:paraId="792E629B" w14:textId="77777777" w:rsidR="00C64F6A" w:rsidRPr="00E55166"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p>
        </w:tc>
        <w:tc>
          <w:tcPr>
            <w:tcW w:w="631" w:type="pct"/>
            <w:vMerge/>
            <w:tcBorders>
              <w:top w:val="nil"/>
              <w:left w:val="single" w:sz="4" w:space="0" w:color="auto"/>
              <w:bottom w:val="single" w:sz="4" w:space="0" w:color="000000"/>
              <w:right w:val="single" w:sz="4" w:space="0" w:color="auto"/>
            </w:tcBorders>
            <w:vAlign w:val="center"/>
            <w:hideMark/>
          </w:tcPr>
          <w:p w14:paraId="0389DE08" w14:textId="77777777" w:rsidR="00C64F6A" w:rsidRPr="00E55166"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p>
        </w:tc>
        <w:tc>
          <w:tcPr>
            <w:tcW w:w="631" w:type="pct"/>
            <w:vMerge/>
            <w:tcBorders>
              <w:top w:val="nil"/>
              <w:left w:val="single" w:sz="4" w:space="0" w:color="auto"/>
              <w:bottom w:val="single" w:sz="4" w:space="0" w:color="000000"/>
              <w:right w:val="single" w:sz="4" w:space="0" w:color="auto"/>
            </w:tcBorders>
            <w:vAlign w:val="center"/>
            <w:hideMark/>
          </w:tcPr>
          <w:p w14:paraId="5B1786FC" w14:textId="77777777" w:rsidR="00C64F6A" w:rsidRPr="00E55166"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p>
        </w:tc>
        <w:tc>
          <w:tcPr>
            <w:tcW w:w="631" w:type="pct"/>
            <w:vMerge/>
            <w:tcBorders>
              <w:top w:val="nil"/>
              <w:left w:val="single" w:sz="4" w:space="0" w:color="auto"/>
              <w:bottom w:val="single" w:sz="4" w:space="0" w:color="000000"/>
              <w:right w:val="single" w:sz="4" w:space="0" w:color="auto"/>
            </w:tcBorders>
            <w:vAlign w:val="center"/>
            <w:hideMark/>
          </w:tcPr>
          <w:p w14:paraId="30A26696" w14:textId="77777777" w:rsidR="00C64F6A" w:rsidRPr="00E55166"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p>
        </w:tc>
        <w:tc>
          <w:tcPr>
            <w:tcW w:w="631" w:type="pct"/>
            <w:vMerge/>
            <w:tcBorders>
              <w:top w:val="nil"/>
              <w:left w:val="single" w:sz="4" w:space="0" w:color="auto"/>
              <w:bottom w:val="single" w:sz="4" w:space="0" w:color="000000"/>
              <w:right w:val="single" w:sz="4" w:space="0" w:color="auto"/>
            </w:tcBorders>
            <w:vAlign w:val="center"/>
            <w:hideMark/>
          </w:tcPr>
          <w:p w14:paraId="614657B1" w14:textId="77777777" w:rsidR="00C64F6A" w:rsidRPr="00E55166"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p>
        </w:tc>
        <w:tc>
          <w:tcPr>
            <w:tcW w:w="146" w:type="pct"/>
            <w:tcBorders>
              <w:top w:val="nil"/>
              <w:left w:val="nil"/>
              <w:bottom w:val="nil"/>
              <w:right w:val="nil"/>
            </w:tcBorders>
            <w:noWrap/>
            <w:vAlign w:val="bottom"/>
            <w:hideMark/>
          </w:tcPr>
          <w:p w14:paraId="629EFAEA" w14:textId="77777777" w:rsidR="00C64F6A" w:rsidRPr="00E55166" w:rsidRDefault="00C64F6A" w:rsidP="009463F3">
            <w:pPr>
              <w:spacing w:after="0" w:line="240" w:lineRule="auto"/>
              <w:jc w:val="center"/>
              <w:rPr>
                <w:rFonts w:ascii="Aptos Narrow" w:eastAsia="Times New Roman" w:hAnsi="Aptos Narrow" w:cs="Times New Roman"/>
                <w:color w:val="000000"/>
                <w:kern w:val="0"/>
                <w:sz w:val="22"/>
                <w:szCs w:val="22"/>
                <w:lang w:val="en-US"/>
                <w14:ligatures w14:val="none"/>
              </w:rPr>
            </w:pPr>
          </w:p>
        </w:tc>
      </w:tr>
      <w:tr w:rsidR="00C64F6A" w:rsidRPr="00E55166" w14:paraId="413B32CF" w14:textId="77777777" w:rsidTr="009463F3">
        <w:trPr>
          <w:trHeight w:val="300"/>
        </w:trPr>
        <w:tc>
          <w:tcPr>
            <w:tcW w:w="1697" w:type="pct"/>
            <w:vMerge w:val="restart"/>
            <w:tcBorders>
              <w:top w:val="nil"/>
              <w:left w:val="single" w:sz="4" w:space="0" w:color="auto"/>
              <w:bottom w:val="single" w:sz="4" w:space="0" w:color="auto"/>
              <w:right w:val="single" w:sz="4" w:space="0" w:color="auto"/>
            </w:tcBorders>
            <w:noWrap/>
            <w:vAlign w:val="center"/>
            <w:hideMark/>
          </w:tcPr>
          <w:p w14:paraId="6D1A1277" w14:textId="77777777" w:rsidR="00C64F6A" w:rsidRPr="00E55166" w:rsidRDefault="00C64F6A" w:rsidP="009463F3">
            <w:pPr>
              <w:spacing w:after="0" w:line="240" w:lineRule="auto"/>
              <w:jc w:val="center"/>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Return on Equity (ROE)</w:t>
            </w:r>
          </w:p>
        </w:tc>
        <w:tc>
          <w:tcPr>
            <w:tcW w:w="631" w:type="pct"/>
            <w:vMerge w:val="restart"/>
            <w:tcBorders>
              <w:top w:val="nil"/>
              <w:left w:val="single" w:sz="4" w:space="0" w:color="auto"/>
              <w:bottom w:val="single" w:sz="4" w:space="0" w:color="000000"/>
              <w:right w:val="single" w:sz="4" w:space="0" w:color="auto"/>
            </w:tcBorders>
            <w:noWrap/>
            <w:vAlign w:val="center"/>
            <w:hideMark/>
          </w:tcPr>
          <w:p w14:paraId="1C4352B3" w14:textId="77777777" w:rsidR="00C64F6A" w:rsidRPr="00E55166" w:rsidRDefault="00C64F6A" w:rsidP="009463F3">
            <w:pPr>
              <w:spacing w:after="0" w:line="240" w:lineRule="auto"/>
              <w:jc w:val="center"/>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12.31%</w:t>
            </w:r>
          </w:p>
        </w:tc>
        <w:tc>
          <w:tcPr>
            <w:tcW w:w="631" w:type="pct"/>
            <w:vMerge w:val="restart"/>
            <w:tcBorders>
              <w:top w:val="nil"/>
              <w:left w:val="single" w:sz="4" w:space="0" w:color="auto"/>
              <w:bottom w:val="single" w:sz="4" w:space="0" w:color="000000"/>
              <w:right w:val="single" w:sz="4" w:space="0" w:color="auto"/>
            </w:tcBorders>
            <w:noWrap/>
            <w:vAlign w:val="center"/>
            <w:hideMark/>
          </w:tcPr>
          <w:p w14:paraId="5DC84D0E" w14:textId="77777777" w:rsidR="00C64F6A" w:rsidRPr="00E55166" w:rsidRDefault="00C64F6A" w:rsidP="009463F3">
            <w:pPr>
              <w:spacing w:after="0" w:line="240" w:lineRule="auto"/>
              <w:jc w:val="center"/>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1.92%</w:t>
            </w:r>
          </w:p>
        </w:tc>
        <w:tc>
          <w:tcPr>
            <w:tcW w:w="631" w:type="pct"/>
            <w:vMerge w:val="restart"/>
            <w:tcBorders>
              <w:top w:val="nil"/>
              <w:left w:val="single" w:sz="4" w:space="0" w:color="auto"/>
              <w:bottom w:val="single" w:sz="4" w:space="0" w:color="000000"/>
              <w:right w:val="single" w:sz="4" w:space="0" w:color="auto"/>
            </w:tcBorders>
            <w:noWrap/>
            <w:vAlign w:val="center"/>
            <w:hideMark/>
          </w:tcPr>
          <w:p w14:paraId="6840FC7B" w14:textId="77777777" w:rsidR="00C64F6A" w:rsidRPr="00E55166" w:rsidRDefault="00C64F6A" w:rsidP="009463F3">
            <w:pPr>
              <w:spacing w:after="0" w:line="240" w:lineRule="auto"/>
              <w:jc w:val="center"/>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0.15%</w:t>
            </w:r>
          </w:p>
        </w:tc>
        <w:tc>
          <w:tcPr>
            <w:tcW w:w="631" w:type="pct"/>
            <w:vMerge w:val="restart"/>
            <w:tcBorders>
              <w:top w:val="nil"/>
              <w:left w:val="single" w:sz="4" w:space="0" w:color="auto"/>
              <w:bottom w:val="single" w:sz="4" w:space="0" w:color="000000"/>
              <w:right w:val="single" w:sz="4" w:space="0" w:color="auto"/>
            </w:tcBorders>
            <w:noWrap/>
            <w:vAlign w:val="center"/>
            <w:hideMark/>
          </w:tcPr>
          <w:p w14:paraId="2022F831" w14:textId="77777777" w:rsidR="00C64F6A" w:rsidRPr="00E55166" w:rsidRDefault="00C64F6A" w:rsidP="009463F3">
            <w:pPr>
              <w:spacing w:after="0" w:line="240" w:lineRule="auto"/>
              <w:jc w:val="center"/>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-54.91%</w:t>
            </w:r>
          </w:p>
        </w:tc>
        <w:tc>
          <w:tcPr>
            <w:tcW w:w="631" w:type="pct"/>
            <w:vMerge w:val="restart"/>
            <w:tcBorders>
              <w:top w:val="nil"/>
              <w:left w:val="single" w:sz="4" w:space="0" w:color="auto"/>
              <w:bottom w:val="single" w:sz="4" w:space="0" w:color="000000"/>
              <w:right w:val="single" w:sz="4" w:space="0" w:color="auto"/>
            </w:tcBorders>
            <w:noWrap/>
            <w:vAlign w:val="center"/>
            <w:hideMark/>
          </w:tcPr>
          <w:p w14:paraId="78982CCA" w14:textId="77777777" w:rsidR="00C64F6A" w:rsidRPr="00E55166" w:rsidRDefault="00C64F6A" w:rsidP="009463F3">
            <w:pPr>
              <w:spacing w:after="0" w:line="240" w:lineRule="auto"/>
              <w:jc w:val="center"/>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-15.69%</w:t>
            </w:r>
          </w:p>
        </w:tc>
        <w:tc>
          <w:tcPr>
            <w:tcW w:w="146" w:type="pct"/>
            <w:vAlign w:val="center"/>
            <w:hideMark/>
          </w:tcPr>
          <w:p w14:paraId="00FB3C0B" w14:textId="77777777" w:rsidR="00C64F6A" w:rsidRPr="00E55166" w:rsidRDefault="00C64F6A" w:rsidP="009463F3">
            <w:pPr>
              <w:spacing w:after="0" w:line="240" w:lineRule="auto"/>
              <w:jc w:val="left"/>
              <w:rPr>
                <w:rFonts w:ascii="Times New Roman" w:eastAsia="Times New Roman" w:hAnsi="Times New Roman" w:cs="Times New Roman"/>
                <w:kern w:val="0"/>
                <w:sz w:val="20"/>
                <w:szCs w:val="20"/>
                <w:lang w:val="en-US"/>
                <w14:ligatures w14:val="none"/>
              </w:rPr>
            </w:pPr>
          </w:p>
        </w:tc>
      </w:tr>
      <w:tr w:rsidR="00C64F6A" w:rsidRPr="00E55166" w14:paraId="7831770E" w14:textId="77777777" w:rsidTr="009463F3">
        <w:trPr>
          <w:trHeight w:val="70"/>
        </w:trPr>
        <w:tc>
          <w:tcPr>
            <w:tcW w:w="1697" w:type="pct"/>
            <w:vMerge/>
            <w:tcBorders>
              <w:top w:val="nil"/>
              <w:left w:val="single" w:sz="4" w:space="0" w:color="auto"/>
              <w:bottom w:val="single" w:sz="4" w:space="0" w:color="auto"/>
              <w:right w:val="single" w:sz="4" w:space="0" w:color="auto"/>
            </w:tcBorders>
            <w:vAlign w:val="center"/>
            <w:hideMark/>
          </w:tcPr>
          <w:p w14:paraId="17190D9D" w14:textId="77777777" w:rsidR="00C64F6A" w:rsidRPr="00E55166"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p>
        </w:tc>
        <w:tc>
          <w:tcPr>
            <w:tcW w:w="631" w:type="pct"/>
            <w:vMerge/>
            <w:tcBorders>
              <w:top w:val="nil"/>
              <w:left w:val="single" w:sz="4" w:space="0" w:color="auto"/>
              <w:bottom w:val="single" w:sz="4" w:space="0" w:color="000000"/>
              <w:right w:val="single" w:sz="4" w:space="0" w:color="auto"/>
            </w:tcBorders>
            <w:vAlign w:val="center"/>
            <w:hideMark/>
          </w:tcPr>
          <w:p w14:paraId="372BF9E1" w14:textId="77777777" w:rsidR="00C64F6A" w:rsidRPr="00E55166"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p>
        </w:tc>
        <w:tc>
          <w:tcPr>
            <w:tcW w:w="631" w:type="pct"/>
            <w:vMerge/>
            <w:tcBorders>
              <w:top w:val="nil"/>
              <w:left w:val="single" w:sz="4" w:space="0" w:color="auto"/>
              <w:bottom w:val="single" w:sz="4" w:space="0" w:color="000000"/>
              <w:right w:val="single" w:sz="4" w:space="0" w:color="auto"/>
            </w:tcBorders>
            <w:vAlign w:val="center"/>
            <w:hideMark/>
          </w:tcPr>
          <w:p w14:paraId="2D1E0F45" w14:textId="77777777" w:rsidR="00C64F6A" w:rsidRPr="00E55166"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p>
        </w:tc>
        <w:tc>
          <w:tcPr>
            <w:tcW w:w="631" w:type="pct"/>
            <w:vMerge/>
            <w:tcBorders>
              <w:top w:val="nil"/>
              <w:left w:val="single" w:sz="4" w:space="0" w:color="auto"/>
              <w:bottom w:val="single" w:sz="4" w:space="0" w:color="000000"/>
              <w:right w:val="single" w:sz="4" w:space="0" w:color="auto"/>
            </w:tcBorders>
            <w:vAlign w:val="center"/>
            <w:hideMark/>
          </w:tcPr>
          <w:p w14:paraId="753C9E6F" w14:textId="77777777" w:rsidR="00C64F6A" w:rsidRPr="00E55166"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p>
        </w:tc>
        <w:tc>
          <w:tcPr>
            <w:tcW w:w="631" w:type="pct"/>
            <w:vMerge/>
            <w:tcBorders>
              <w:top w:val="nil"/>
              <w:left w:val="single" w:sz="4" w:space="0" w:color="auto"/>
              <w:bottom w:val="single" w:sz="4" w:space="0" w:color="000000"/>
              <w:right w:val="single" w:sz="4" w:space="0" w:color="auto"/>
            </w:tcBorders>
            <w:vAlign w:val="center"/>
            <w:hideMark/>
          </w:tcPr>
          <w:p w14:paraId="3196F665" w14:textId="77777777" w:rsidR="00C64F6A" w:rsidRPr="00E55166"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p>
        </w:tc>
        <w:tc>
          <w:tcPr>
            <w:tcW w:w="631" w:type="pct"/>
            <w:vMerge/>
            <w:tcBorders>
              <w:top w:val="nil"/>
              <w:left w:val="single" w:sz="4" w:space="0" w:color="auto"/>
              <w:bottom w:val="single" w:sz="4" w:space="0" w:color="000000"/>
              <w:right w:val="single" w:sz="4" w:space="0" w:color="auto"/>
            </w:tcBorders>
            <w:vAlign w:val="center"/>
            <w:hideMark/>
          </w:tcPr>
          <w:p w14:paraId="07775417" w14:textId="77777777" w:rsidR="00C64F6A" w:rsidRPr="00E55166"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p>
        </w:tc>
        <w:tc>
          <w:tcPr>
            <w:tcW w:w="146" w:type="pct"/>
            <w:tcBorders>
              <w:top w:val="nil"/>
              <w:left w:val="nil"/>
              <w:bottom w:val="nil"/>
              <w:right w:val="nil"/>
            </w:tcBorders>
            <w:noWrap/>
            <w:vAlign w:val="bottom"/>
            <w:hideMark/>
          </w:tcPr>
          <w:p w14:paraId="07E1B034" w14:textId="77777777" w:rsidR="00C64F6A" w:rsidRPr="00E55166" w:rsidRDefault="00C64F6A" w:rsidP="009463F3">
            <w:pPr>
              <w:spacing w:after="0" w:line="240" w:lineRule="auto"/>
              <w:jc w:val="center"/>
              <w:rPr>
                <w:rFonts w:ascii="Aptos Narrow" w:eastAsia="Times New Roman" w:hAnsi="Aptos Narrow" w:cs="Times New Roman"/>
                <w:color w:val="000000"/>
                <w:kern w:val="0"/>
                <w:sz w:val="22"/>
                <w:szCs w:val="22"/>
                <w:lang w:val="en-US"/>
                <w14:ligatures w14:val="none"/>
              </w:rPr>
            </w:pPr>
          </w:p>
        </w:tc>
      </w:tr>
      <w:tr w:rsidR="00C64F6A" w:rsidRPr="00E55166" w14:paraId="7B301E65" w14:textId="77777777" w:rsidTr="009463F3">
        <w:trPr>
          <w:trHeight w:val="300"/>
        </w:trPr>
        <w:tc>
          <w:tcPr>
            <w:tcW w:w="1697" w:type="pct"/>
            <w:tcBorders>
              <w:top w:val="nil"/>
              <w:left w:val="single" w:sz="4" w:space="0" w:color="auto"/>
              <w:bottom w:val="single" w:sz="4" w:space="0" w:color="auto"/>
              <w:right w:val="single" w:sz="4" w:space="0" w:color="auto"/>
            </w:tcBorders>
            <w:noWrap/>
            <w:vAlign w:val="bottom"/>
            <w:hideMark/>
          </w:tcPr>
          <w:p w14:paraId="1CB14ED2" w14:textId="77777777" w:rsidR="00C64F6A" w:rsidRPr="00E55166"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Liquidity Ratios</w:t>
            </w:r>
          </w:p>
        </w:tc>
        <w:tc>
          <w:tcPr>
            <w:tcW w:w="631" w:type="pct"/>
            <w:tcBorders>
              <w:top w:val="nil"/>
              <w:left w:val="nil"/>
              <w:bottom w:val="single" w:sz="4" w:space="0" w:color="auto"/>
              <w:right w:val="single" w:sz="4" w:space="0" w:color="auto"/>
            </w:tcBorders>
            <w:noWrap/>
            <w:vAlign w:val="bottom"/>
            <w:hideMark/>
          </w:tcPr>
          <w:p w14:paraId="59299625"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2020</w:t>
            </w:r>
          </w:p>
        </w:tc>
        <w:tc>
          <w:tcPr>
            <w:tcW w:w="631" w:type="pct"/>
            <w:tcBorders>
              <w:top w:val="nil"/>
              <w:left w:val="nil"/>
              <w:bottom w:val="single" w:sz="4" w:space="0" w:color="auto"/>
              <w:right w:val="single" w:sz="4" w:space="0" w:color="auto"/>
            </w:tcBorders>
            <w:noWrap/>
            <w:vAlign w:val="bottom"/>
            <w:hideMark/>
          </w:tcPr>
          <w:p w14:paraId="2B71EAB3"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2021</w:t>
            </w:r>
          </w:p>
        </w:tc>
        <w:tc>
          <w:tcPr>
            <w:tcW w:w="631" w:type="pct"/>
            <w:tcBorders>
              <w:top w:val="nil"/>
              <w:left w:val="nil"/>
              <w:bottom w:val="single" w:sz="4" w:space="0" w:color="auto"/>
              <w:right w:val="single" w:sz="4" w:space="0" w:color="auto"/>
            </w:tcBorders>
            <w:noWrap/>
            <w:vAlign w:val="bottom"/>
            <w:hideMark/>
          </w:tcPr>
          <w:p w14:paraId="4C45A606"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2022</w:t>
            </w:r>
          </w:p>
        </w:tc>
        <w:tc>
          <w:tcPr>
            <w:tcW w:w="631" w:type="pct"/>
            <w:tcBorders>
              <w:top w:val="nil"/>
              <w:left w:val="nil"/>
              <w:bottom w:val="single" w:sz="4" w:space="0" w:color="auto"/>
              <w:right w:val="single" w:sz="4" w:space="0" w:color="auto"/>
            </w:tcBorders>
            <w:noWrap/>
            <w:vAlign w:val="bottom"/>
            <w:hideMark/>
          </w:tcPr>
          <w:p w14:paraId="26FF1B95"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2023</w:t>
            </w:r>
          </w:p>
        </w:tc>
        <w:tc>
          <w:tcPr>
            <w:tcW w:w="631" w:type="pct"/>
            <w:tcBorders>
              <w:top w:val="nil"/>
              <w:left w:val="nil"/>
              <w:bottom w:val="single" w:sz="4" w:space="0" w:color="auto"/>
              <w:right w:val="single" w:sz="4" w:space="0" w:color="auto"/>
            </w:tcBorders>
            <w:noWrap/>
            <w:vAlign w:val="bottom"/>
            <w:hideMark/>
          </w:tcPr>
          <w:p w14:paraId="23D1F015"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2024</w:t>
            </w:r>
          </w:p>
        </w:tc>
        <w:tc>
          <w:tcPr>
            <w:tcW w:w="146" w:type="pct"/>
            <w:vAlign w:val="center"/>
            <w:hideMark/>
          </w:tcPr>
          <w:p w14:paraId="47F41E02" w14:textId="77777777" w:rsidR="00C64F6A" w:rsidRPr="00E55166" w:rsidRDefault="00C64F6A" w:rsidP="009463F3">
            <w:pPr>
              <w:spacing w:after="0" w:line="240" w:lineRule="auto"/>
              <w:jc w:val="left"/>
              <w:rPr>
                <w:rFonts w:ascii="Times New Roman" w:eastAsia="Times New Roman" w:hAnsi="Times New Roman" w:cs="Times New Roman"/>
                <w:kern w:val="0"/>
                <w:sz w:val="20"/>
                <w:szCs w:val="20"/>
                <w:lang w:val="en-US"/>
                <w14:ligatures w14:val="none"/>
              </w:rPr>
            </w:pPr>
          </w:p>
        </w:tc>
      </w:tr>
      <w:tr w:rsidR="00C64F6A" w:rsidRPr="00E55166" w14:paraId="70CC2FA9" w14:textId="77777777" w:rsidTr="009463F3">
        <w:trPr>
          <w:trHeight w:val="300"/>
        </w:trPr>
        <w:tc>
          <w:tcPr>
            <w:tcW w:w="1697" w:type="pct"/>
            <w:tcBorders>
              <w:top w:val="nil"/>
              <w:left w:val="single" w:sz="4" w:space="0" w:color="auto"/>
              <w:bottom w:val="single" w:sz="4" w:space="0" w:color="auto"/>
              <w:right w:val="single" w:sz="4" w:space="0" w:color="auto"/>
            </w:tcBorders>
            <w:noWrap/>
            <w:vAlign w:val="bottom"/>
            <w:hideMark/>
          </w:tcPr>
          <w:p w14:paraId="000B0993" w14:textId="77777777" w:rsidR="00C64F6A" w:rsidRPr="00E55166"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Current Ratio</w:t>
            </w:r>
          </w:p>
        </w:tc>
        <w:tc>
          <w:tcPr>
            <w:tcW w:w="631" w:type="pct"/>
            <w:tcBorders>
              <w:top w:val="nil"/>
              <w:left w:val="nil"/>
              <w:bottom w:val="single" w:sz="4" w:space="0" w:color="auto"/>
              <w:right w:val="single" w:sz="4" w:space="0" w:color="auto"/>
            </w:tcBorders>
            <w:noWrap/>
            <w:vAlign w:val="bottom"/>
            <w:hideMark/>
          </w:tcPr>
          <w:p w14:paraId="427AE9B3"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1.82</w:t>
            </w:r>
          </w:p>
        </w:tc>
        <w:tc>
          <w:tcPr>
            <w:tcW w:w="631" w:type="pct"/>
            <w:tcBorders>
              <w:top w:val="nil"/>
              <w:left w:val="nil"/>
              <w:bottom w:val="single" w:sz="4" w:space="0" w:color="auto"/>
              <w:right w:val="single" w:sz="4" w:space="0" w:color="auto"/>
            </w:tcBorders>
            <w:noWrap/>
            <w:vAlign w:val="bottom"/>
            <w:hideMark/>
          </w:tcPr>
          <w:p w14:paraId="006452B2"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1.56</w:t>
            </w:r>
          </w:p>
        </w:tc>
        <w:tc>
          <w:tcPr>
            <w:tcW w:w="631" w:type="pct"/>
            <w:tcBorders>
              <w:top w:val="nil"/>
              <w:left w:val="nil"/>
              <w:bottom w:val="single" w:sz="4" w:space="0" w:color="auto"/>
              <w:right w:val="single" w:sz="4" w:space="0" w:color="auto"/>
            </w:tcBorders>
            <w:noWrap/>
            <w:vAlign w:val="bottom"/>
            <w:hideMark/>
          </w:tcPr>
          <w:p w14:paraId="23C52F89"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1.56</w:t>
            </w:r>
          </w:p>
        </w:tc>
        <w:tc>
          <w:tcPr>
            <w:tcW w:w="631" w:type="pct"/>
            <w:tcBorders>
              <w:top w:val="nil"/>
              <w:left w:val="nil"/>
              <w:bottom w:val="single" w:sz="4" w:space="0" w:color="auto"/>
              <w:right w:val="single" w:sz="4" w:space="0" w:color="auto"/>
            </w:tcBorders>
            <w:noWrap/>
            <w:vAlign w:val="bottom"/>
            <w:hideMark/>
          </w:tcPr>
          <w:p w14:paraId="5EBD6F70"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1.61</w:t>
            </w:r>
          </w:p>
        </w:tc>
        <w:tc>
          <w:tcPr>
            <w:tcW w:w="631" w:type="pct"/>
            <w:tcBorders>
              <w:top w:val="nil"/>
              <w:left w:val="nil"/>
              <w:bottom w:val="single" w:sz="4" w:space="0" w:color="auto"/>
              <w:right w:val="single" w:sz="4" w:space="0" w:color="auto"/>
            </w:tcBorders>
            <w:noWrap/>
            <w:vAlign w:val="bottom"/>
            <w:hideMark/>
          </w:tcPr>
          <w:p w14:paraId="24690DA8"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1.53</w:t>
            </w:r>
          </w:p>
        </w:tc>
        <w:tc>
          <w:tcPr>
            <w:tcW w:w="146" w:type="pct"/>
            <w:vAlign w:val="center"/>
            <w:hideMark/>
          </w:tcPr>
          <w:p w14:paraId="6D3DA412" w14:textId="77777777" w:rsidR="00C64F6A" w:rsidRPr="00E55166" w:rsidRDefault="00C64F6A" w:rsidP="009463F3">
            <w:pPr>
              <w:spacing w:after="0" w:line="240" w:lineRule="auto"/>
              <w:jc w:val="left"/>
              <w:rPr>
                <w:rFonts w:ascii="Times New Roman" w:eastAsia="Times New Roman" w:hAnsi="Times New Roman" w:cs="Times New Roman"/>
                <w:kern w:val="0"/>
                <w:sz w:val="20"/>
                <w:szCs w:val="20"/>
                <w:lang w:val="en-US"/>
                <w14:ligatures w14:val="none"/>
              </w:rPr>
            </w:pPr>
          </w:p>
        </w:tc>
      </w:tr>
      <w:tr w:rsidR="00C64F6A" w:rsidRPr="00E55166" w14:paraId="4AA18543" w14:textId="77777777" w:rsidTr="009463F3">
        <w:trPr>
          <w:trHeight w:val="300"/>
        </w:trPr>
        <w:tc>
          <w:tcPr>
            <w:tcW w:w="1697" w:type="pct"/>
            <w:tcBorders>
              <w:top w:val="nil"/>
              <w:left w:val="single" w:sz="4" w:space="0" w:color="auto"/>
              <w:bottom w:val="single" w:sz="4" w:space="0" w:color="auto"/>
              <w:right w:val="single" w:sz="4" w:space="0" w:color="auto"/>
            </w:tcBorders>
            <w:noWrap/>
            <w:vAlign w:val="bottom"/>
            <w:hideMark/>
          </w:tcPr>
          <w:p w14:paraId="644D609A" w14:textId="77777777" w:rsidR="00C64F6A" w:rsidRPr="00E55166"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Quick Ratio</w:t>
            </w:r>
          </w:p>
        </w:tc>
        <w:tc>
          <w:tcPr>
            <w:tcW w:w="631" w:type="pct"/>
            <w:tcBorders>
              <w:top w:val="nil"/>
              <w:left w:val="nil"/>
              <w:bottom w:val="single" w:sz="4" w:space="0" w:color="auto"/>
              <w:right w:val="single" w:sz="4" w:space="0" w:color="auto"/>
            </w:tcBorders>
            <w:noWrap/>
            <w:vAlign w:val="bottom"/>
            <w:hideMark/>
          </w:tcPr>
          <w:p w14:paraId="077FD7AE"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2.49</w:t>
            </w:r>
          </w:p>
        </w:tc>
        <w:tc>
          <w:tcPr>
            <w:tcW w:w="631" w:type="pct"/>
            <w:tcBorders>
              <w:top w:val="nil"/>
              <w:left w:val="nil"/>
              <w:bottom w:val="single" w:sz="4" w:space="0" w:color="auto"/>
              <w:right w:val="single" w:sz="4" w:space="0" w:color="auto"/>
            </w:tcBorders>
            <w:noWrap/>
            <w:vAlign w:val="bottom"/>
            <w:hideMark/>
          </w:tcPr>
          <w:p w14:paraId="4E81D89F"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2.18</w:t>
            </w:r>
          </w:p>
        </w:tc>
        <w:tc>
          <w:tcPr>
            <w:tcW w:w="631" w:type="pct"/>
            <w:tcBorders>
              <w:top w:val="nil"/>
              <w:left w:val="nil"/>
              <w:bottom w:val="single" w:sz="4" w:space="0" w:color="auto"/>
              <w:right w:val="single" w:sz="4" w:space="0" w:color="auto"/>
            </w:tcBorders>
            <w:noWrap/>
            <w:vAlign w:val="bottom"/>
            <w:hideMark/>
          </w:tcPr>
          <w:p w14:paraId="66601E41"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2.21</w:t>
            </w:r>
          </w:p>
        </w:tc>
        <w:tc>
          <w:tcPr>
            <w:tcW w:w="631" w:type="pct"/>
            <w:tcBorders>
              <w:top w:val="nil"/>
              <w:left w:val="nil"/>
              <w:bottom w:val="single" w:sz="4" w:space="0" w:color="auto"/>
              <w:right w:val="single" w:sz="4" w:space="0" w:color="auto"/>
            </w:tcBorders>
            <w:noWrap/>
            <w:vAlign w:val="bottom"/>
            <w:hideMark/>
          </w:tcPr>
          <w:p w14:paraId="1075A34B"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2.15</w:t>
            </w:r>
          </w:p>
        </w:tc>
        <w:tc>
          <w:tcPr>
            <w:tcW w:w="631" w:type="pct"/>
            <w:tcBorders>
              <w:top w:val="nil"/>
              <w:left w:val="nil"/>
              <w:bottom w:val="single" w:sz="4" w:space="0" w:color="auto"/>
              <w:right w:val="single" w:sz="4" w:space="0" w:color="auto"/>
            </w:tcBorders>
            <w:noWrap/>
            <w:vAlign w:val="bottom"/>
            <w:hideMark/>
          </w:tcPr>
          <w:p w14:paraId="0C063B82"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2.03</w:t>
            </w:r>
          </w:p>
        </w:tc>
        <w:tc>
          <w:tcPr>
            <w:tcW w:w="146" w:type="pct"/>
            <w:vAlign w:val="center"/>
            <w:hideMark/>
          </w:tcPr>
          <w:p w14:paraId="662593BC" w14:textId="77777777" w:rsidR="00C64F6A" w:rsidRPr="00E55166" w:rsidRDefault="00C64F6A" w:rsidP="009463F3">
            <w:pPr>
              <w:spacing w:after="0" w:line="240" w:lineRule="auto"/>
              <w:jc w:val="left"/>
              <w:rPr>
                <w:rFonts w:ascii="Times New Roman" w:eastAsia="Times New Roman" w:hAnsi="Times New Roman" w:cs="Times New Roman"/>
                <w:kern w:val="0"/>
                <w:sz w:val="20"/>
                <w:szCs w:val="20"/>
                <w:lang w:val="en-US"/>
                <w14:ligatures w14:val="none"/>
              </w:rPr>
            </w:pPr>
          </w:p>
        </w:tc>
      </w:tr>
      <w:tr w:rsidR="00C64F6A" w:rsidRPr="00E55166" w14:paraId="71EBA912" w14:textId="77777777" w:rsidTr="009463F3">
        <w:trPr>
          <w:trHeight w:val="300"/>
        </w:trPr>
        <w:tc>
          <w:tcPr>
            <w:tcW w:w="1697" w:type="pct"/>
            <w:tcBorders>
              <w:top w:val="nil"/>
              <w:left w:val="single" w:sz="4" w:space="0" w:color="auto"/>
              <w:bottom w:val="single" w:sz="4" w:space="0" w:color="auto"/>
              <w:right w:val="single" w:sz="4" w:space="0" w:color="auto"/>
            </w:tcBorders>
            <w:noWrap/>
            <w:vAlign w:val="bottom"/>
            <w:hideMark/>
          </w:tcPr>
          <w:p w14:paraId="31823FBF" w14:textId="77777777" w:rsidR="00C64F6A" w:rsidRPr="00E55166"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Cash Ratio</w:t>
            </w:r>
          </w:p>
        </w:tc>
        <w:tc>
          <w:tcPr>
            <w:tcW w:w="631" w:type="pct"/>
            <w:tcBorders>
              <w:top w:val="nil"/>
              <w:left w:val="nil"/>
              <w:bottom w:val="single" w:sz="4" w:space="0" w:color="auto"/>
              <w:right w:val="single" w:sz="4" w:space="0" w:color="auto"/>
            </w:tcBorders>
            <w:noWrap/>
            <w:vAlign w:val="bottom"/>
            <w:hideMark/>
          </w:tcPr>
          <w:p w14:paraId="6CD44525"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0.32</w:t>
            </w:r>
          </w:p>
        </w:tc>
        <w:tc>
          <w:tcPr>
            <w:tcW w:w="631" w:type="pct"/>
            <w:tcBorders>
              <w:top w:val="nil"/>
              <w:left w:val="nil"/>
              <w:bottom w:val="single" w:sz="4" w:space="0" w:color="auto"/>
              <w:right w:val="single" w:sz="4" w:space="0" w:color="auto"/>
            </w:tcBorders>
            <w:noWrap/>
            <w:vAlign w:val="bottom"/>
            <w:hideMark/>
          </w:tcPr>
          <w:p w14:paraId="266D9694"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0.28</w:t>
            </w:r>
          </w:p>
        </w:tc>
        <w:tc>
          <w:tcPr>
            <w:tcW w:w="631" w:type="pct"/>
            <w:tcBorders>
              <w:top w:val="nil"/>
              <w:left w:val="nil"/>
              <w:bottom w:val="single" w:sz="4" w:space="0" w:color="auto"/>
              <w:right w:val="single" w:sz="4" w:space="0" w:color="auto"/>
            </w:tcBorders>
            <w:noWrap/>
            <w:vAlign w:val="bottom"/>
            <w:hideMark/>
          </w:tcPr>
          <w:p w14:paraId="5536623D"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0.31</w:t>
            </w:r>
          </w:p>
        </w:tc>
        <w:tc>
          <w:tcPr>
            <w:tcW w:w="631" w:type="pct"/>
            <w:tcBorders>
              <w:top w:val="nil"/>
              <w:left w:val="nil"/>
              <w:bottom w:val="single" w:sz="4" w:space="0" w:color="auto"/>
              <w:right w:val="single" w:sz="4" w:space="0" w:color="auto"/>
            </w:tcBorders>
            <w:noWrap/>
            <w:vAlign w:val="bottom"/>
            <w:hideMark/>
          </w:tcPr>
          <w:p w14:paraId="22639A06"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0.27</w:t>
            </w:r>
          </w:p>
        </w:tc>
        <w:tc>
          <w:tcPr>
            <w:tcW w:w="631" w:type="pct"/>
            <w:tcBorders>
              <w:top w:val="nil"/>
              <w:left w:val="nil"/>
              <w:bottom w:val="single" w:sz="4" w:space="0" w:color="auto"/>
              <w:right w:val="single" w:sz="4" w:space="0" w:color="auto"/>
            </w:tcBorders>
            <w:noWrap/>
            <w:vAlign w:val="bottom"/>
            <w:hideMark/>
          </w:tcPr>
          <w:p w14:paraId="6218A62E"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0.17</w:t>
            </w:r>
          </w:p>
        </w:tc>
        <w:tc>
          <w:tcPr>
            <w:tcW w:w="146" w:type="pct"/>
            <w:vAlign w:val="center"/>
            <w:hideMark/>
          </w:tcPr>
          <w:p w14:paraId="66AC0FEB" w14:textId="77777777" w:rsidR="00C64F6A" w:rsidRPr="00E55166" w:rsidRDefault="00C64F6A" w:rsidP="009463F3">
            <w:pPr>
              <w:spacing w:after="0" w:line="240" w:lineRule="auto"/>
              <w:jc w:val="left"/>
              <w:rPr>
                <w:rFonts w:ascii="Times New Roman" w:eastAsia="Times New Roman" w:hAnsi="Times New Roman" w:cs="Times New Roman"/>
                <w:kern w:val="0"/>
                <w:sz w:val="20"/>
                <w:szCs w:val="20"/>
                <w:lang w:val="en-US"/>
                <w14:ligatures w14:val="none"/>
              </w:rPr>
            </w:pPr>
          </w:p>
        </w:tc>
      </w:tr>
      <w:tr w:rsidR="00C64F6A" w:rsidRPr="00E55166" w14:paraId="5C95E235" w14:textId="77777777" w:rsidTr="009463F3">
        <w:trPr>
          <w:trHeight w:val="300"/>
        </w:trPr>
        <w:tc>
          <w:tcPr>
            <w:tcW w:w="1697" w:type="pct"/>
            <w:tcBorders>
              <w:top w:val="nil"/>
              <w:left w:val="single" w:sz="4" w:space="0" w:color="auto"/>
              <w:bottom w:val="single" w:sz="4" w:space="0" w:color="auto"/>
              <w:right w:val="single" w:sz="4" w:space="0" w:color="auto"/>
            </w:tcBorders>
            <w:noWrap/>
            <w:vAlign w:val="bottom"/>
            <w:hideMark/>
          </w:tcPr>
          <w:p w14:paraId="78C21DA8" w14:textId="77777777" w:rsidR="00C64F6A" w:rsidRPr="00E55166"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Efficiency Ratios</w:t>
            </w:r>
          </w:p>
        </w:tc>
        <w:tc>
          <w:tcPr>
            <w:tcW w:w="631" w:type="pct"/>
            <w:tcBorders>
              <w:top w:val="nil"/>
              <w:left w:val="nil"/>
              <w:bottom w:val="single" w:sz="4" w:space="0" w:color="auto"/>
              <w:right w:val="single" w:sz="4" w:space="0" w:color="auto"/>
            </w:tcBorders>
            <w:noWrap/>
            <w:vAlign w:val="bottom"/>
            <w:hideMark/>
          </w:tcPr>
          <w:p w14:paraId="49F8BBA1"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2020</w:t>
            </w:r>
          </w:p>
        </w:tc>
        <w:tc>
          <w:tcPr>
            <w:tcW w:w="631" w:type="pct"/>
            <w:tcBorders>
              <w:top w:val="nil"/>
              <w:left w:val="nil"/>
              <w:bottom w:val="single" w:sz="4" w:space="0" w:color="auto"/>
              <w:right w:val="single" w:sz="4" w:space="0" w:color="auto"/>
            </w:tcBorders>
            <w:noWrap/>
            <w:vAlign w:val="bottom"/>
            <w:hideMark/>
          </w:tcPr>
          <w:p w14:paraId="6642E43B"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2021</w:t>
            </w:r>
          </w:p>
        </w:tc>
        <w:tc>
          <w:tcPr>
            <w:tcW w:w="631" w:type="pct"/>
            <w:tcBorders>
              <w:top w:val="nil"/>
              <w:left w:val="nil"/>
              <w:bottom w:val="single" w:sz="4" w:space="0" w:color="auto"/>
              <w:right w:val="single" w:sz="4" w:space="0" w:color="auto"/>
            </w:tcBorders>
            <w:noWrap/>
            <w:vAlign w:val="bottom"/>
            <w:hideMark/>
          </w:tcPr>
          <w:p w14:paraId="2F3A95FC"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2022</w:t>
            </w:r>
          </w:p>
        </w:tc>
        <w:tc>
          <w:tcPr>
            <w:tcW w:w="631" w:type="pct"/>
            <w:tcBorders>
              <w:top w:val="nil"/>
              <w:left w:val="nil"/>
              <w:bottom w:val="single" w:sz="4" w:space="0" w:color="auto"/>
              <w:right w:val="single" w:sz="4" w:space="0" w:color="auto"/>
            </w:tcBorders>
            <w:noWrap/>
            <w:vAlign w:val="bottom"/>
            <w:hideMark/>
          </w:tcPr>
          <w:p w14:paraId="7598A342"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2023</w:t>
            </w:r>
          </w:p>
        </w:tc>
        <w:tc>
          <w:tcPr>
            <w:tcW w:w="631" w:type="pct"/>
            <w:tcBorders>
              <w:top w:val="nil"/>
              <w:left w:val="nil"/>
              <w:bottom w:val="single" w:sz="4" w:space="0" w:color="auto"/>
              <w:right w:val="single" w:sz="4" w:space="0" w:color="auto"/>
            </w:tcBorders>
            <w:noWrap/>
            <w:vAlign w:val="bottom"/>
            <w:hideMark/>
          </w:tcPr>
          <w:p w14:paraId="7BBC1C73"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2024</w:t>
            </w:r>
          </w:p>
        </w:tc>
        <w:tc>
          <w:tcPr>
            <w:tcW w:w="146" w:type="pct"/>
            <w:vAlign w:val="center"/>
            <w:hideMark/>
          </w:tcPr>
          <w:p w14:paraId="7A9C632E" w14:textId="77777777" w:rsidR="00C64F6A" w:rsidRPr="00E55166" w:rsidRDefault="00C64F6A" w:rsidP="009463F3">
            <w:pPr>
              <w:spacing w:after="0" w:line="240" w:lineRule="auto"/>
              <w:jc w:val="left"/>
              <w:rPr>
                <w:rFonts w:ascii="Times New Roman" w:eastAsia="Times New Roman" w:hAnsi="Times New Roman" w:cs="Times New Roman"/>
                <w:kern w:val="0"/>
                <w:sz w:val="20"/>
                <w:szCs w:val="20"/>
                <w:lang w:val="en-US"/>
                <w14:ligatures w14:val="none"/>
              </w:rPr>
            </w:pPr>
          </w:p>
        </w:tc>
      </w:tr>
      <w:tr w:rsidR="00C64F6A" w:rsidRPr="00E55166" w14:paraId="487643EA" w14:textId="77777777" w:rsidTr="009463F3">
        <w:trPr>
          <w:trHeight w:val="300"/>
        </w:trPr>
        <w:tc>
          <w:tcPr>
            <w:tcW w:w="1697" w:type="pct"/>
            <w:tcBorders>
              <w:top w:val="nil"/>
              <w:left w:val="single" w:sz="4" w:space="0" w:color="auto"/>
              <w:bottom w:val="single" w:sz="4" w:space="0" w:color="auto"/>
              <w:right w:val="single" w:sz="4" w:space="0" w:color="auto"/>
            </w:tcBorders>
            <w:noWrap/>
            <w:vAlign w:val="bottom"/>
            <w:hideMark/>
          </w:tcPr>
          <w:p w14:paraId="7D13E6E3" w14:textId="77777777" w:rsidR="00C64F6A" w:rsidRPr="00E55166"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Inventory Turnover</w:t>
            </w:r>
          </w:p>
        </w:tc>
        <w:tc>
          <w:tcPr>
            <w:tcW w:w="631" w:type="pct"/>
            <w:tcBorders>
              <w:top w:val="nil"/>
              <w:left w:val="nil"/>
              <w:bottom w:val="single" w:sz="4" w:space="0" w:color="auto"/>
              <w:right w:val="single" w:sz="4" w:space="0" w:color="auto"/>
            </w:tcBorders>
            <w:noWrap/>
            <w:vAlign w:val="bottom"/>
            <w:hideMark/>
          </w:tcPr>
          <w:p w14:paraId="7F8D9849"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3.64</w:t>
            </w:r>
          </w:p>
        </w:tc>
        <w:tc>
          <w:tcPr>
            <w:tcW w:w="631" w:type="pct"/>
            <w:tcBorders>
              <w:top w:val="nil"/>
              <w:left w:val="nil"/>
              <w:bottom w:val="single" w:sz="4" w:space="0" w:color="auto"/>
              <w:right w:val="single" w:sz="4" w:space="0" w:color="auto"/>
            </w:tcBorders>
            <w:noWrap/>
            <w:vAlign w:val="bottom"/>
            <w:hideMark/>
          </w:tcPr>
          <w:p w14:paraId="7618123E"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3.19</w:t>
            </w:r>
          </w:p>
        </w:tc>
        <w:tc>
          <w:tcPr>
            <w:tcW w:w="631" w:type="pct"/>
            <w:tcBorders>
              <w:top w:val="nil"/>
              <w:left w:val="nil"/>
              <w:bottom w:val="single" w:sz="4" w:space="0" w:color="auto"/>
              <w:right w:val="single" w:sz="4" w:space="0" w:color="auto"/>
            </w:tcBorders>
            <w:noWrap/>
            <w:vAlign w:val="bottom"/>
            <w:hideMark/>
          </w:tcPr>
          <w:p w14:paraId="1480B9C1"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2.79</w:t>
            </w:r>
          </w:p>
        </w:tc>
        <w:tc>
          <w:tcPr>
            <w:tcW w:w="631" w:type="pct"/>
            <w:tcBorders>
              <w:top w:val="nil"/>
              <w:left w:val="nil"/>
              <w:bottom w:val="single" w:sz="4" w:space="0" w:color="auto"/>
              <w:right w:val="single" w:sz="4" w:space="0" w:color="auto"/>
            </w:tcBorders>
            <w:noWrap/>
            <w:vAlign w:val="bottom"/>
            <w:hideMark/>
          </w:tcPr>
          <w:p w14:paraId="2962E3E0"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3.66</w:t>
            </w:r>
          </w:p>
        </w:tc>
        <w:tc>
          <w:tcPr>
            <w:tcW w:w="631" w:type="pct"/>
            <w:tcBorders>
              <w:top w:val="nil"/>
              <w:left w:val="nil"/>
              <w:bottom w:val="single" w:sz="4" w:space="0" w:color="auto"/>
              <w:right w:val="single" w:sz="4" w:space="0" w:color="auto"/>
            </w:tcBorders>
            <w:noWrap/>
            <w:vAlign w:val="bottom"/>
            <w:hideMark/>
          </w:tcPr>
          <w:p w14:paraId="51CCDC25"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3.54</w:t>
            </w:r>
          </w:p>
        </w:tc>
        <w:tc>
          <w:tcPr>
            <w:tcW w:w="146" w:type="pct"/>
            <w:vAlign w:val="center"/>
            <w:hideMark/>
          </w:tcPr>
          <w:p w14:paraId="3B265421" w14:textId="77777777" w:rsidR="00C64F6A" w:rsidRPr="00E55166" w:rsidRDefault="00C64F6A" w:rsidP="009463F3">
            <w:pPr>
              <w:spacing w:after="0" w:line="240" w:lineRule="auto"/>
              <w:jc w:val="left"/>
              <w:rPr>
                <w:rFonts w:ascii="Times New Roman" w:eastAsia="Times New Roman" w:hAnsi="Times New Roman" w:cs="Times New Roman"/>
                <w:kern w:val="0"/>
                <w:sz w:val="20"/>
                <w:szCs w:val="20"/>
                <w:lang w:val="en-US"/>
                <w14:ligatures w14:val="none"/>
              </w:rPr>
            </w:pPr>
          </w:p>
        </w:tc>
      </w:tr>
      <w:tr w:rsidR="00C64F6A" w:rsidRPr="00E55166" w14:paraId="2F9BA4B6" w14:textId="77777777" w:rsidTr="009463F3">
        <w:trPr>
          <w:trHeight w:val="300"/>
        </w:trPr>
        <w:tc>
          <w:tcPr>
            <w:tcW w:w="1697" w:type="pct"/>
            <w:tcBorders>
              <w:top w:val="nil"/>
              <w:left w:val="single" w:sz="4" w:space="0" w:color="auto"/>
              <w:bottom w:val="single" w:sz="4" w:space="0" w:color="auto"/>
              <w:right w:val="single" w:sz="4" w:space="0" w:color="auto"/>
            </w:tcBorders>
            <w:noWrap/>
            <w:vAlign w:val="bottom"/>
            <w:hideMark/>
          </w:tcPr>
          <w:p w14:paraId="7C183E3F" w14:textId="77777777" w:rsidR="00C64F6A" w:rsidRPr="00E55166"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Receivables Turnover</w:t>
            </w:r>
          </w:p>
        </w:tc>
        <w:tc>
          <w:tcPr>
            <w:tcW w:w="631" w:type="pct"/>
            <w:tcBorders>
              <w:top w:val="nil"/>
              <w:left w:val="nil"/>
              <w:bottom w:val="single" w:sz="4" w:space="0" w:color="auto"/>
              <w:right w:val="single" w:sz="4" w:space="0" w:color="auto"/>
            </w:tcBorders>
            <w:noWrap/>
            <w:vAlign w:val="bottom"/>
            <w:hideMark/>
          </w:tcPr>
          <w:p w14:paraId="4918F9B6"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4.75</w:t>
            </w:r>
          </w:p>
        </w:tc>
        <w:tc>
          <w:tcPr>
            <w:tcW w:w="631" w:type="pct"/>
            <w:tcBorders>
              <w:top w:val="nil"/>
              <w:left w:val="nil"/>
              <w:bottom w:val="single" w:sz="4" w:space="0" w:color="auto"/>
              <w:right w:val="single" w:sz="4" w:space="0" w:color="auto"/>
            </w:tcBorders>
            <w:noWrap/>
            <w:vAlign w:val="bottom"/>
            <w:hideMark/>
          </w:tcPr>
          <w:p w14:paraId="5E309AA6"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4.66</w:t>
            </w:r>
          </w:p>
        </w:tc>
        <w:tc>
          <w:tcPr>
            <w:tcW w:w="631" w:type="pct"/>
            <w:tcBorders>
              <w:top w:val="nil"/>
              <w:left w:val="nil"/>
              <w:bottom w:val="single" w:sz="4" w:space="0" w:color="auto"/>
              <w:right w:val="single" w:sz="4" w:space="0" w:color="auto"/>
            </w:tcBorders>
            <w:noWrap/>
            <w:vAlign w:val="bottom"/>
            <w:hideMark/>
          </w:tcPr>
          <w:p w14:paraId="09A9C2DA"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4.83</w:t>
            </w:r>
          </w:p>
        </w:tc>
        <w:tc>
          <w:tcPr>
            <w:tcW w:w="631" w:type="pct"/>
            <w:tcBorders>
              <w:top w:val="nil"/>
              <w:left w:val="nil"/>
              <w:bottom w:val="single" w:sz="4" w:space="0" w:color="auto"/>
              <w:right w:val="single" w:sz="4" w:space="0" w:color="auto"/>
            </w:tcBorders>
            <w:noWrap/>
            <w:vAlign w:val="bottom"/>
            <w:hideMark/>
          </w:tcPr>
          <w:p w14:paraId="50A4D1ED"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3.73</w:t>
            </w:r>
          </w:p>
        </w:tc>
        <w:tc>
          <w:tcPr>
            <w:tcW w:w="631" w:type="pct"/>
            <w:tcBorders>
              <w:top w:val="nil"/>
              <w:left w:val="nil"/>
              <w:bottom w:val="single" w:sz="4" w:space="0" w:color="auto"/>
              <w:right w:val="single" w:sz="4" w:space="0" w:color="auto"/>
            </w:tcBorders>
            <w:noWrap/>
            <w:vAlign w:val="bottom"/>
            <w:hideMark/>
          </w:tcPr>
          <w:p w14:paraId="5E165BCB"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3.46</w:t>
            </w:r>
          </w:p>
        </w:tc>
        <w:tc>
          <w:tcPr>
            <w:tcW w:w="146" w:type="pct"/>
            <w:vAlign w:val="center"/>
            <w:hideMark/>
          </w:tcPr>
          <w:p w14:paraId="1ACC6DC3" w14:textId="77777777" w:rsidR="00C64F6A" w:rsidRPr="00E55166" w:rsidRDefault="00C64F6A" w:rsidP="009463F3">
            <w:pPr>
              <w:spacing w:after="0" w:line="240" w:lineRule="auto"/>
              <w:jc w:val="left"/>
              <w:rPr>
                <w:rFonts w:ascii="Times New Roman" w:eastAsia="Times New Roman" w:hAnsi="Times New Roman" w:cs="Times New Roman"/>
                <w:kern w:val="0"/>
                <w:sz w:val="20"/>
                <w:szCs w:val="20"/>
                <w:lang w:val="en-US"/>
                <w14:ligatures w14:val="none"/>
              </w:rPr>
            </w:pPr>
          </w:p>
        </w:tc>
      </w:tr>
      <w:tr w:rsidR="00C64F6A" w:rsidRPr="00E55166" w14:paraId="57560CB2" w14:textId="77777777" w:rsidTr="009463F3">
        <w:trPr>
          <w:trHeight w:val="300"/>
        </w:trPr>
        <w:tc>
          <w:tcPr>
            <w:tcW w:w="1697" w:type="pct"/>
            <w:tcBorders>
              <w:top w:val="nil"/>
              <w:left w:val="single" w:sz="4" w:space="0" w:color="auto"/>
              <w:bottom w:val="single" w:sz="4" w:space="0" w:color="auto"/>
              <w:right w:val="single" w:sz="4" w:space="0" w:color="auto"/>
            </w:tcBorders>
            <w:noWrap/>
            <w:vAlign w:val="bottom"/>
            <w:hideMark/>
          </w:tcPr>
          <w:p w14:paraId="010AAFEA" w14:textId="77777777" w:rsidR="00C64F6A" w:rsidRPr="00E55166"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Total Asset Turnover</w:t>
            </w:r>
          </w:p>
        </w:tc>
        <w:tc>
          <w:tcPr>
            <w:tcW w:w="631" w:type="pct"/>
            <w:tcBorders>
              <w:top w:val="nil"/>
              <w:left w:val="nil"/>
              <w:bottom w:val="single" w:sz="4" w:space="0" w:color="auto"/>
              <w:right w:val="single" w:sz="4" w:space="0" w:color="auto"/>
            </w:tcBorders>
            <w:noWrap/>
            <w:vAlign w:val="bottom"/>
            <w:hideMark/>
          </w:tcPr>
          <w:p w14:paraId="120B56AA"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1.20</w:t>
            </w:r>
          </w:p>
        </w:tc>
        <w:tc>
          <w:tcPr>
            <w:tcW w:w="631" w:type="pct"/>
            <w:tcBorders>
              <w:top w:val="nil"/>
              <w:left w:val="nil"/>
              <w:bottom w:val="single" w:sz="4" w:space="0" w:color="auto"/>
              <w:right w:val="single" w:sz="4" w:space="0" w:color="auto"/>
            </w:tcBorders>
            <w:noWrap/>
            <w:vAlign w:val="bottom"/>
            <w:hideMark/>
          </w:tcPr>
          <w:p w14:paraId="58086324"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1.18</w:t>
            </w:r>
          </w:p>
        </w:tc>
        <w:tc>
          <w:tcPr>
            <w:tcW w:w="631" w:type="pct"/>
            <w:tcBorders>
              <w:top w:val="nil"/>
              <w:left w:val="nil"/>
              <w:bottom w:val="single" w:sz="4" w:space="0" w:color="auto"/>
              <w:right w:val="single" w:sz="4" w:space="0" w:color="auto"/>
            </w:tcBorders>
            <w:noWrap/>
            <w:vAlign w:val="bottom"/>
            <w:hideMark/>
          </w:tcPr>
          <w:p w14:paraId="54D047F0"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1.08</w:t>
            </w:r>
          </w:p>
        </w:tc>
        <w:tc>
          <w:tcPr>
            <w:tcW w:w="631" w:type="pct"/>
            <w:tcBorders>
              <w:top w:val="nil"/>
              <w:left w:val="nil"/>
              <w:bottom w:val="single" w:sz="4" w:space="0" w:color="auto"/>
              <w:right w:val="single" w:sz="4" w:space="0" w:color="auto"/>
            </w:tcBorders>
            <w:noWrap/>
            <w:vAlign w:val="bottom"/>
            <w:hideMark/>
          </w:tcPr>
          <w:p w14:paraId="55649AE7"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1.18</w:t>
            </w:r>
          </w:p>
        </w:tc>
        <w:tc>
          <w:tcPr>
            <w:tcW w:w="631" w:type="pct"/>
            <w:tcBorders>
              <w:top w:val="nil"/>
              <w:left w:val="nil"/>
              <w:bottom w:val="single" w:sz="4" w:space="0" w:color="auto"/>
              <w:right w:val="single" w:sz="4" w:space="0" w:color="auto"/>
            </w:tcBorders>
            <w:noWrap/>
            <w:vAlign w:val="bottom"/>
            <w:hideMark/>
          </w:tcPr>
          <w:p w14:paraId="0F976C28"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1.22</w:t>
            </w:r>
          </w:p>
        </w:tc>
        <w:tc>
          <w:tcPr>
            <w:tcW w:w="146" w:type="pct"/>
            <w:vAlign w:val="center"/>
            <w:hideMark/>
          </w:tcPr>
          <w:p w14:paraId="3F1D0503" w14:textId="77777777" w:rsidR="00C64F6A" w:rsidRPr="00E55166" w:rsidRDefault="00C64F6A" w:rsidP="009463F3">
            <w:pPr>
              <w:spacing w:after="0" w:line="240" w:lineRule="auto"/>
              <w:jc w:val="left"/>
              <w:rPr>
                <w:rFonts w:ascii="Times New Roman" w:eastAsia="Times New Roman" w:hAnsi="Times New Roman" w:cs="Times New Roman"/>
                <w:kern w:val="0"/>
                <w:sz w:val="20"/>
                <w:szCs w:val="20"/>
                <w:lang w:val="en-US"/>
                <w14:ligatures w14:val="none"/>
              </w:rPr>
            </w:pPr>
          </w:p>
        </w:tc>
      </w:tr>
      <w:tr w:rsidR="00C64F6A" w:rsidRPr="00E55166" w14:paraId="5ABBF19A" w14:textId="77777777" w:rsidTr="009463F3">
        <w:trPr>
          <w:trHeight w:val="300"/>
        </w:trPr>
        <w:tc>
          <w:tcPr>
            <w:tcW w:w="1697" w:type="pct"/>
            <w:tcBorders>
              <w:top w:val="nil"/>
              <w:left w:val="single" w:sz="4" w:space="0" w:color="auto"/>
              <w:bottom w:val="single" w:sz="4" w:space="0" w:color="auto"/>
              <w:right w:val="single" w:sz="4" w:space="0" w:color="auto"/>
            </w:tcBorders>
            <w:noWrap/>
            <w:vAlign w:val="bottom"/>
            <w:hideMark/>
          </w:tcPr>
          <w:p w14:paraId="1B31E2E1" w14:textId="77777777" w:rsidR="00C64F6A" w:rsidRPr="00E55166"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Gearing (Solvency) Ratios</w:t>
            </w:r>
          </w:p>
        </w:tc>
        <w:tc>
          <w:tcPr>
            <w:tcW w:w="631" w:type="pct"/>
            <w:tcBorders>
              <w:top w:val="nil"/>
              <w:left w:val="nil"/>
              <w:bottom w:val="single" w:sz="4" w:space="0" w:color="auto"/>
              <w:right w:val="single" w:sz="4" w:space="0" w:color="auto"/>
            </w:tcBorders>
            <w:noWrap/>
            <w:vAlign w:val="bottom"/>
            <w:hideMark/>
          </w:tcPr>
          <w:p w14:paraId="63D99FE3"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2020</w:t>
            </w:r>
          </w:p>
        </w:tc>
        <w:tc>
          <w:tcPr>
            <w:tcW w:w="631" w:type="pct"/>
            <w:tcBorders>
              <w:top w:val="nil"/>
              <w:left w:val="nil"/>
              <w:bottom w:val="single" w:sz="4" w:space="0" w:color="auto"/>
              <w:right w:val="single" w:sz="4" w:space="0" w:color="auto"/>
            </w:tcBorders>
            <w:noWrap/>
            <w:vAlign w:val="bottom"/>
            <w:hideMark/>
          </w:tcPr>
          <w:p w14:paraId="2ED7B29D"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2021</w:t>
            </w:r>
          </w:p>
        </w:tc>
        <w:tc>
          <w:tcPr>
            <w:tcW w:w="631" w:type="pct"/>
            <w:tcBorders>
              <w:top w:val="nil"/>
              <w:left w:val="nil"/>
              <w:bottom w:val="single" w:sz="4" w:space="0" w:color="auto"/>
              <w:right w:val="single" w:sz="4" w:space="0" w:color="auto"/>
            </w:tcBorders>
            <w:noWrap/>
            <w:vAlign w:val="bottom"/>
            <w:hideMark/>
          </w:tcPr>
          <w:p w14:paraId="23EC0123"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2022</w:t>
            </w:r>
          </w:p>
        </w:tc>
        <w:tc>
          <w:tcPr>
            <w:tcW w:w="631" w:type="pct"/>
            <w:tcBorders>
              <w:top w:val="nil"/>
              <w:left w:val="nil"/>
              <w:bottom w:val="single" w:sz="4" w:space="0" w:color="auto"/>
              <w:right w:val="single" w:sz="4" w:space="0" w:color="auto"/>
            </w:tcBorders>
            <w:noWrap/>
            <w:vAlign w:val="bottom"/>
            <w:hideMark/>
          </w:tcPr>
          <w:p w14:paraId="2FF455DC"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2023</w:t>
            </w:r>
          </w:p>
        </w:tc>
        <w:tc>
          <w:tcPr>
            <w:tcW w:w="631" w:type="pct"/>
            <w:tcBorders>
              <w:top w:val="nil"/>
              <w:left w:val="nil"/>
              <w:bottom w:val="single" w:sz="4" w:space="0" w:color="auto"/>
              <w:right w:val="single" w:sz="4" w:space="0" w:color="auto"/>
            </w:tcBorders>
            <w:noWrap/>
            <w:vAlign w:val="bottom"/>
            <w:hideMark/>
          </w:tcPr>
          <w:p w14:paraId="4B8EB0F6"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2024</w:t>
            </w:r>
          </w:p>
        </w:tc>
        <w:tc>
          <w:tcPr>
            <w:tcW w:w="146" w:type="pct"/>
            <w:vAlign w:val="center"/>
            <w:hideMark/>
          </w:tcPr>
          <w:p w14:paraId="3C27B79E" w14:textId="77777777" w:rsidR="00C64F6A" w:rsidRPr="00E55166" w:rsidRDefault="00C64F6A" w:rsidP="009463F3">
            <w:pPr>
              <w:spacing w:after="0" w:line="240" w:lineRule="auto"/>
              <w:jc w:val="left"/>
              <w:rPr>
                <w:rFonts w:ascii="Times New Roman" w:eastAsia="Times New Roman" w:hAnsi="Times New Roman" w:cs="Times New Roman"/>
                <w:kern w:val="0"/>
                <w:sz w:val="20"/>
                <w:szCs w:val="20"/>
                <w:lang w:val="en-US"/>
                <w14:ligatures w14:val="none"/>
              </w:rPr>
            </w:pPr>
          </w:p>
        </w:tc>
      </w:tr>
      <w:tr w:rsidR="00C64F6A" w:rsidRPr="00E55166" w14:paraId="7237A093" w14:textId="77777777" w:rsidTr="009463F3">
        <w:trPr>
          <w:trHeight w:val="300"/>
        </w:trPr>
        <w:tc>
          <w:tcPr>
            <w:tcW w:w="1697" w:type="pct"/>
            <w:tcBorders>
              <w:top w:val="nil"/>
              <w:left w:val="single" w:sz="4" w:space="0" w:color="auto"/>
              <w:bottom w:val="single" w:sz="4" w:space="0" w:color="auto"/>
              <w:right w:val="single" w:sz="4" w:space="0" w:color="auto"/>
            </w:tcBorders>
            <w:noWrap/>
            <w:vAlign w:val="bottom"/>
            <w:hideMark/>
          </w:tcPr>
          <w:p w14:paraId="77308C8A" w14:textId="77777777" w:rsidR="00C64F6A" w:rsidRPr="00E55166"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Debt to Equity Ratio</w:t>
            </w:r>
          </w:p>
        </w:tc>
        <w:tc>
          <w:tcPr>
            <w:tcW w:w="631" w:type="pct"/>
            <w:tcBorders>
              <w:top w:val="nil"/>
              <w:left w:val="nil"/>
              <w:bottom w:val="single" w:sz="4" w:space="0" w:color="auto"/>
              <w:right w:val="single" w:sz="4" w:space="0" w:color="auto"/>
            </w:tcBorders>
            <w:noWrap/>
            <w:vAlign w:val="bottom"/>
            <w:hideMark/>
          </w:tcPr>
          <w:p w14:paraId="1C8C840B"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0.63</w:t>
            </w:r>
          </w:p>
        </w:tc>
        <w:tc>
          <w:tcPr>
            <w:tcW w:w="631" w:type="pct"/>
            <w:tcBorders>
              <w:top w:val="nil"/>
              <w:left w:val="nil"/>
              <w:bottom w:val="single" w:sz="4" w:space="0" w:color="auto"/>
              <w:right w:val="single" w:sz="4" w:space="0" w:color="auto"/>
            </w:tcBorders>
            <w:noWrap/>
            <w:vAlign w:val="bottom"/>
            <w:hideMark/>
          </w:tcPr>
          <w:p w14:paraId="55B261DA"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0.85</w:t>
            </w:r>
          </w:p>
        </w:tc>
        <w:tc>
          <w:tcPr>
            <w:tcW w:w="631" w:type="pct"/>
            <w:tcBorders>
              <w:top w:val="nil"/>
              <w:left w:val="nil"/>
              <w:bottom w:val="single" w:sz="4" w:space="0" w:color="auto"/>
              <w:right w:val="single" w:sz="4" w:space="0" w:color="auto"/>
            </w:tcBorders>
            <w:noWrap/>
            <w:vAlign w:val="bottom"/>
            <w:hideMark/>
          </w:tcPr>
          <w:p w14:paraId="3760C974"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0.88</w:t>
            </w:r>
          </w:p>
        </w:tc>
        <w:tc>
          <w:tcPr>
            <w:tcW w:w="631" w:type="pct"/>
            <w:tcBorders>
              <w:top w:val="nil"/>
              <w:left w:val="nil"/>
              <w:bottom w:val="single" w:sz="4" w:space="0" w:color="auto"/>
              <w:right w:val="single" w:sz="4" w:space="0" w:color="auto"/>
            </w:tcBorders>
            <w:noWrap/>
            <w:vAlign w:val="bottom"/>
            <w:hideMark/>
          </w:tcPr>
          <w:p w14:paraId="171D3824"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0.99</w:t>
            </w:r>
          </w:p>
        </w:tc>
        <w:tc>
          <w:tcPr>
            <w:tcW w:w="631" w:type="pct"/>
            <w:tcBorders>
              <w:top w:val="nil"/>
              <w:left w:val="nil"/>
              <w:bottom w:val="single" w:sz="4" w:space="0" w:color="auto"/>
              <w:right w:val="single" w:sz="4" w:space="0" w:color="auto"/>
            </w:tcBorders>
            <w:noWrap/>
            <w:vAlign w:val="bottom"/>
            <w:hideMark/>
          </w:tcPr>
          <w:p w14:paraId="56FF7E1D"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1.11</w:t>
            </w:r>
          </w:p>
        </w:tc>
        <w:tc>
          <w:tcPr>
            <w:tcW w:w="146" w:type="pct"/>
            <w:vAlign w:val="center"/>
            <w:hideMark/>
          </w:tcPr>
          <w:p w14:paraId="229611DA" w14:textId="77777777" w:rsidR="00C64F6A" w:rsidRPr="00E55166" w:rsidRDefault="00C64F6A" w:rsidP="009463F3">
            <w:pPr>
              <w:spacing w:after="0" w:line="240" w:lineRule="auto"/>
              <w:jc w:val="left"/>
              <w:rPr>
                <w:rFonts w:ascii="Times New Roman" w:eastAsia="Times New Roman" w:hAnsi="Times New Roman" w:cs="Times New Roman"/>
                <w:kern w:val="0"/>
                <w:sz w:val="20"/>
                <w:szCs w:val="20"/>
                <w:lang w:val="en-US"/>
                <w14:ligatures w14:val="none"/>
              </w:rPr>
            </w:pPr>
          </w:p>
        </w:tc>
      </w:tr>
      <w:tr w:rsidR="00C64F6A" w:rsidRPr="00E55166" w14:paraId="0BF4CD38" w14:textId="77777777" w:rsidTr="009463F3">
        <w:trPr>
          <w:trHeight w:val="300"/>
        </w:trPr>
        <w:tc>
          <w:tcPr>
            <w:tcW w:w="1697" w:type="pct"/>
            <w:tcBorders>
              <w:top w:val="nil"/>
              <w:left w:val="single" w:sz="4" w:space="0" w:color="auto"/>
              <w:bottom w:val="single" w:sz="4" w:space="0" w:color="auto"/>
              <w:right w:val="single" w:sz="4" w:space="0" w:color="auto"/>
            </w:tcBorders>
            <w:noWrap/>
            <w:vAlign w:val="bottom"/>
            <w:hideMark/>
          </w:tcPr>
          <w:p w14:paraId="5B181313" w14:textId="77777777" w:rsidR="00C64F6A" w:rsidRPr="00E55166"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Debt Ratio</w:t>
            </w:r>
          </w:p>
        </w:tc>
        <w:tc>
          <w:tcPr>
            <w:tcW w:w="631" w:type="pct"/>
            <w:tcBorders>
              <w:top w:val="nil"/>
              <w:left w:val="nil"/>
              <w:bottom w:val="single" w:sz="4" w:space="0" w:color="auto"/>
              <w:right w:val="single" w:sz="4" w:space="0" w:color="auto"/>
            </w:tcBorders>
            <w:noWrap/>
            <w:vAlign w:val="bottom"/>
            <w:hideMark/>
          </w:tcPr>
          <w:p w14:paraId="45A09A7E"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0.39</w:t>
            </w:r>
          </w:p>
        </w:tc>
        <w:tc>
          <w:tcPr>
            <w:tcW w:w="631" w:type="pct"/>
            <w:tcBorders>
              <w:top w:val="nil"/>
              <w:left w:val="nil"/>
              <w:bottom w:val="single" w:sz="4" w:space="0" w:color="auto"/>
              <w:right w:val="single" w:sz="4" w:space="0" w:color="auto"/>
            </w:tcBorders>
            <w:noWrap/>
            <w:vAlign w:val="bottom"/>
            <w:hideMark/>
          </w:tcPr>
          <w:p w14:paraId="3D539E67"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0.46</w:t>
            </w:r>
          </w:p>
        </w:tc>
        <w:tc>
          <w:tcPr>
            <w:tcW w:w="631" w:type="pct"/>
            <w:tcBorders>
              <w:top w:val="nil"/>
              <w:left w:val="nil"/>
              <w:bottom w:val="single" w:sz="4" w:space="0" w:color="auto"/>
              <w:right w:val="single" w:sz="4" w:space="0" w:color="auto"/>
            </w:tcBorders>
            <w:noWrap/>
            <w:vAlign w:val="bottom"/>
            <w:hideMark/>
          </w:tcPr>
          <w:p w14:paraId="4BF0ABF6"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0.47</w:t>
            </w:r>
          </w:p>
        </w:tc>
        <w:tc>
          <w:tcPr>
            <w:tcW w:w="631" w:type="pct"/>
            <w:tcBorders>
              <w:top w:val="nil"/>
              <w:left w:val="nil"/>
              <w:bottom w:val="single" w:sz="4" w:space="0" w:color="auto"/>
              <w:right w:val="single" w:sz="4" w:space="0" w:color="auto"/>
            </w:tcBorders>
            <w:noWrap/>
            <w:vAlign w:val="bottom"/>
            <w:hideMark/>
          </w:tcPr>
          <w:p w14:paraId="6B01CE56"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0.50</w:t>
            </w:r>
          </w:p>
        </w:tc>
        <w:tc>
          <w:tcPr>
            <w:tcW w:w="631" w:type="pct"/>
            <w:tcBorders>
              <w:top w:val="nil"/>
              <w:left w:val="nil"/>
              <w:bottom w:val="single" w:sz="4" w:space="0" w:color="auto"/>
              <w:right w:val="single" w:sz="4" w:space="0" w:color="auto"/>
            </w:tcBorders>
            <w:noWrap/>
            <w:vAlign w:val="bottom"/>
            <w:hideMark/>
          </w:tcPr>
          <w:p w14:paraId="3F55AE81"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0.53</w:t>
            </w:r>
          </w:p>
        </w:tc>
        <w:tc>
          <w:tcPr>
            <w:tcW w:w="146" w:type="pct"/>
            <w:vAlign w:val="center"/>
            <w:hideMark/>
          </w:tcPr>
          <w:p w14:paraId="55146F0B" w14:textId="77777777" w:rsidR="00C64F6A" w:rsidRPr="00E55166" w:rsidRDefault="00C64F6A" w:rsidP="009463F3">
            <w:pPr>
              <w:spacing w:after="0" w:line="240" w:lineRule="auto"/>
              <w:jc w:val="left"/>
              <w:rPr>
                <w:rFonts w:ascii="Times New Roman" w:eastAsia="Times New Roman" w:hAnsi="Times New Roman" w:cs="Times New Roman"/>
                <w:kern w:val="0"/>
                <w:sz w:val="20"/>
                <w:szCs w:val="20"/>
                <w:lang w:val="en-US"/>
                <w14:ligatures w14:val="none"/>
              </w:rPr>
            </w:pPr>
          </w:p>
        </w:tc>
      </w:tr>
      <w:tr w:rsidR="00C64F6A" w:rsidRPr="00E55166" w14:paraId="18169A2D" w14:textId="77777777" w:rsidTr="009463F3">
        <w:trPr>
          <w:trHeight w:val="300"/>
        </w:trPr>
        <w:tc>
          <w:tcPr>
            <w:tcW w:w="1697" w:type="pct"/>
            <w:tcBorders>
              <w:top w:val="nil"/>
              <w:left w:val="single" w:sz="4" w:space="0" w:color="auto"/>
              <w:bottom w:val="single" w:sz="4" w:space="0" w:color="auto"/>
              <w:right w:val="single" w:sz="4" w:space="0" w:color="auto"/>
            </w:tcBorders>
            <w:noWrap/>
            <w:vAlign w:val="bottom"/>
            <w:hideMark/>
          </w:tcPr>
          <w:p w14:paraId="4971971D" w14:textId="77777777" w:rsidR="00C64F6A" w:rsidRPr="00E55166"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Equity Ratio</w:t>
            </w:r>
          </w:p>
        </w:tc>
        <w:tc>
          <w:tcPr>
            <w:tcW w:w="631" w:type="pct"/>
            <w:tcBorders>
              <w:top w:val="nil"/>
              <w:left w:val="nil"/>
              <w:bottom w:val="single" w:sz="4" w:space="0" w:color="auto"/>
              <w:right w:val="single" w:sz="4" w:space="0" w:color="auto"/>
            </w:tcBorders>
            <w:noWrap/>
            <w:vAlign w:val="bottom"/>
            <w:hideMark/>
          </w:tcPr>
          <w:p w14:paraId="25BF0F19"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0.61</w:t>
            </w:r>
          </w:p>
        </w:tc>
        <w:tc>
          <w:tcPr>
            <w:tcW w:w="631" w:type="pct"/>
            <w:tcBorders>
              <w:top w:val="nil"/>
              <w:left w:val="nil"/>
              <w:bottom w:val="single" w:sz="4" w:space="0" w:color="auto"/>
              <w:right w:val="single" w:sz="4" w:space="0" w:color="auto"/>
            </w:tcBorders>
            <w:noWrap/>
            <w:vAlign w:val="bottom"/>
            <w:hideMark/>
          </w:tcPr>
          <w:p w14:paraId="2DB30A93"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0.54</w:t>
            </w:r>
          </w:p>
        </w:tc>
        <w:tc>
          <w:tcPr>
            <w:tcW w:w="631" w:type="pct"/>
            <w:tcBorders>
              <w:top w:val="nil"/>
              <w:left w:val="nil"/>
              <w:bottom w:val="single" w:sz="4" w:space="0" w:color="auto"/>
              <w:right w:val="single" w:sz="4" w:space="0" w:color="auto"/>
            </w:tcBorders>
            <w:noWrap/>
            <w:vAlign w:val="bottom"/>
            <w:hideMark/>
          </w:tcPr>
          <w:p w14:paraId="48A970BC"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0.53</w:t>
            </w:r>
          </w:p>
        </w:tc>
        <w:tc>
          <w:tcPr>
            <w:tcW w:w="631" w:type="pct"/>
            <w:tcBorders>
              <w:top w:val="nil"/>
              <w:left w:val="nil"/>
              <w:bottom w:val="single" w:sz="4" w:space="0" w:color="auto"/>
              <w:right w:val="single" w:sz="4" w:space="0" w:color="auto"/>
            </w:tcBorders>
            <w:noWrap/>
            <w:vAlign w:val="bottom"/>
            <w:hideMark/>
          </w:tcPr>
          <w:p w14:paraId="2756B324"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0.50</w:t>
            </w:r>
          </w:p>
        </w:tc>
        <w:tc>
          <w:tcPr>
            <w:tcW w:w="631" w:type="pct"/>
            <w:tcBorders>
              <w:top w:val="nil"/>
              <w:left w:val="nil"/>
              <w:bottom w:val="single" w:sz="4" w:space="0" w:color="auto"/>
              <w:right w:val="single" w:sz="4" w:space="0" w:color="auto"/>
            </w:tcBorders>
            <w:noWrap/>
            <w:vAlign w:val="bottom"/>
            <w:hideMark/>
          </w:tcPr>
          <w:p w14:paraId="4423338F"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0.47</w:t>
            </w:r>
          </w:p>
        </w:tc>
        <w:tc>
          <w:tcPr>
            <w:tcW w:w="146" w:type="pct"/>
            <w:vAlign w:val="center"/>
            <w:hideMark/>
          </w:tcPr>
          <w:p w14:paraId="157DD9BB" w14:textId="77777777" w:rsidR="00C64F6A" w:rsidRPr="00E55166" w:rsidRDefault="00C64F6A" w:rsidP="009463F3">
            <w:pPr>
              <w:spacing w:after="0" w:line="240" w:lineRule="auto"/>
              <w:jc w:val="left"/>
              <w:rPr>
                <w:rFonts w:ascii="Times New Roman" w:eastAsia="Times New Roman" w:hAnsi="Times New Roman" w:cs="Times New Roman"/>
                <w:kern w:val="0"/>
                <w:sz w:val="20"/>
                <w:szCs w:val="20"/>
                <w:lang w:val="en-US"/>
                <w14:ligatures w14:val="none"/>
              </w:rPr>
            </w:pPr>
          </w:p>
        </w:tc>
      </w:tr>
      <w:tr w:rsidR="00C64F6A" w:rsidRPr="00E55166" w14:paraId="46DCDACB" w14:textId="77777777" w:rsidTr="009463F3">
        <w:trPr>
          <w:trHeight w:val="300"/>
        </w:trPr>
        <w:tc>
          <w:tcPr>
            <w:tcW w:w="1697" w:type="pct"/>
            <w:tcBorders>
              <w:top w:val="nil"/>
              <w:left w:val="single" w:sz="4" w:space="0" w:color="auto"/>
              <w:bottom w:val="single" w:sz="4" w:space="0" w:color="auto"/>
              <w:right w:val="single" w:sz="4" w:space="0" w:color="auto"/>
            </w:tcBorders>
            <w:noWrap/>
            <w:vAlign w:val="bottom"/>
            <w:hideMark/>
          </w:tcPr>
          <w:p w14:paraId="36256F83" w14:textId="77777777" w:rsidR="00C64F6A" w:rsidRPr="00E55166"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Interest Coverage Ratio</w:t>
            </w:r>
          </w:p>
        </w:tc>
        <w:tc>
          <w:tcPr>
            <w:tcW w:w="631" w:type="pct"/>
            <w:tcBorders>
              <w:top w:val="nil"/>
              <w:left w:val="nil"/>
              <w:bottom w:val="single" w:sz="4" w:space="0" w:color="auto"/>
              <w:right w:val="single" w:sz="4" w:space="0" w:color="auto"/>
            </w:tcBorders>
            <w:noWrap/>
            <w:vAlign w:val="bottom"/>
            <w:hideMark/>
          </w:tcPr>
          <w:p w14:paraId="5533D326"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26.21</w:t>
            </w:r>
          </w:p>
        </w:tc>
        <w:tc>
          <w:tcPr>
            <w:tcW w:w="631" w:type="pct"/>
            <w:tcBorders>
              <w:top w:val="nil"/>
              <w:left w:val="nil"/>
              <w:bottom w:val="single" w:sz="4" w:space="0" w:color="auto"/>
              <w:right w:val="single" w:sz="4" w:space="0" w:color="auto"/>
            </w:tcBorders>
            <w:noWrap/>
            <w:vAlign w:val="bottom"/>
            <w:hideMark/>
          </w:tcPr>
          <w:p w14:paraId="40383B7C"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41.08</w:t>
            </w:r>
          </w:p>
        </w:tc>
        <w:tc>
          <w:tcPr>
            <w:tcW w:w="631" w:type="pct"/>
            <w:tcBorders>
              <w:top w:val="nil"/>
              <w:left w:val="nil"/>
              <w:bottom w:val="single" w:sz="4" w:space="0" w:color="auto"/>
              <w:right w:val="single" w:sz="4" w:space="0" w:color="auto"/>
            </w:tcBorders>
            <w:noWrap/>
            <w:vAlign w:val="bottom"/>
            <w:hideMark/>
          </w:tcPr>
          <w:p w14:paraId="484EE65A"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6.61</w:t>
            </w:r>
          </w:p>
        </w:tc>
        <w:tc>
          <w:tcPr>
            <w:tcW w:w="631" w:type="pct"/>
            <w:tcBorders>
              <w:top w:val="nil"/>
              <w:left w:val="nil"/>
              <w:bottom w:val="single" w:sz="4" w:space="0" w:color="auto"/>
              <w:right w:val="single" w:sz="4" w:space="0" w:color="auto"/>
            </w:tcBorders>
            <w:noWrap/>
            <w:vAlign w:val="bottom"/>
            <w:hideMark/>
          </w:tcPr>
          <w:p w14:paraId="15E7F087"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-19.69</w:t>
            </w:r>
          </w:p>
        </w:tc>
        <w:tc>
          <w:tcPr>
            <w:tcW w:w="631" w:type="pct"/>
            <w:tcBorders>
              <w:top w:val="nil"/>
              <w:left w:val="nil"/>
              <w:bottom w:val="single" w:sz="4" w:space="0" w:color="auto"/>
              <w:right w:val="single" w:sz="4" w:space="0" w:color="auto"/>
            </w:tcBorders>
            <w:noWrap/>
            <w:vAlign w:val="bottom"/>
            <w:hideMark/>
          </w:tcPr>
          <w:p w14:paraId="7E0318BF"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-4.55</w:t>
            </w:r>
          </w:p>
        </w:tc>
        <w:tc>
          <w:tcPr>
            <w:tcW w:w="146" w:type="pct"/>
            <w:vAlign w:val="center"/>
            <w:hideMark/>
          </w:tcPr>
          <w:p w14:paraId="57D94FF2" w14:textId="77777777" w:rsidR="00C64F6A" w:rsidRPr="00E55166" w:rsidRDefault="00C64F6A" w:rsidP="009463F3">
            <w:pPr>
              <w:spacing w:after="0" w:line="240" w:lineRule="auto"/>
              <w:jc w:val="left"/>
              <w:rPr>
                <w:rFonts w:ascii="Times New Roman" w:eastAsia="Times New Roman" w:hAnsi="Times New Roman" w:cs="Times New Roman"/>
                <w:kern w:val="0"/>
                <w:sz w:val="20"/>
                <w:szCs w:val="20"/>
                <w:lang w:val="en-US"/>
                <w14:ligatures w14:val="none"/>
              </w:rPr>
            </w:pPr>
          </w:p>
        </w:tc>
      </w:tr>
      <w:tr w:rsidR="00C64F6A" w:rsidRPr="00E55166" w14:paraId="01C90E96" w14:textId="77777777" w:rsidTr="009463F3">
        <w:trPr>
          <w:trHeight w:val="300"/>
        </w:trPr>
        <w:tc>
          <w:tcPr>
            <w:tcW w:w="1697" w:type="pct"/>
            <w:tcBorders>
              <w:top w:val="nil"/>
              <w:left w:val="single" w:sz="4" w:space="0" w:color="auto"/>
              <w:bottom w:val="single" w:sz="4" w:space="0" w:color="auto"/>
              <w:right w:val="single" w:sz="4" w:space="0" w:color="auto"/>
            </w:tcBorders>
            <w:noWrap/>
            <w:vAlign w:val="bottom"/>
            <w:hideMark/>
          </w:tcPr>
          <w:p w14:paraId="21C27C75" w14:textId="77777777" w:rsidR="00C64F6A" w:rsidRPr="00E55166"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Investment Ratios</w:t>
            </w:r>
          </w:p>
        </w:tc>
        <w:tc>
          <w:tcPr>
            <w:tcW w:w="631" w:type="pct"/>
            <w:tcBorders>
              <w:top w:val="nil"/>
              <w:left w:val="nil"/>
              <w:bottom w:val="single" w:sz="4" w:space="0" w:color="auto"/>
              <w:right w:val="single" w:sz="4" w:space="0" w:color="auto"/>
            </w:tcBorders>
            <w:noWrap/>
            <w:vAlign w:val="bottom"/>
            <w:hideMark/>
          </w:tcPr>
          <w:p w14:paraId="3D2D5EC2"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2020</w:t>
            </w:r>
          </w:p>
        </w:tc>
        <w:tc>
          <w:tcPr>
            <w:tcW w:w="631" w:type="pct"/>
            <w:tcBorders>
              <w:top w:val="nil"/>
              <w:left w:val="nil"/>
              <w:bottom w:val="single" w:sz="4" w:space="0" w:color="auto"/>
              <w:right w:val="single" w:sz="4" w:space="0" w:color="auto"/>
            </w:tcBorders>
            <w:noWrap/>
            <w:vAlign w:val="bottom"/>
            <w:hideMark/>
          </w:tcPr>
          <w:p w14:paraId="1099128B"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2021</w:t>
            </w:r>
          </w:p>
        </w:tc>
        <w:tc>
          <w:tcPr>
            <w:tcW w:w="631" w:type="pct"/>
            <w:tcBorders>
              <w:top w:val="nil"/>
              <w:left w:val="nil"/>
              <w:bottom w:val="single" w:sz="4" w:space="0" w:color="auto"/>
              <w:right w:val="single" w:sz="4" w:space="0" w:color="auto"/>
            </w:tcBorders>
            <w:noWrap/>
            <w:vAlign w:val="bottom"/>
            <w:hideMark/>
          </w:tcPr>
          <w:p w14:paraId="5B691EB5"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2022</w:t>
            </w:r>
          </w:p>
        </w:tc>
        <w:tc>
          <w:tcPr>
            <w:tcW w:w="631" w:type="pct"/>
            <w:tcBorders>
              <w:top w:val="nil"/>
              <w:left w:val="nil"/>
              <w:bottom w:val="single" w:sz="4" w:space="0" w:color="auto"/>
              <w:right w:val="single" w:sz="4" w:space="0" w:color="auto"/>
            </w:tcBorders>
            <w:noWrap/>
            <w:vAlign w:val="bottom"/>
            <w:hideMark/>
          </w:tcPr>
          <w:p w14:paraId="6ACBF924"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2023</w:t>
            </w:r>
          </w:p>
        </w:tc>
        <w:tc>
          <w:tcPr>
            <w:tcW w:w="631" w:type="pct"/>
            <w:tcBorders>
              <w:top w:val="nil"/>
              <w:left w:val="nil"/>
              <w:bottom w:val="single" w:sz="4" w:space="0" w:color="auto"/>
              <w:right w:val="single" w:sz="4" w:space="0" w:color="auto"/>
            </w:tcBorders>
            <w:noWrap/>
            <w:vAlign w:val="bottom"/>
            <w:hideMark/>
          </w:tcPr>
          <w:p w14:paraId="2E21CFCB"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2024</w:t>
            </w:r>
          </w:p>
        </w:tc>
        <w:tc>
          <w:tcPr>
            <w:tcW w:w="146" w:type="pct"/>
            <w:vAlign w:val="center"/>
            <w:hideMark/>
          </w:tcPr>
          <w:p w14:paraId="622D6002" w14:textId="77777777" w:rsidR="00C64F6A" w:rsidRPr="00E55166" w:rsidRDefault="00C64F6A" w:rsidP="009463F3">
            <w:pPr>
              <w:spacing w:after="0" w:line="240" w:lineRule="auto"/>
              <w:jc w:val="left"/>
              <w:rPr>
                <w:rFonts w:ascii="Times New Roman" w:eastAsia="Times New Roman" w:hAnsi="Times New Roman" w:cs="Times New Roman"/>
                <w:kern w:val="0"/>
                <w:sz w:val="20"/>
                <w:szCs w:val="20"/>
                <w:lang w:val="en-US"/>
                <w14:ligatures w14:val="none"/>
              </w:rPr>
            </w:pPr>
          </w:p>
        </w:tc>
      </w:tr>
      <w:tr w:rsidR="00C64F6A" w:rsidRPr="00E55166" w14:paraId="3DDD7B32" w14:textId="77777777" w:rsidTr="009463F3">
        <w:trPr>
          <w:trHeight w:val="300"/>
        </w:trPr>
        <w:tc>
          <w:tcPr>
            <w:tcW w:w="1697" w:type="pct"/>
            <w:tcBorders>
              <w:top w:val="nil"/>
              <w:left w:val="single" w:sz="4" w:space="0" w:color="auto"/>
              <w:bottom w:val="single" w:sz="4" w:space="0" w:color="auto"/>
              <w:right w:val="single" w:sz="4" w:space="0" w:color="auto"/>
            </w:tcBorders>
            <w:noWrap/>
            <w:vAlign w:val="bottom"/>
            <w:hideMark/>
          </w:tcPr>
          <w:p w14:paraId="19414C83" w14:textId="77777777" w:rsidR="00C64F6A" w:rsidRPr="00E55166"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Earnings per Share (£)</w:t>
            </w:r>
          </w:p>
        </w:tc>
        <w:tc>
          <w:tcPr>
            <w:tcW w:w="631" w:type="pct"/>
            <w:tcBorders>
              <w:top w:val="nil"/>
              <w:left w:val="nil"/>
              <w:bottom w:val="single" w:sz="4" w:space="0" w:color="auto"/>
              <w:right w:val="single" w:sz="4" w:space="0" w:color="auto"/>
            </w:tcBorders>
            <w:noWrap/>
            <w:vAlign w:val="bottom"/>
            <w:hideMark/>
          </w:tcPr>
          <w:p w14:paraId="79210406"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-1.85</w:t>
            </w:r>
          </w:p>
        </w:tc>
        <w:tc>
          <w:tcPr>
            <w:tcW w:w="631" w:type="pct"/>
            <w:tcBorders>
              <w:top w:val="nil"/>
              <w:left w:val="nil"/>
              <w:bottom w:val="single" w:sz="4" w:space="0" w:color="auto"/>
              <w:right w:val="single" w:sz="4" w:space="0" w:color="auto"/>
            </w:tcBorders>
            <w:noWrap/>
            <w:vAlign w:val="bottom"/>
            <w:hideMark/>
          </w:tcPr>
          <w:p w14:paraId="02A44123"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-7.64</w:t>
            </w:r>
          </w:p>
        </w:tc>
        <w:tc>
          <w:tcPr>
            <w:tcW w:w="631" w:type="pct"/>
            <w:tcBorders>
              <w:top w:val="nil"/>
              <w:left w:val="nil"/>
              <w:bottom w:val="single" w:sz="4" w:space="0" w:color="auto"/>
              <w:right w:val="single" w:sz="4" w:space="0" w:color="auto"/>
            </w:tcBorders>
            <w:noWrap/>
            <w:vAlign w:val="bottom"/>
            <w:hideMark/>
          </w:tcPr>
          <w:p w14:paraId="72637F01"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0.03</w:t>
            </w:r>
          </w:p>
        </w:tc>
        <w:tc>
          <w:tcPr>
            <w:tcW w:w="631" w:type="pct"/>
            <w:tcBorders>
              <w:top w:val="nil"/>
              <w:left w:val="nil"/>
              <w:bottom w:val="single" w:sz="4" w:space="0" w:color="auto"/>
              <w:right w:val="single" w:sz="4" w:space="0" w:color="auto"/>
            </w:tcBorders>
            <w:noWrap/>
            <w:vAlign w:val="bottom"/>
            <w:hideMark/>
          </w:tcPr>
          <w:p w14:paraId="6E0C3868"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0.39</w:t>
            </w:r>
          </w:p>
        </w:tc>
        <w:tc>
          <w:tcPr>
            <w:tcW w:w="631" w:type="pct"/>
            <w:tcBorders>
              <w:top w:val="nil"/>
              <w:left w:val="nil"/>
              <w:bottom w:val="single" w:sz="4" w:space="0" w:color="auto"/>
              <w:right w:val="single" w:sz="4" w:space="0" w:color="auto"/>
            </w:tcBorders>
            <w:noWrap/>
            <w:vAlign w:val="bottom"/>
            <w:hideMark/>
          </w:tcPr>
          <w:p w14:paraId="65DCE60A"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2.78</w:t>
            </w:r>
          </w:p>
        </w:tc>
        <w:tc>
          <w:tcPr>
            <w:tcW w:w="146" w:type="pct"/>
            <w:vAlign w:val="center"/>
            <w:hideMark/>
          </w:tcPr>
          <w:p w14:paraId="6671FC00" w14:textId="77777777" w:rsidR="00C64F6A" w:rsidRPr="00E55166" w:rsidRDefault="00C64F6A" w:rsidP="009463F3">
            <w:pPr>
              <w:spacing w:after="0" w:line="240" w:lineRule="auto"/>
              <w:jc w:val="left"/>
              <w:rPr>
                <w:rFonts w:ascii="Times New Roman" w:eastAsia="Times New Roman" w:hAnsi="Times New Roman" w:cs="Times New Roman"/>
                <w:kern w:val="0"/>
                <w:sz w:val="20"/>
                <w:szCs w:val="20"/>
                <w:lang w:val="en-US"/>
                <w14:ligatures w14:val="none"/>
              </w:rPr>
            </w:pPr>
          </w:p>
        </w:tc>
      </w:tr>
      <w:tr w:rsidR="00C64F6A" w:rsidRPr="00E55166" w14:paraId="452C92D5" w14:textId="77777777" w:rsidTr="009463F3">
        <w:trPr>
          <w:trHeight w:val="300"/>
        </w:trPr>
        <w:tc>
          <w:tcPr>
            <w:tcW w:w="1697" w:type="pct"/>
            <w:tcBorders>
              <w:top w:val="nil"/>
              <w:left w:val="single" w:sz="4" w:space="0" w:color="auto"/>
              <w:bottom w:val="single" w:sz="4" w:space="0" w:color="auto"/>
              <w:right w:val="single" w:sz="4" w:space="0" w:color="auto"/>
            </w:tcBorders>
            <w:noWrap/>
            <w:vAlign w:val="bottom"/>
            <w:hideMark/>
          </w:tcPr>
          <w:p w14:paraId="74CBF5EB" w14:textId="77777777" w:rsidR="00C64F6A" w:rsidRPr="00E55166"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Cash Flow Ratios</w:t>
            </w:r>
          </w:p>
        </w:tc>
        <w:tc>
          <w:tcPr>
            <w:tcW w:w="631" w:type="pct"/>
            <w:tcBorders>
              <w:top w:val="nil"/>
              <w:left w:val="nil"/>
              <w:bottom w:val="single" w:sz="4" w:space="0" w:color="auto"/>
              <w:right w:val="single" w:sz="4" w:space="0" w:color="auto"/>
            </w:tcBorders>
            <w:noWrap/>
            <w:vAlign w:val="bottom"/>
            <w:hideMark/>
          </w:tcPr>
          <w:p w14:paraId="4FA62085"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2020</w:t>
            </w:r>
          </w:p>
        </w:tc>
        <w:tc>
          <w:tcPr>
            <w:tcW w:w="631" w:type="pct"/>
            <w:tcBorders>
              <w:top w:val="nil"/>
              <w:left w:val="nil"/>
              <w:bottom w:val="single" w:sz="4" w:space="0" w:color="auto"/>
              <w:right w:val="single" w:sz="4" w:space="0" w:color="auto"/>
            </w:tcBorders>
            <w:noWrap/>
            <w:vAlign w:val="bottom"/>
            <w:hideMark/>
          </w:tcPr>
          <w:p w14:paraId="333A7ABD"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2021</w:t>
            </w:r>
          </w:p>
        </w:tc>
        <w:tc>
          <w:tcPr>
            <w:tcW w:w="631" w:type="pct"/>
            <w:tcBorders>
              <w:top w:val="nil"/>
              <w:left w:val="nil"/>
              <w:bottom w:val="single" w:sz="4" w:space="0" w:color="auto"/>
              <w:right w:val="single" w:sz="4" w:space="0" w:color="auto"/>
            </w:tcBorders>
            <w:noWrap/>
            <w:vAlign w:val="bottom"/>
            <w:hideMark/>
          </w:tcPr>
          <w:p w14:paraId="65837821"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2022</w:t>
            </w:r>
          </w:p>
        </w:tc>
        <w:tc>
          <w:tcPr>
            <w:tcW w:w="631" w:type="pct"/>
            <w:tcBorders>
              <w:top w:val="nil"/>
              <w:left w:val="nil"/>
              <w:bottom w:val="single" w:sz="4" w:space="0" w:color="auto"/>
              <w:right w:val="single" w:sz="4" w:space="0" w:color="auto"/>
            </w:tcBorders>
            <w:noWrap/>
            <w:vAlign w:val="bottom"/>
            <w:hideMark/>
          </w:tcPr>
          <w:p w14:paraId="7FA47129"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2023</w:t>
            </w:r>
          </w:p>
        </w:tc>
        <w:tc>
          <w:tcPr>
            <w:tcW w:w="631" w:type="pct"/>
            <w:tcBorders>
              <w:top w:val="nil"/>
              <w:left w:val="nil"/>
              <w:bottom w:val="single" w:sz="4" w:space="0" w:color="auto"/>
              <w:right w:val="single" w:sz="4" w:space="0" w:color="auto"/>
            </w:tcBorders>
            <w:noWrap/>
            <w:vAlign w:val="bottom"/>
            <w:hideMark/>
          </w:tcPr>
          <w:p w14:paraId="629636AA"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2024</w:t>
            </w:r>
          </w:p>
        </w:tc>
        <w:tc>
          <w:tcPr>
            <w:tcW w:w="146" w:type="pct"/>
            <w:vAlign w:val="center"/>
            <w:hideMark/>
          </w:tcPr>
          <w:p w14:paraId="37BC12DE" w14:textId="77777777" w:rsidR="00C64F6A" w:rsidRPr="00E55166" w:rsidRDefault="00C64F6A" w:rsidP="009463F3">
            <w:pPr>
              <w:spacing w:after="0" w:line="240" w:lineRule="auto"/>
              <w:jc w:val="left"/>
              <w:rPr>
                <w:rFonts w:ascii="Times New Roman" w:eastAsia="Times New Roman" w:hAnsi="Times New Roman" w:cs="Times New Roman"/>
                <w:kern w:val="0"/>
                <w:sz w:val="20"/>
                <w:szCs w:val="20"/>
                <w:lang w:val="en-US"/>
                <w14:ligatures w14:val="none"/>
              </w:rPr>
            </w:pPr>
          </w:p>
        </w:tc>
      </w:tr>
      <w:tr w:rsidR="00C64F6A" w:rsidRPr="00E55166" w14:paraId="52DFC777" w14:textId="77777777" w:rsidTr="009463F3">
        <w:trPr>
          <w:trHeight w:val="300"/>
        </w:trPr>
        <w:tc>
          <w:tcPr>
            <w:tcW w:w="1697" w:type="pct"/>
            <w:tcBorders>
              <w:top w:val="nil"/>
              <w:left w:val="single" w:sz="4" w:space="0" w:color="auto"/>
              <w:bottom w:val="single" w:sz="4" w:space="0" w:color="auto"/>
              <w:right w:val="single" w:sz="4" w:space="0" w:color="auto"/>
            </w:tcBorders>
            <w:noWrap/>
            <w:vAlign w:val="bottom"/>
            <w:hideMark/>
          </w:tcPr>
          <w:p w14:paraId="5A09DA75" w14:textId="77777777" w:rsidR="00C64F6A" w:rsidRPr="00E55166"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Operating Cash Flow Ratio</w:t>
            </w:r>
          </w:p>
        </w:tc>
        <w:tc>
          <w:tcPr>
            <w:tcW w:w="631" w:type="pct"/>
            <w:tcBorders>
              <w:top w:val="nil"/>
              <w:left w:val="nil"/>
              <w:bottom w:val="single" w:sz="4" w:space="0" w:color="auto"/>
              <w:right w:val="single" w:sz="4" w:space="0" w:color="auto"/>
            </w:tcBorders>
            <w:noWrap/>
            <w:vAlign w:val="bottom"/>
            <w:hideMark/>
          </w:tcPr>
          <w:p w14:paraId="470E959E"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0.41</w:t>
            </w:r>
          </w:p>
        </w:tc>
        <w:tc>
          <w:tcPr>
            <w:tcW w:w="631" w:type="pct"/>
            <w:tcBorders>
              <w:top w:val="nil"/>
              <w:left w:val="nil"/>
              <w:bottom w:val="single" w:sz="4" w:space="0" w:color="auto"/>
              <w:right w:val="single" w:sz="4" w:space="0" w:color="auto"/>
            </w:tcBorders>
            <w:noWrap/>
            <w:vAlign w:val="bottom"/>
            <w:hideMark/>
          </w:tcPr>
          <w:p w14:paraId="158EA372"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0.19</w:t>
            </w:r>
          </w:p>
        </w:tc>
        <w:tc>
          <w:tcPr>
            <w:tcW w:w="631" w:type="pct"/>
            <w:tcBorders>
              <w:top w:val="nil"/>
              <w:left w:val="nil"/>
              <w:bottom w:val="single" w:sz="4" w:space="0" w:color="auto"/>
              <w:right w:val="single" w:sz="4" w:space="0" w:color="auto"/>
            </w:tcBorders>
            <w:noWrap/>
            <w:vAlign w:val="bottom"/>
            <w:hideMark/>
          </w:tcPr>
          <w:p w14:paraId="1C21061D"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0.05</w:t>
            </w:r>
          </w:p>
        </w:tc>
        <w:tc>
          <w:tcPr>
            <w:tcW w:w="631" w:type="pct"/>
            <w:tcBorders>
              <w:top w:val="nil"/>
              <w:left w:val="nil"/>
              <w:bottom w:val="single" w:sz="4" w:space="0" w:color="auto"/>
              <w:right w:val="single" w:sz="4" w:space="0" w:color="auto"/>
            </w:tcBorders>
            <w:noWrap/>
            <w:vAlign w:val="bottom"/>
            <w:hideMark/>
          </w:tcPr>
          <w:p w14:paraId="39F434C4"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0.16</w:t>
            </w:r>
          </w:p>
        </w:tc>
        <w:tc>
          <w:tcPr>
            <w:tcW w:w="631" w:type="pct"/>
            <w:tcBorders>
              <w:top w:val="nil"/>
              <w:left w:val="nil"/>
              <w:bottom w:val="single" w:sz="4" w:space="0" w:color="auto"/>
              <w:right w:val="single" w:sz="4" w:space="0" w:color="auto"/>
            </w:tcBorders>
            <w:noWrap/>
            <w:vAlign w:val="bottom"/>
            <w:hideMark/>
          </w:tcPr>
          <w:p w14:paraId="68991FD0"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0.09</w:t>
            </w:r>
          </w:p>
        </w:tc>
        <w:tc>
          <w:tcPr>
            <w:tcW w:w="146" w:type="pct"/>
            <w:vAlign w:val="center"/>
            <w:hideMark/>
          </w:tcPr>
          <w:p w14:paraId="55665BE2" w14:textId="77777777" w:rsidR="00C64F6A" w:rsidRPr="00E55166" w:rsidRDefault="00C64F6A" w:rsidP="009463F3">
            <w:pPr>
              <w:spacing w:after="0" w:line="240" w:lineRule="auto"/>
              <w:jc w:val="left"/>
              <w:rPr>
                <w:rFonts w:ascii="Times New Roman" w:eastAsia="Times New Roman" w:hAnsi="Times New Roman" w:cs="Times New Roman"/>
                <w:kern w:val="0"/>
                <w:sz w:val="20"/>
                <w:szCs w:val="20"/>
                <w:lang w:val="en-US"/>
                <w14:ligatures w14:val="none"/>
              </w:rPr>
            </w:pPr>
          </w:p>
        </w:tc>
      </w:tr>
      <w:tr w:rsidR="00C64F6A" w:rsidRPr="00E55166" w14:paraId="4E3BEC77" w14:textId="77777777" w:rsidTr="009463F3">
        <w:trPr>
          <w:trHeight w:val="300"/>
        </w:trPr>
        <w:tc>
          <w:tcPr>
            <w:tcW w:w="1697" w:type="pct"/>
            <w:tcBorders>
              <w:top w:val="nil"/>
              <w:left w:val="single" w:sz="4" w:space="0" w:color="auto"/>
              <w:bottom w:val="single" w:sz="4" w:space="0" w:color="auto"/>
              <w:right w:val="single" w:sz="4" w:space="0" w:color="auto"/>
            </w:tcBorders>
            <w:noWrap/>
            <w:vAlign w:val="bottom"/>
            <w:hideMark/>
          </w:tcPr>
          <w:p w14:paraId="6DF3FC51" w14:textId="77777777" w:rsidR="00C64F6A" w:rsidRPr="00E55166"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Free Cash Flow (FCF)</w:t>
            </w:r>
          </w:p>
        </w:tc>
        <w:tc>
          <w:tcPr>
            <w:tcW w:w="631" w:type="pct"/>
            <w:tcBorders>
              <w:top w:val="nil"/>
              <w:left w:val="nil"/>
              <w:bottom w:val="single" w:sz="4" w:space="0" w:color="auto"/>
              <w:right w:val="single" w:sz="4" w:space="0" w:color="auto"/>
            </w:tcBorders>
            <w:noWrap/>
            <w:vAlign w:val="bottom"/>
            <w:hideMark/>
          </w:tcPr>
          <w:p w14:paraId="44239255"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50,158</w:t>
            </w:r>
          </w:p>
        </w:tc>
        <w:tc>
          <w:tcPr>
            <w:tcW w:w="631" w:type="pct"/>
            <w:tcBorders>
              <w:top w:val="nil"/>
              <w:left w:val="nil"/>
              <w:bottom w:val="single" w:sz="4" w:space="0" w:color="auto"/>
              <w:right w:val="single" w:sz="4" w:space="0" w:color="auto"/>
            </w:tcBorders>
            <w:noWrap/>
            <w:vAlign w:val="bottom"/>
            <w:hideMark/>
          </w:tcPr>
          <w:p w14:paraId="23B197BB"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23,242</w:t>
            </w:r>
          </w:p>
        </w:tc>
        <w:tc>
          <w:tcPr>
            <w:tcW w:w="631" w:type="pct"/>
            <w:tcBorders>
              <w:top w:val="nil"/>
              <w:left w:val="nil"/>
              <w:bottom w:val="single" w:sz="4" w:space="0" w:color="auto"/>
              <w:right w:val="single" w:sz="4" w:space="0" w:color="auto"/>
            </w:tcBorders>
            <w:noWrap/>
            <w:vAlign w:val="bottom"/>
            <w:hideMark/>
          </w:tcPr>
          <w:p w14:paraId="6F169408"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-9,659</w:t>
            </w:r>
          </w:p>
        </w:tc>
        <w:tc>
          <w:tcPr>
            <w:tcW w:w="631" w:type="pct"/>
            <w:tcBorders>
              <w:top w:val="nil"/>
              <w:left w:val="nil"/>
              <w:bottom w:val="single" w:sz="4" w:space="0" w:color="auto"/>
              <w:right w:val="single" w:sz="4" w:space="0" w:color="auto"/>
            </w:tcBorders>
            <w:noWrap/>
            <w:vAlign w:val="bottom"/>
            <w:hideMark/>
          </w:tcPr>
          <w:p w14:paraId="5039F276"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11,313</w:t>
            </w:r>
          </w:p>
        </w:tc>
        <w:tc>
          <w:tcPr>
            <w:tcW w:w="631" w:type="pct"/>
            <w:tcBorders>
              <w:top w:val="nil"/>
              <w:left w:val="nil"/>
              <w:bottom w:val="single" w:sz="4" w:space="0" w:color="auto"/>
              <w:right w:val="single" w:sz="4" w:space="0" w:color="auto"/>
            </w:tcBorders>
            <w:noWrap/>
            <w:vAlign w:val="bottom"/>
            <w:hideMark/>
          </w:tcPr>
          <w:p w14:paraId="5A1786F0"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6,394</w:t>
            </w:r>
          </w:p>
        </w:tc>
        <w:tc>
          <w:tcPr>
            <w:tcW w:w="146" w:type="pct"/>
            <w:vAlign w:val="center"/>
            <w:hideMark/>
          </w:tcPr>
          <w:p w14:paraId="53A07882" w14:textId="77777777" w:rsidR="00C64F6A" w:rsidRPr="00E55166" w:rsidRDefault="00C64F6A" w:rsidP="009463F3">
            <w:pPr>
              <w:spacing w:after="0" w:line="240" w:lineRule="auto"/>
              <w:jc w:val="left"/>
              <w:rPr>
                <w:rFonts w:ascii="Times New Roman" w:eastAsia="Times New Roman" w:hAnsi="Times New Roman" w:cs="Times New Roman"/>
                <w:kern w:val="0"/>
                <w:sz w:val="20"/>
                <w:szCs w:val="20"/>
                <w:lang w:val="en-US"/>
                <w14:ligatures w14:val="none"/>
              </w:rPr>
            </w:pPr>
          </w:p>
        </w:tc>
      </w:tr>
      <w:tr w:rsidR="00C64F6A" w:rsidRPr="00E55166" w14:paraId="312948A4" w14:textId="77777777" w:rsidTr="009463F3">
        <w:trPr>
          <w:trHeight w:val="300"/>
        </w:trPr>
        <w:tc>
          <w:tcPr>
            <w:tcW w:w="1697" w:type="pct"/>
            <w:tcBorders>
              <w:top w:val="nil"/>
              <w:left w:val="single" w:sz="4" w:space="0" w:color="auto"/>
              <w:bottom w:val="single" w:sz="4" w:space="0" w:color="auto"/>
              <w:right w:val="single" w:sz="4" w:space="0" w:color="auto"/>
            </w:tcBorders>
            <w:noWrap/>
            <w:vAlign w:val="bottom"/>
            <w:hideMark/>
          </w:tcPr>
          <w:p w14:paraId="6BEB77E1" w14:textId="77777777" w:rsidR="00C64F6A" w:rsidRPr="00E55166"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lastRenderedPageBreak/>
              <w:t>OCF to Net Income</w:t>
            </w:r>
          </w:p>
        </w:tc>
        <w:tc>
          <w:tcPr>
            <w:tcW w:w="631" w:type="pct"/>
            <w:tcBorders>
              <w:top w:val="nil"/>
              <w:left w:val="nil"/>
              <w:bottom w:val="single" w:sz="4" w:space="0" w:color="auto"/>
              <w:right w:val="single" w:sz="4" w:space="0" w:color="auto"/>
            </w:tcBorders>
            <w:noWrap/>
            <w:vAlign w:val="bottom"/>
            <w:hideMark/>
          </w:tcPr>
          <w:p w14:paraId="4362ED19"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1.90</w:t>
            </w:r>
          </w:p>
        </w:tc>
        <w:tc>
          <w:tcPr>
            <w:tcW w:w="631" w:type="pct"/>
            <w:tcBorders>
              <w:top w:val="nil"/>
              <w:left w:val="nil"/>
              <w:bottom w:val="single" w:sz="4" w:space="0" w:color="auto"/>
              <w:right w:val="single" w:sz="4" w:space="0" w:color="auto"/>
            </w:tcBorders>
            <w:noWrap/>
            <w:vAlign w:val="bottom"/>
            <w:hideMark/>
          </w:tcPr>
          <w:p w14:paraId="452EA363"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7.60</w:t>
            </w:r>
          </w:p>
        </w:tc>
        <w:tc>
          <w:tcPr>
            <w:tcW w:w="631" w:type="pct"/>
            <w:tcBorders>
              <w:top w:val="nil"/>
              <w:left w:val="nil"/>
              <w:bottom w:val="single" w:sz="4" w:space="0" w:color="auto"/>
              <w:right w:val="single" w:sz="4" w:space="0" w:color="auto"/>
            </w:tcBorders>
            <w:noWrap/>
            <w:vAlign w:val="bottom"/>
            <w:hideMark/>
          </w:tcPr>
          <w:p w14:paraId="293ED57F"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26.85</w:t>
            </w:r>
          </w:p>
        </w:tc>
        <w:tc>
          <w:tcPr>
            <w:tcW w:w="631" w:type="pct"/>
            <w:tcBorders>
              <w:top w:val="nil"/>
              <w:left w:val="nil"/>
              <w:bottom w:val="single" w:sz="4" w:space="0" w:color="auto"/>
              <w:right w:val="single" w:sz="4" w:space="0" w:color="auto"/>
            </w:tcBorders>
            <w:noWrap/>
            <w:vAlign w:val="bottom"/>
            <w:hideMark/>
          </w:tcPr>
          <w:p w14:paraId="6A913C61"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-0.26</w:t>
            </w:r>
          </w:p>
        </w:tc>
        <w:tc>
          <w:tcPr>
            <w:tcW w:w="631" w:type="pct"/>
            <w:tcBorders>
              <w:top w:val="nil"/>
              <w:left w:val="nil"/>
              <w:bottom w:val="single" w:sz="4" w:space="0" w:color="auto"/>
              <w:right w:val="single" w:sz="4" w:space="0" w:color="auto"/>
            </w:tcBorders>
            <w:noWrap/>
            <w:vAlign w:val="bottom"/>
            <w:hideMark/>
          </w:tcPr>
          <w:p w14:paraId="60C64DDF"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-0.62</w:t>
            </w:r>
          </w:p>
        </w:tc>
        <w:tc>
          <w:tcPr>
            <w:tcW w:w="146" w:type="pct"/>
            <w:vAlign w:val="center"/>
            <w:hideMark/>
          </w:tcPr>
          <w:p w14:paraId="32A64EC9" w14:textId="77777777" w:rsidR="00C64F6A" w:rsidRPr="00E55166" w:rsidRDefault="00C64F6A" w:rsidP="009463F3">
            <w:pPr>
              <w:spacing w:after="0" w:line="240" w:lineRule="auto"/>
              <w:jc w:val="left"/>
              <w:rPr>
                <w:rFonts w:ascii="Times New Roman" w:eastAsia="Times New Roman" w:hAnsi="Times New Roman" w:cs="Times New Roman"/>
                <w:kern w:val="0"/>
                <w:sz w:val="20"/>
                <w:szCs w:val="20"/>
                <w:lang w:val="en-US"/>
                <w14:ligatures w14:val="none"/>
              </w:rPr>
            </w:pPr>
          </w:p>
        </w:tc>
      </w:tr>
      <w:tr w:rsidR="00C64F6A" w:rsidRPr="00E55166" w14:paraId="5BEC7B90" w14:textId="77777777" w:rsidTr="009463F3">
        <w:trPr>
          <w:trHeight w:val="300"/>
        </w:trPr>
        <w:tc>
          <w:tcPr>
            <w:tcW w:w="1697" w:type="pct"/>
            <w:tcBorders>
              <w:top w:val="nil"/>
              <w:left w:val="single" w:sz="4" w:space="0" w:color="auto"/>
              <w:bottom w:val="single" w:sz="4" w:space="0" w:color="auto"/>
              <w:right w:val="single" w:sz="4" w:space="0" w:color="auto"/>
            </w:tcBorders>
            <w:noWrap/>
            <w:vAlign w:val="bottom"/>
            <w:hideMark/>
          </w:tcPr>
          <w:p w14:paraId="17D48A55" w14:textId="77777777" w:rsidR="00C64F6A" w:rsidRPr="00E55166" w:rsidRDefault="00C64F6A" w:rsidP="009463F3">
            <w:pPr>
              <w:spacing w:after="0" w:line="240" w:lineRule="auto"/>
              <w:jc w:val="lef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Cash Flow to Debt</w:t>
            </w:r>
          </w:p>
        </w:tc>
        <w:tc>
          <w:tcPr>
            <w:tcW w:w="631" w:type="pct"/>
            <w:tcBorders>
              <w:top w:val="nil"/>
              <w:left w:val="nil"/>
              <w:bottom w:val="single" w:sz="4" w:space="0" w:color="auto"/>
              <w:right w:val="single" w:sz="4" w:space="0" w:color="auto"/>
            </w:tcBorders>
            <w:noWrap/>
            <w:vAlign w:val="bottom"/>
            <w:hideMark/>
          </w:tcPr>
          <w:p w14:paraId="4FCB8EAF"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0.37</w:t>
            </w:r>
          </w:p>
        </w:tc>
        <w:tc>
          <w:tcPr>
            <w:tcW w:w="631" w:type="pct"/>
            <w:tcBorders>
              <w:top w:val="nil"/>
              <w:left w:val="nil"/>
              <w:bottom w:val="single" w:sz="4" w:space="0" w:color="auto"/>
              <w:right w:val="single" w:sz="4" w:space="0" w:color="auto"/>
            </w:tcBorders>
            <w:noWrap/>
            <w:vAlign w:val="bottom"/>
            <w:hideMark/>
          </w:tcPr>
          <w:p w14:paraId="4F2DA511"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0.17</w:t>
            </w:r>
          </w:p>
        </w:tc>
        <w:tc>
          <w:tcPr>
            <w:tcW w:w="631" w:type="pct"/>
            <w:tcBorders>
              <w:top w:val="nil"/>
              <w:left w:val="nil"/>
              <w:bottom w:val="single" w:sz="4" w:space="0" w:color="auto"/>
              <w:right w:val="single" w:sz="4" w:space="0" w:color="auto"/>
            </w:tcBorders>
            <w:noWrap/>
            <w:vAlign w:val="bottom"/>
            <w:hideMark/>
          </w:tcPr>
          <w:p w14:paraId="252260AF"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0.05</w:t>
            </w:r>
          </w:p>
        </w:tc>
        <w:tc>
          <w:tcPr>
            <w:tcW w:w="631" w:type="pct"/>
            <w:tcBorders>
              <w:top w:val="nil"/>
              <w:left w:val="nil"/>
              <w:bottom w:val="single" w:sz="4" w:space="0" w:color="auto"/>
              <w:right w:val="single" w:sz="4" w:space="0" w:color="auto"/>
            </w:tcBorders>
            <w:noWrap/>
            <w:vAlign w:val="bottom"/>
            <w:hideMark/>
          </w:tcPr>
          <w:p w14:paraId="32E3D571"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0.14</w:t>
            </w:r>
          </w:p>
        </w:tc>
        <w:tc>
          <w:tcPr>
            <w:tcW w:w="631" w:type="pct"/>
            <w:tcBorders>
              <w:top w:val="nil"/>
              <w:left w:val="nil"/>
              <w:bottom w:val="single" w:sz="4" w:space="0" w:color="auto"/>
              <w:right w:val="single" w:sz="4" w:space="0" w:color="auto"/>
            </w:tcBorders>
            <w:noWrap/>
            <w:vAlign w:val="bottom"/>
            <w:hideMark/>
          </w:tcPr>
          <w:p w14:paraId="69802EE8" w14:textId="77777777" w:rsidR="00C64F6A" w:rsidRPr="00E55166" w:rsidRDefault="00C64F6A" w:rsidP="009463F3">
            <w:pPr>
              <w:spacing w:after="0" w:line="240" w:lineRule="auto"/>
              <w:jc w:val="right"/>
              <w:rPr>
                <w:rFonts w:ascii="Aptos Narrow" w:eastAsia="Times New Roman" w:hAnsi="Aptos Narrow" w:cs="Times New Roman"/>
                <w:color w:val="000000"/>
                <w:kern w:val="0"/>
                <w:sz w:val="22"/>
                <w:szCs w:val="22"/>
                <w:lang w:val="en-US"/>
                <w14:ligatures w14:val="none"/>
              </w:rPr>
            </w:pPr>
            <w:r w:rsidRPr="00E55166">
              <w:rPr>
                <w:rFonts w:ascii="Aptos Narrow" w:eastAsia="Times New Roman" w:hAnsi="Aptos Narrow" w:cs="Times New Roman"/>
                <w:color w:val="000000"/>
                <w:kern w:val="0"/>
                <w:sz w:val="22"/>
                <w:szCs w:val="22"/>
                <w:lang w:val="en-US"/>
                <w14:ligatures w14:val="none"/>
              </w:rPr>
              <w:t>0.09</w:t>
            </w:r>
          </w:p>
        </w:tc>
        <w:tc>
          <w:tcPr>
            <w:tcW w:w="146" w:type="pct"/>
            <w:vAlign w:val="center"/>
            <w:hideMark/>
          </w:tcPr>
          <w:p w14:paraId="759478D5" w14:textId="77777777" w:rsidR="00C64F6A" w:rsidRPr="00E55166" w:rsidRDefault="00C64F6A" w:rsidP="009463F3">
            <w:pPr>
              <w:spacing w:after="0" w:line="240" w:lineRule="auto"/>
              <w:jc w:val="left"/>
              <w:rPr>
                <w:rFonts w:ascii="Times New Roman" w:eastAsia="Times New Roman" w:hAnsi="Times New Roman" w:cs="Times New Roman"/>
                <w:kern w:val="0"/>
                <w:sz w:val="20"/>
                <w:szCs w:val="20"/>
                <w:lang w:val="en-US"/>
                <w14:ligatures w14:val="none"/>
              </w:rPr>
            </w:pPr>
          </w:p>
        </w:tc>
      </w:tr>
    </w:tbl>
    <w:p w14:paraId="1A4D2AA4" w14:textId="77777777" w:rsidR="00C64F6A" w:rsidRDefault="00C64F6A" w:rsidP="00C64F6A">
      <w:pPr>
        <w:pStyle w:val="Heading1"/>
      </w:pPr>
      <w:bookmarkStart w:id="83" w:name="_Toc217212335"/>
      <w:r>
        <w:t xml:space="preserve">Appendix 2 - </w:t>
      </w:r>
      <w:r w:rsidRPr="00990FF8">
        <w:t>Altman Z-Score Model</w:t>
      </w:r>
      <w:bookmarkEnd w:id="83"/>
    </w:p>
    <w:tbl>
      <w:tblPr>
        <w:tblStyle w:val="TableGrid"/>
        <w:tblW w:w="5000" w:type="pct"/>
        <w:tblLayout w:type="fixed"/>
        <w:tblLook w:val="04A0" w:firstRow="1" w:lastRow="0" w:firstColumn="1" w:lastColumn="0" w:noHBand="0" w:noVBand="1"/>
      </w:tblPr>
      <w:tblGrid>
        <w:gridCol w:w="236"/>
        <w:gridCol w:w="2909"/>
        <w:gridCol w:w="1891"/>
        <w:gridCol w:w="1081"/>
        <w:gridCol w:w="1079"/>
        <w:gridCol w:w="989"/>
        <w:gridCol w:w="1165"/>
      </w:tblGrid>
      <w:tr w:rsidR="00C64F6A" w:rsidRPr="002B1289" w14:paraId="67C830D6" w14:textId="77777777" w:rsidTr="009463F3">
        <w:trPr>
          <w:trHeight w:val="300"/>
        </w:trPr>
        <w:tc>
          <w:tcPr>
            <w:tcW w:w="1682" w:type="pct"/>
            <w:gridSpan w:val="2"/>
            <w:noWrap/>
            <w:hideMark/>
          </w:tcPr>
          <w:p w14:paraId="1D699B90"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Altman Z-Score Model</w:t>
            </w:r>
          </w:p>
        </w:tc>
        <w:tc>
          <w:tcPr>
            <w:tcW w:w="1011" w:type="pct"/>
            <w:noWrap/>
            <w:hideMark/>
          </w:tcPr>
          <w:p w14:paraId="7781AFD0"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p>
        </w:tc>
        <w:tc>
          <w:tcPr>
            <w:tcW w:w="578" w:type="pct"/>
            <w:noWrap/>
            <w:hideMark/>
          </w:tcPr>
          <w:p w14:paraId="4542A9DC"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77" w:type="pct"/>
            <w:noWrap/>
            <w:hideMark/>
          </w:tcPr>
          <w:p w14:paraId="297B3AF5"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29" w:type="pct"/>
            <w:noWrap/>
            <w:hideMark/>
          </w:tcPr>
          <w:p w14:paraId="7791A144"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623" w:type="pct"/>
            <w:noWrap/>
            <w:hideMark/>
          </w:tcPr>
          <w:p w14:paraId="28E4ACDC"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2B1289" w14:paraId="1E58B61A" w14:textId="77777777" w:rsidTr="009463F3">
        <w:trPr>
          <w:trHeight w:val="300"/>
        </w:trPr>
        <w:tc>
          <w:tcPr>
            <w:tcW w:w="126" w:type="pct"/>
            <w:noWrap/>
            <w:hideMark/>
          </w:tcPr>
          <w:p w14:paraId="0606756F"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556" w:type="pct"/>
            <w:noWrap/>
            <w:hideMark/>
          </w:tcPr>
          <w:p w14:paraId="40D3E82F"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011" w:type="pct"/>
            <w:noWrap/>
            <w:hideMark/>
          </w:tcPr>
          <w:p w14:paraId="1C7F2A25"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78" w:type="pct"/>
            <w:noWrap/>
            <w:hideMark/>
          </w:tcPr>
          <w:p w14:paraId="55808377"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77" w:type="pct"/>
            <w:noWrap/>
            <w:hideMark/>
          </w:tcPr>
          <w:p w14:paraId="3E4044A5"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29" w:type="pct"/>
            <w:noWrap/>
            <w:hideMark/>
          </w:tcPr>
          <w:p w14:paraId="429654AB"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623" w:type="pct"/>
            <w:noWrap/>
            <w:hideMark/>
          </w:tcPr>
          <w:p w14:paraId="1C3AFF16"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2B1289" w14:paraId="3FA960ED" w14:textId="77777777" w:rsidTr="009463F3">
        <w:trPr>
          <w:trHeight w:val="300"/>
        </w:trPr>
        <w:tc>
          <w:tcPr>
            <w:tcW w:w="126" w:type="pct"/>
            <w:noWrap/>
            <w:hideMark/>
          </w:tcPr>
          <w:p w14:paraId="4C4EC562"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556" w:type="pct"/>
            <w:noWrap/>
            <w:hideMark/>
          </w:tcPr>
          <w:p w14:paraId="04F71473"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Z=1.2X1</w:t>
            </w:r>
            <w:r w:rsidRPr="002B1289">
              <w:rPr>
                <w:rFonts w:eastAsia="Times New Roman" w:cs="Arial"/>
                <w:color w:val="000000"/>
                <w:kern w:val="0"/>
                <w:sz w:val="22"/>
                <w:szCs w:val="22"/>
                <w:lang w:val="en-US"/>
                <w14:ligatures w14:val="none"/>
              </w:rPr>
              <w:t>​</w:t>
            </w:r>
            <w:r w:rsidRPr="002B1289">
              <w:rPr>
                <w:rFonts w:ascii="Aptos Narrow" w:eastAsia="Times New Roman" w:hAnsi="Aptos Narrow" w:cs="Times New Roman"/>
                <w:color w:val="000000"/>
                <w:kern w:val="0"/>
                <w:sz w:val="22"/>
                <w:szCs w:val="22"/>
                <w:lang w:val="en-US"/>
                <w14:ligatures w14:val="none"/>
              </w:rPr>
              <w:t>+1.4X2</w:t>
            </w:r>
            <w:r w:rsidRPr="002B1289">
              <w:rPr>
                <w:rFonts w:eastAsia="Times New Roman" w:cs="Arial"/>
                <w:color w:val="000000"/>
                <w:kern w:val="0"/>
                <w:sz w:val="22"/>
                <w:szCs w:val="22"/>
                <w:lang w:val="en-US"/>
                <w14:ligatures w14:val="none"/>
              </w:rPr>
              <w:t>​</w:t>
            </w:r>
            <w:r w:rsidRPr="002B1289">
              <w:rPr>
                <w:rFonts w:ascii="Aptos Narrow" w:eastAsia="Times New Roman" w:hAnsi="Aptos Narrow" w:cs="Times New Roman"/>
                <w:color w:val="000000"/>
                <w:kern w:val="0"/>
                <w:sz w:val="22"/>
                <w:szCs w:val="22"/>
                <w:lang w:val="en-US"/>
                <w14:ligatures w14:val="none"/>
              </w:rPr>
              <w:t>+3.3X3</w:t>
            </w:r>
            <w:r w:rsidRPr="002B1289">
              <w:rPr>
                <w:rFonts w:eastAsia="Times New Roman" w:cs="Arial"/>
                <w:color w:val="000000"/>
                <w:kern w:val="0"/>
                <w:sz w:val="22"/>
                <w:szCs w:val="22"/>
                <w:lang w:val="en-US"/>
                <w14:ligatures w14:val="none"/>
              </w:rPr>
              <w:t>​</w:t>
            </w:r>
            <w:r w:rsidRPr="002B1289">
              <w:rPr>
                <w:rFonts w:ascii="Aptos Narrow" w:eastAsia="Times New Roman" w:hAnsi="Aptos Narrow" w:cs="Times New Roman"/>
                <w:color w:val="000000"/>
                <w:kern w:val="0"/>
                <w:sz w:val="22"/>
                <w:szCs w:val="22"/>
                <w:lang w:val="en-US"/>
                <w14:ligatures w14:val="none"/>
              </w:rPr>
              <w:t>+0.6X4</w:t>
            </w:r>
            <w:r w:rsidRPr="002B1289">
              <w:rPr>
                <w:rFonts w:eastAsia="Times New Roman" w:cs="Arial"/>
                <w:color w:val="000000"/>
                <w:kern w:val="0"/>
                <w:sz w:val="22"/>
                <w:szCs w:val="22"/>
                <w:lang w:val="en-US"/>
                <w14:ligatures w14:val="none"/>
              </w:rPr>
              <w:t>​</w:t>
            </w:r>
            <w:r w:rsidRPr="002B1289">
              <w:rPr>
                <w:rFonts w:ascii="Aptos Narrow" w:eastAsia="Times New Roman" w:hAnsi="Aptos Narrow" w:cs="Times New Roman"/>
                <w:color w:val="000000"/>
                <w:kern w:val="0"/>
                <w:sz w:val="22"/>
                <w:szCs w:val="22"/>
                <w:lang w:val="en-US"/>
                <w14:ligatures w14:val="none"/>
              </w:rPr>
              <w:t>+1.0X5</w:t>
            </w:r>
            <w:r w:rsidRPr="002B1289">
              <w:rPr>
                <w:rFonts w:eastAsia="Times New Roman" w:cs="Arial"/>
                <w:color w:val="000000"/>
                <w:kern w:val="0"/>
                <w:sz w:val="22"/>
                <w:szCs w:val="22"/>
                <w:lang w:val="en-US"/>
                <w14:ligatures w14:val="none"/>
              </w:rPr>
              <w:t>​</w:t>
            </w:r>
          </w:p>
        </w:tc>
        <w:tc>
          <w:tcPr>
            <w:tcW w:w="1011" w:type="pct"/>
            <w:noWrap/>
            <w:hideMark/>
          </w:tcPr>
          <w:p w14:paraId="15D83D12"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p>
        </w:tc>
        <w:tc>
          <w:tcPr>
            <w:tcW w:w="578" w:type="pct"/>
            <w:noWrap/>
            <w:hideMark/>
          </w:tcPr>
          <w:p w14:paraId="23ABA558"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77" w:type="pct"/>
            <w:noWrap/>
            <w:hideMark/>
          </w:tcPr>
          <w:p w14:paraId="0AF2F797"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29" w:type="pct"/>
            <w:noWrap/>
            <w:hideMark/>
          </w:tcPr>
          <w:p w14:paraId="26110E6F"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623" w:type="pct"/>
            <w:noWrap/>
            <w:hideMark/>
          </w:tcPr>
          <w:p w14:paraId="77638319"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2B1289" w14:paraId="7D4FC48C" w14:textId="77777777" w:rsidTr="009463F3">
        <w:trPr>
          <w:trHeight w:val="300"/>
        </w:trPr>
        <w:tc>
          <w:tcPr>
            <w:tcW w:w="126" w:type="pct"/>
            <w:noWrap/>
            <w:hideMark/>
          </w:tcPr>
          <w:p w14:paraId="5FF82DE7"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556" w:type="pct"/>
            <w:noWrap/>
            <w:hideMark/>
          </w:tcPr>
          <w:p w14:paraId="4F05CD89"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011" w:type="pct"/>
            <w:noWrap/>
            <w:hideMark/>
          </w:tcPr>
          <w:p w14:paraId="2CAAD9B6"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78" w:type="pct"/>
            <w:noWrap/>
            <w:hideMark/>
          </w:tcPr>
          <w:p w14:paraId="316EE5E6"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77" w:type="pct"/>
            <w:noWrap/>
            <w:hideMark/>
          </w:tcPr>
          <w:p w14:paraId="067666AD"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29" w:type="pct"/>
            <w:noWrap/>
            <w:hideMark/>
          </w:tcPr>
          <w:p w14:paraId="074D9E38"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623" w:type="pct"/>
            <w:noWrap/>
            <w:hideMark/>
          </w:tcPr>
          <w:p w14:paraId="47BB73A1"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2B1289" w14:paraId="3D6C5513" w14:textId="77777777" w:rsidTr="009463F3">
        <w:trPr>
          <w:trHeight w:val="300"/>
        </w:trPr>
        <w:tc>
          <w:tcPr>
            <w:tcW w:w="126" w:type="pct"/>
            <w:noWrap/>
            <w:hideMark/>
          </w:tcPr>
          <w:p w14:paraId="78341FA0"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556" w:type="pct"/>
            <w:noWrap/>
            <w:hideMark/>
          </w:tcPr>
          <w:p w14:paraId="02AE2534"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Variable</w:t>
            </w:r>
          </w:p>
        </w:tc>
        <w:tc>
          <w:tcPr>
            <w:tcW w:w="1011" w:type="pct"/>
            <w:noWrap/>
            <w:hideMark/>
          </w:tcPr>
          <w:p w14:paraId="6DD5FAE7"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Definition</w:t>
            </w:r>
          </w:p>
        </w:tc>
        <w:tc>
          <w:tcPr>
            <w:tcW w:w="578" w:type="pct"/>
            <w:noWrap/>
            <w:hideMark/>
          </w:tcPr>
          <w:p w14:paraId="450766E8"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p>
        </w:tc>
        <w:tc>
          <w:tcPr>
            <w:tcW w:w="577" w:type="pct"/>
            <w:noWrap/>
            <w:hideMark/>
          </w:tcPr>
          <w:p w14:paraId="4803ADEB"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29" w:type="pct"/>
            <w:noWrap/>
            <w:hideMark/>
          </w:tcPr>
          <w:p w14:paraId="5033EFD4"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623" w:type="pct"/>
            <w:noWrap/>
            <w:hideMark/>
          </w:tcPr>
          <w:p w14:paraId="73848196"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2B1289" w14:paraId="53FA377E" w14:textId="77777777" w:rsidTr="009463F3">
        <w:trPr>
          <w:trHeight w:val="300"/>
        </w:trPr>
        <w:tc>
          <w:tcPr>
            <w:tcW w:w="126" w:type="pct"/>
            <w:noWrap/>
            <w:hideMark/>
          </w:tcPr>
          <w:p w14:paraId="00087DDE"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556" w:type="pct"/>
            <w:noWrap/>
            <w:hideMark/>
          </w:tcPr>
          <w:p w14:paraId="60D15775"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X₁</w:t>
            </w:r>
          </w:p>
        </w:tc>
        <w:tc>
          <w:tcPr>
            <w:tcW w:w="1011" w:type="pct"/>
            <w:noWrap/>
            <w:hideMark/>
          </w:tcPr>
          <w:p w14:paraId="5A150AFB"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Working Capital / Total Assets</w:t>
            </w:r>
          </w:p>
        </w:tc>
        <w:tc>
          <w:tcPr>
            <w:tcW w:w="578" w:type="pct"/>
            <w:noWrap/>
            <w:hideMark/>
          </w:tcPr>
          <w:p w14:paraId="745320BD"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p>
        </w:tc>
        <w:tc>
          <w:tcPr>
            <w:tcW w:w="577" w:type="pct"/>
            <w:noWrap/>
            <w:hideMark/>
          </w:tcPr>
          <w:p w14:paraId="341BDF88"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29" w:type="pct"/>
            <w:noWrap/>
            <w:hideMark/>
          </w:tcPr>
          <w:p w14:paraId="2C5B3B66"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623" w:type="pct"/>
            <w:noWrap/>
            <w:hideMark/>
          </w:tcPr>
          <w:p w14:paraId="43028D79"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2B1289" w14:paraId="5A3AB9B8" w14:textId="77777777" w:rsidTr="009463F3">
        <w:trPr>
          <w:trHeight w:val="300"/>
        </w:trPr>
        <w:tc>
          <w:tcPr>
            <w:tcW w:w="126" w:type="pct"/>
            <w:noWrap/>
            <w:hideMark/>
          </w:tcPr>
          <w:p w14:paraId="412FC320"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556" w:type="pct"/>
            <w:noWrap/>
            <w:hideMark/>
          </w:tcPr>
          <w:p w14:paraId="605D811C"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X₂</w:t>
            </w:r>
          </w:p>
        </w:tc>
        <w:tc>
          <w:tcPr>
            <w:tcW w:w="1011" w:type="pct"/>
            <w:noWrap/>
            <w:hideMark/>
          </w:tcPr>
          <w:p w14:paraId="7E2EEAE1"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Retained Earnings / Total Assets</w:t>
            </w:r>
          </w:p>
        </w:tc>
        <w:tc>
          <w:tcPr>
            <w:tcW w:w="578" w:type="pct"/>
            <w:noWrap/>
            <w:hideMark/>
          </w:tcPr>
          <w:p w14:paraId="68F5C687"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p>
        </w:tc>
        <w:tc>
          <w:tcPr>
            <w:tcW w:w="577" w:type="pct"/>
            <w:noWrap/>
            <w:hideMark/>
          </w:tcPr>
          <w:p w14:paraId="37CE0E92"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29" w:type="pct"/>
            <w:noWrap/>
            <w:hideMark/>
          </w:tcPr>
          <w:p w14:paraId="7711D598"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623" w:type="pct"/>
            <w:noWrap/>
            <w:hideMark/>
          </w:tcPr>
          <w:p w14:paraId="023C3144"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2B1289" w14:paraId="50B1C6B9" w14:textId="77777777" w:rsidTr="009463F3">
        <w:trPr>
          <w:trHeight w:val="300"/>
        </w:trPr>
        <w:tc>
          <w:tcPr>
            <w:tcW w:w="126" w:type="pct"/>
            <w:noWrap/>
            <w:hideMark/>
          </w:tcPr>
          <w:p w14:paraId="19F3B4A5"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556" w:type="pct"/>
            <w:noWrap/>
            <w:hideMark/>
          </w:tcPr>
          <w:p w14:paraId="3565DE88"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X₃</w:t>
            </w:r>
          </w:p>
        </w:tc>
        <w:tc>
          <w:tcPr>
            <w:tcW w:w="1011" w:type="pct"/>
            <w:noWrap/>
            <w:hideMark/>
          </w:tcPr>
          <w:p w14:paraId="2016D0EA"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EBIT / Total Assets</w:t>
            </w:r>
          </w:p>
        </w:tc>
        <w:tc>
          <w:tcPr>
            <w:tcW w:w="578" w:type="pct"/>
            <w:noWrap/>
            <w:hideMark/>
          </w:tcPr>
          <w:p w14:paraId="26595BC1"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p>
        </w:tc>
        <w:tc>
          <w:tcPr>
            <w:tcW w:w="577" w:type="pct"/>
            <w:noWrap/>
            <w:hideMark/>
          </w:tcPr>
          <w:p w14:paraId="4D21BE2C"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29" w:type="pct"/>
            <w:noWrap/>
            <w:hideMark/>
          </w:tcPr>
          <w:p w14:paraId="22898DA1"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623" w:type="pct"/>
            <w:noWrap/>
            <w:hideMark/>
          </w:tcPr>
          <w:p w14:paraId="120B25B2"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2B1289" w14:paraId="0D68E62C" w14:textId="77777777" w:rsidTr="009463F3">
        <w:trPr>
          <w:trHeight w:val="300"/>
        </w:trPr>
        <w:tc>
          <w:tcPr>
            <w:tcW w:w="126" w:type="pct"/>
            <w:noWrap/>
            <w:hideMark/>
          </w:tcPr>
          <w:p w14:paraId="4F2195BA"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556" w:type="pct"/>
            <w:noWrap/>
            <w:hideMark/>
          </w:tcPr>
          <w:p w14:paraId="5679D756"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X₄</w:t>
            </w:r>
          </w:p>
        </w:tc>
        <w:tc>
          <w:tcPr>
            <w:tcW w:w="1011" w:type="pct"/>
            <w:noWrap/>
            <w:hideMark/>
          </w:tcPr>
          <w:p w14:paraId="1B46E51F"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Equity / Total Liabilities</w:t>
            </w:r>
          </w:p>
        </w:tc>
        <w:tc>
          <w:tcPr>
            <w:tcW w:w="578" w:type="pct"/>
            <w:noWrap/>
            <w:hideMark/>
          </w:tcPr>
          <w:p w14:paraId="09D098CD"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p>
        </w:tc>
        <w:tc>
          <w:tcPr>
            <w:tcW w:w="577" w:type="pct"/>
            <w:noWrap/>
            <w:hideMark/>
          </w:tcPr>
          <w:p w14:paraId="2282AF57"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29" w:type="pct"/>
            <w:noWrap/>
            <w:hideMark/>
          </w:tcPr>
          <w:p w14:paraId="0A8D5F4C"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623" w:type="pct"/>
            <w:noWrap/>
            <w:hideMark/>
          </w:tcPr>
          <w:p w14:paraId="6C8D8D0C"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2B1289" w14:paraId="67131096" w14:textId="77777777" w:rsidTr="009463F3">
        <w:trPr>
          <w:trHeight w:val="300"/>
        </w:trPr>
        <w:tc>
          <w:tcPr>
            <w:tcW w:w="126" w:type="pct"/>
            <w:noWrap/>
            <w:hideMark/>
          </w:tcPr>
          <w:p w14:paraId="0C52CD2D"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556" w:type="pct"/>
            <w:noWrap/>
            <w:hideMark/>
          </w:tcPr>
          <w:p w14:paraId="5F95EABF"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X₅</w:t>
            </w:r>
          </w:p>
        </w:tc>
        <w:tc>
          <w:tcPr>
            <w:tcW w:w="1011" w:type="pct"/>
            <w:noWrap/>
            <w:hideMark/>
          </w:tcPr>
          <w:p w14:paraId="155B9275"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Sales / Total Assets</w:t>
            </w:r>
          </w:p>
        </w:tc>
        <w:tc>
          <w:tcPr>
            <w:tcW w:w="578" w:type="pct"/>
            <w:noWrap/>
            <w:hideMark/>
          </w:tcPr>
          <w:p w14:paraId="750E49A6"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p>
        </w:tc>
        <w:tc>
          <w:tcPr>
            <w:tcW w:w="577" w:type="pct"/>
            <w:noWrap/>
            <w:hideMark/>
          </w:tcPr>
          <w:p w14:paraId="402C5985"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29" w:type="pct"/>
            <w:noWrap/>
            <w:hideMark/>
          </w:tcPr>
          <w:p w14:paraId="007312AB"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623" w:type="pct"/>
            <w:noWrap/>
            <w:hideMark/>
          </w:tcPr>
          <w:p w14:paraId="599FEB4F"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2B1289" w14:paraId="12D74E83" w14:textId="77777777" w:rsidTr="009463F3">
        <w:trPr>
          <w:trHeight w:val="300"/>
        </w:trPr>
        <w:tc>
          <w:tcPr>
            <w:tcW w:w="126" w:type="pct"/>
            <w:noWrap/>
            <w:hideMark/>
          </w:tcPr>
          <w:p w14:paraId="61703C75"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556" w:type="pct"/>
            <w:noWrap/>
            <w:hideMark/>
          </w:tcPr>
          <w:p w14:paraId="29CC38E9"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011" w:type="pct"/>
            <w:noWrap/>
            <w:hideMark/>
          </w:tcPr>
          <w:p w14:paraId="1AB00569"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78" w:type="pct"/>
            <w:noWrap/>
            <w:hideMark/>
          </w:tcPr>
          <w:p w14:paraId="6DCC3A8C"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77" w:type="pct"/>
            <w:noWrap/>
            <w:hideMark/>
          </w:tcPr>
          <w:p w14:paraId="4EEF0FE9"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29" w:type="pct"/>
            <w:noWrap/>
            <w:hideMark/>
          </w:tcPr>
          <w:p w14:paraId="44422BA5"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623" w:type="pct"/>
            <w:noWrap/>
            <w:hideMark/>
          </w:tcPr>
          <w:p w14:paraId="39913627"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2B1289" w14:paraId="1A65D1BA" w14:textId="77777777" w:rsidTr="009463F3">
        <w:trPr>
          <w:trHeight w:val="300"/>
        </w:trPr>
        <w:tc>
          <w:tcPr>
            <w:tcW w:w="126" w:type="pct"/>
            <w:noWrap/>
            <w:hideMark/>
          </w:tcPr>
          <w:p w14:paraId="68EBB0FC"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556" w:type="pct"/>
            <w:noWrap/>
            <w:hideMark/>
          </w:tcPr>
          <w:p w14:paraId="34F192A2"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Step 1: Component Calculation Tables (£m)</w:t>
            </w:r>
          </w:p>
        </w:tc>
        <w:tc>
          <w:tcPr>
            <w:tcW w:w="1011" w:type="pct"/>
            <w:noWrap/>
            <w:hideMark/>
          </w:tcPr>
          <w:p w14:paraId="32931796"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p>
        </w:tc>
        <w:tc>
          <w:tcPr>
            <w:tcW w:w="578" w:type="pct"/>
            <w:noWrap/>
            <w:hideMark/>
          </w:tcPr>
          <w:p w14:paraId="4FFC9AF3"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77" w:type="pct"/>
            <w:noWrap/>
            <w:hideMark/>
          </w:tcPr>
          <w:p w14:paraId="28D144BB"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29" w:type="pct"/>
            <w:noWrap/>
            <w:hideMark/>
          </w:tcPr>
          <w:p w14:paraId="7F467559"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623" w:type="pct"/>
            <w:noWrap/>
            <w:hideMark/>
          </w:tcPr>
          <w:p w14:paraId="4D10D91B"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2B1289" w14:paraId="2AFBB08E" w14:textId="77777777" w:rsidTr="009463F3">
        <w:trPr>
          <w:trHeight w:val="300"/>
        </w:trPr>
        <w:tc>
          <w:tcPr>
            <w:tcW w:w="126" w:type="pct"/>
            <w:noWrap/>
            <w:hideMark/>
          </w:tcPr>
          <w:p w14:paraId="4F2B9C25"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556" w:type="pct"/>
            <w:noWrap/>
            <w:hideMark/>
          </w:tcPr>
          <w:p w14:paraId="57120D88"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011" w:type="pct"/>
            <w:noWrap/>
            <w:hideMark/>
          </w:tcPr>
          <w:p w14:paraId="6A9E0F4B"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78" w:type="pct"/>
            <w:noWrap/>
            <w:hideMark/>
          </w:tcPr>
          <w:p w14:paraId="4CBD97DF"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77" w:type="pct"/>
            <w:noWrap/>
            <w:hideMark/>
          </w:tcPr>
          <w:p w14:paraId="207827DF"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29" w:type="pct"/>
            <w:noWrap/>
            <w:hideMark/>
          </w:tcPr>
          <w:p w14:paraId="3C9E5208"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623" w:type="pct"/>
            <w:noWrap/>
            <w:hideMark/>
          </w:tcPr>
          <w:p w14:paraId="20BDC357"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2B1289" w14:paraId="6B66B8CE" w14:textId="77777777" w:rsidTr="009463F3">
        <w:trPr>
          <w:trHeight w:val="300"/>
        </w:trPr>
        <w:tc>
          <w:tcPr>
            <w:tcW w:w="126" w:type="pct"/>
            <w:noWrap/>
            <w:hideMark/>
          </w:tcPr>
          <w:p w14:paraId="14B10A29"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556" w:type="pct"/>
            <w:noWrap/>
            <w:hideMark/>
          </w:tcPr>
          <w:p w14:paraId="66DF80D0"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X₁ – Working Capital / Total Assets</w:t>
            </w:r>
          </w:p>
        </w:tc>
        <w:tc>
          <w:tcPr>
            <w:tcW w:w="1011" w:type="pct"/>
            <w:noWrap/>
            <w:hideMark/>
          </w:tcPr>
          <w:p w14:paraId="275D9510"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p>
        </w:tc>
        <w:tc>
          <w:tcPr>
            <w:tcW w:w="578" w:type="pct"/>
            <w:noWrap/>
            <w:hideMark/>
          </w:tcPr>
          <w:p w14:paraId="4C2C570F"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77" w:type="pct"/>
            <w:noWrap/>
            <w:hideMark/>
          </w:tcPr>
          <w:p w14:paraId="5C14C8E4"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29" w:type="pct"/>
            <w:noWrap/>
            <w:hideMark/>
          </w:tcPr>
          <w:p w14:paraId="246BC8FE"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623" w:type="pct"/>
            <w:noWrap/>
            <w:hideMark/>
          </w:tcPr>
          <w:p w14:paraId="560A7CE8"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2B1289" w14:paraId="29780958" w14:textId="77777777" w:rsidTr="009463F3">
        <w:trPr>
          <w:trHeight w:val="300"/>
        </w:trPr>
        <w:tc>
          <w:tcPr>
            <w:tcW w:w="126" w:type="pct"/>
            <w:noWrap/>
            <w:hideMark/>
          </w:tcPr>
          <w:p w14:paraId="5ECC9F96"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556" w:type="pct"/>
            <w:noWrap/>
            <w:hideMark/>
          </w:tcPr>
          <w:p w14:paraId="6B1314EE"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011" w:type="pct"/>
            <w:noWrap/>
            <w:hideMark/>
          </w:tcPr>
          <w:p w14:paraId="5616EDB0"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2020</w:t>
            </w:r>
          </w:p>
        </w:tc>
        <w:tc>
          <w:tcPr>
            <w:tcW w:w="578" w:type="pct"/>
            <w:noWrap/>
            <w:hideMark/>
          </w:tcPr>
          <w:p w14:paraId="48A96343"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2021</w:t>
            </w:r>
          </w:p>
        </w:tc>
        <w:tc>
          <w:tcPr>
            <w:tcW w:w="577" w:type="pct"/>
            <w:noWrap/>
            <w:hideMark/>
          </w:tcPr>
          <w:p w14:paraId="2551D184"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2022</w:t>
            </w:r>
          </w:p>
        </w:tc>
        <w:tc>
          <w:tcPr>
            <w:tcW w:w="529" w:type="pct"/>
            <w:noWrap/>
            <w:hideMark/>
          </w:tcPr>
          <w:p w14:paraId="4EDF7611"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2023</w:t>
            </w:r>
          </w:p>
        </w:tc>
        <w:tc>
          <w:tcPr>
            <w:tcW w:w="623" w:type="pct"/>
            <w:noWrap/>
            <w:hideMark/>
          </w:tcPr>
          <w:p w14:paraId="6DC13E18"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2024</w:t>
            </w:r>
          </w:p>
        </w:tc>
      </w:tr>
      <w:tr w:rsidR="00C64F6A" w:rsidRPr="002B1289" w14:paraId="241303CF" w14:textId="77777777" w:rsidTr="009463F3">
        <w:trPr>
          <w:trHeight w:val="300"/>
        </w:trPr>
        <w:tc>
          <w:tcPr>
            <w:tcW w:w="126" w:type="pct"/>
            <w:noWrap/>
            <w:hideMark/>
          </w:tcPr>
          <w:p w14:paraId="7D0B3AB9"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p>
        </w:tc>
        <w:tc>
          <w:tcPr>
            <w:tcW w:w="1556" w:type="pct"/>
            <w:noWrap/>
            <w:hideMark/>
          </w:tcPr>
          <w:p w14:paraId="32D8CF88"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Current Assets</w:t>
            </w:r>
          </w:p>
        </w:tc>
        <w:tc>
          <w:tcPr>
            <w:tcW w:w="1011" w:type="pct"/>
            <w:noWrap/>
            <w:hideMark/>
          </w:tcPr>
          <w:p w14:paraId="429E65DA"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326,843</w:t>
            </w:r>
          </w:p>
        </w:tc>
        <w:tc>
          <w:tcPr>
            <w:tcW w:w="578" w:type="pct"/>
            <w:noWrap/>
            <w:hideMark/>
          </w:tcPr>
          <w:p w14:paraId="51B6470B"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337,146</w:t>
            </w:r>
          </w:p>
        </w:tc>
        <w:tc>
          <w:tcPr>
            <w:tcW w:w="577" w:type="pct"/>
            <w:noWrap/>
            <w:hideMark/>
          </w:tcPr>
          <w:p w14:paraId="58D04B95"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338,040</w:t>
            </w:r>
          </w:p>
        </w:tc>
        <w:tc>
          <w:tcPr>
            <w:tcW w:w="529" w:type="pct"/>
            <w:noWrap/>
            <w:hideMark/>
          </w:tcPr>
          <w:p w14:paraId="49F0841F"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258,851</w:t>
            </w:r>
          </w:p>
        </w:tc>
        <w:tc>
          <w:tcPr>
            <w:tcW w:w="623" w:type="pct"/>
            <w:noWrap/>
            <w:hideMark/>
          </w:tcPr>
          <w:p w14:paraId="2B096FCE"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242,494</w:t>
            </w:r>
          </w:p>
        </w:tc>
      </w:tr>
      <w:tr w:rsidR="00C64F6A" w:rsidRPr="002B1289" w14:paraId="33E9D374" w14:textId="77777777" w:rsidTr="009463F3">
        <w:trPr>
          <w:trHeight w:val="300"/>
        </w:trPr>
        <w:tc>
          <w:tcPr>
            <w:tcW w:w="126" w:type="pct"/>
            <w:noWrap/>
            <w:hideMark/>
          </w:tcPr>
          <w:p w14:paraId="0885EB1A"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p>
        </w:tc>
        <w:tc>
          <w:tcPr>
            <w:tcW w:w="1556" w:type="pct"/>
            <w:noWrap/>
            <w:hideMark/>
          </w:tcPr>
          <w:p w14:paraId="14990230"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Current Liabilities</w:t>
            </w:r>
          </w:p>
        </w:tc>
        <w:tc>
          <w:tcPr>
            <w:tcW w:w="1011" w:type="pct"/>
            <w:noWrap/>
            <w:hideMark/>
          </w:tcPr>
          <w:p w14:paraId="4CF5B8B0"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-179,510</w:t>
            </w:r>
          </w:p>
        </w:tc>
        <w:tc>
          <w:tcPr>
            <w:tcW w:w="578" w:type="pct"/>
            <w:noWrap/>
            <w:hideMark/>
          </w:tcPr>
          <w:p w14:paraId="09BB1C32"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-216,787</w:t>
            </w:r>
          </w:p>
        </w:tc>
        <w:tc>
          <w:tcPr>
            <w:tcW w:w="577" w:type="pct"/>
            <w:noWrap/>
            <w:hideMark/>
          </w:tcPr>
          <w:p w14:paraId="6A355EFC"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-216,473</w:t>
            </w:r>
          </w:p>
        </w:tc>
        <w:tc>
          <w:tcPr>
            <w:tcW w:w="529" w:type="pct"/>
            <w:noWrap/>
            <w:hideMark/>
          </w:tcPr>
          <w:p w14:paraId="1C89EBED"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-161,148</w:t>
            </w:r>
          </w:p>
        </w:tc>
        <w:tc>
          <w:tcPr>
            <w:tcW w:w="623" w:type="pct"/>
            <w:noWrap/>
            <w:hideMark/>
          </w:tcPr>
          <w:p w14:paraId="722C98AB"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-158,291</w:t>
            </w:r>
          </w:p>
        </w:tc>
      </w:tr>
      <w:tr w:rsidR="00C64F6A" w:rsidRPr="002B1289" w14:paraId="794F235E" w14:textId="77777777" w:rsidTr="009463F3">
        <w:trPr>
          <w:trHeight w:val="300"/>
        </w:trPr>
        <w:tc>
          <w:tcPr>
            <w:tcW w:w="126" w:type="pct"/>
            <w:noWrap/>
            <w:hideMark/>
          </w:tcPr>
          <w:p w14:paraId="2C61E262"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p>
        </w:tc>
        <w:tc>
          <w:tcPr>
            <w:tcW w:w="1556" w:type="pct"/>
            <w:noWrap/>
            <w:hideMark/>
          </w:tcPr>
          <w:p w14:paraId="423689E4"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Working Capital</w:t>
            </w:r>
          </w:p>
        </w:tc>
        <w:tc>
          <w:tcPr>
            <w:tcW w:w="1011" w:type="pct"/>
            <w:noWrap/>
            <w:hideMark/>
          </w:tcPr>
          <w:p w14:paraId="4154C3D3"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147,333</w:t>
            </w:r>
          </w:p>
        </w:tc>
        <w:tc>
          <w:tcPr>
            <w:tcW w:w="578" w:type="pct"/>
            <w:noWrap/>
            <w:hideMark/>
          </w:tcPr>
          <w:p w14:paraId="6BE940E1"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120,359</w:t>
            </w:r>
          </w:p>
        </w:tc>
        <w:tc>
          <w:tcPr>
            <w:tcW w:w="577" w:type="pct"/>
            <w:noWrap/>
            <w:hideMark/>
          </w:tcPr>
          <w:p w14:paraId="6E6ADFA9"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121,567</w:t>
            </w:r>
          </w:p>
        </w:tc>
        <w:tc>
          <w:tcPr>
            <w:tcW w:w="529" w:type="pct"/>
            <w:noWrap/>
            <w:hideMark/>
          </w:tcPr>
          <w:p w14:paraId="15135434"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97,703</w:t>
            </w:r>
          </w:p>
        </w:tc>
        <w:tc>
          <w:tcPr>
            <w:tcW w:w="623" w:type="pct"/>
            <w:noWrap/>
            <w:hideMark/>
          </w:tcPr>
          <w:p w14:paraId="21920178"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84,203</w:t>
            </w:r>
          </w:p>
        </w:tc>
      </w:tr>
      <w:tr w:rsidR="00C64F6A" w:rsidRPr="002B1289" w14:paraId="2788BA02" w14:textId="77777777" w:rsidTr="009463F3">
        <w:trPr>
          <w:trHeight w:val="300"/>
        </w:trPr>
        <w:tc>
          <w:tcPr>
            <w:tcW w:w="126" w:type="pct"/>
            <w:noWrap/>
            <w:hideMark/>
          </w:tcPr>
          <w:p w14:paraId="6C0CD7FD"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p>
        </w:tc>
        <w:tc>
          <w:tcPr>
            <w:tcW w:w="1556" w:type="pct"/>
            <w:noWrap/>
            <w:hideMark/>
          </w:tcPr>
          <w:p w14:paraId="43C6F514"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Total Assets</w:t>
            </w:r>
          </w:p>
        </w:tc>
        <w:tc>
          <w:tcPr>
            <w:tcW w:w="1011" w:type="pct"/>
            <w:noWrap/>
            <w:hideMark/>
          </w:tcPr>
          <w:p w14:paraId="42B4D6F5"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510,290</w:t>
            </w:r>
          </w:p>
        </w:tc>
        <w:tc>
          <w:tcPr>
            <w:tcW w:w="578" w:type="pct"/>
            <w:noWrap/>
            <w:hideMark/>
          </w:tcPr>
          <w:p w14:paraId="2EA754EA"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510,348</w:t>
            </w:r>
          </w:p>
        </w:tc>
        <w:tc>
          <w:tcPr>
            <w:tcW w:w="577" w:type="pct"/>
            <w:noWrap/>
            <w:hideMark/>
          </w:tcPr>
          <w:p w14:paraId="64715BAA"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504,163</w:t>
            </w:r>
          </w:p>
        </w:tc>
        <w:tc>
          <w:tcPr>
            <w:tcW w:w="529" w:type="pct"/>
            <w:noWrap/>
            <w:hideMark/>
          </w:tcPr>
          <w:p w14:paraId="6BD66D9C"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355,872</w:t>
            </w:r>
          </w:p>
        </w:tc>
        <w:tc>
          <w:tcPr>
            <w:tcW w:w="623" w:type="pct"/>
            <w:noWrap/>
            <w:hideMark/>
          </w:tcPr>
          <w:p w14:paraId="1C37E63F"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323,354</w:t>
            </w:r>
          </w:p>
        </w:tc>
      </w:tr>
      <w:tr w:rsidR="00C64F6A" w:rsidRPr="002B1289" w14:paraId="1BD9F84B" w14:textId="77777777" w:rsidTr="009463F3">
        <w:trPr>
          <w:trHeight w:val="300"/>
        </w:trPr>
        <w:tc>
          <w:tcPr>
            <w:tcW w:w="126" w:type="pct"/>
            <w:noWrap/>
            <w:hideMark/>
          </w:tcPr>
          <w:p w14:paraId="43549E44"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p>
        </w:tc>
        <w:tc>
          <w:tcPr>
            <w:tcW w:w="1556" w:type="pct"/>
            <w:noWrap/>
            <w:hideMark/>
          </w:tcPr>
          <w:p w14:paraId="204871BE"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X₁</w:t>
            </w:r>
          </w:p>
        </w:tc>
        <w:tc>
          <w:tcPr>
            <w:tcW w:w="1011" w:type="pct"/>
            <w:noWrap/>
            <w:hideMark/>
          </w:tcPr>
          <w:p w14:paraId="1640541A"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0.2887</w:t>
            </w:r>
          </w:p>
        </w:tc>
        <w:tc>
          <w:tcPr>
            <w:tcW w:w="578" w:type="pct"/>
            <w:noWrap/>
            <w:hideMark/>
          </w:tcPr>
          <w:p w14:paraId="3CE72743"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0.2358</w:t>
            </w:r>
          </w:p>
        </w:tc>
        <w:tc>
          <w:tcPr>
            <w:tcW w:w="577" w:type="pct"/>
            <w:noWrap/>
            <w:hideMark/>
          </w:tcPr>
          <w:p w14:paraId="0ADA0990"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0.2411</w:t>
            </w:r>
          </w:p>
        </w:tc>
        <w:tc>
          <w:tcPr>
            <w:tcW w:w="529" w:type="pct"/>
            <w:noWrap/>
            <w:hideMark/>
          </w:tcPr>
          <w:p w14:paraId="69AD9314"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0.2745</w:t>
            </w:r>
          </w:p>
        </w:tc>
        <w:tc>
          <w:tcPr>
            <w:tcW w:w="623" w:type="pct"/>
            <w:noWrap/>
            <w:hideMark/>
          </w:tcPr>
          <w:p w14:paraId="42F06831"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0.2604</w:t>
            </w:r>
          </w:p>
        </w:tc>
      </w:tr>
      <w:tr w:rsidR="00C64F6A" w:rsidRPr="002B1289" w14:paraId="4C41DC13" w14:textId="77777777" w:rsidTr="009463F3">
        <w:trPr>
          <w:trHeight w:val="300"/>
        </w:trPr>
        <w:tc>
          <w:tcPr>
            <w:tcW w:w="126" w:type="pct"/>
            <w:noWrap/>
            <w:hideMark/>
          </w:tcPr>
          <w:p w14:paraId="14171C95"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p>
        </w:tc>
        <w:tc>
          <w:tcPr>
            <w:tcW w:w="1556" w:type="pct"/>
            <w:noWrap/>
            <w:hideMark/>
          </w:tcPr>
          <w:p w14:paraId="55B0309B"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011" w:type="pct"/>
            <w:noWrap/>
            <w:hideMark/>
          </w:tcPr>
          <w:p w14:paraId="63459827"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78" w:type="pct"/>
            <w:noWrap/>
            <w:hideMark/>
          </w:tcPr>
          <w:p w14:paraId="7FEAF4F1"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77" w:type="pct"/>
            <w:noWrap/>
            <w:hideMark/>
          </w:tcPr>
          <w:p w14:paraId="73C3CD84"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29" w:type="pct"/>
            <w:noWrap/>
            <w:hideMark/>
          </w:tcPr>
          <w:p w14:paraId="39B0267B"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623" w:type="pct"/>
            <w:noWrap/>
            <w:hideMark/>
          </w:tcPr>
          <w:p w14:paraId="35C11B52"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2B1289" w14:paraId="4293A2F0" w14:textId="77777777" w:rsidTr="009463F3">
        <w:trPr>
          <w:trHeight w:val="300"/>
        </w:trPr>
        <w:tc>
          <w:tcPr>
            <w:tcW w:w="126" w:type="pct"/>
            <w:noWrap/>
            <w:hideMark/>
          </w:tcPr>
          <w:p w14:paraId="15A4A317"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556" w:type="pct"/>
            <w:noWrap/>
            <w:hideMark/>
          </w:tcPr>
          <w:p w14:paraId="68116931"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011" w:type="pct"/>
            <w:noWrap/>
            <w:hideMark/>
          </w:tcPr>
          <w:p w14:paraId="7EFD73B5"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78" w:type="pct"/>
            <w:noWrap/>
            <w:hideMark/>
          </w:tcPr>
          <w:p w14:paraId="5C4CF112"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77" w:type="pct"/>
            <w:noWrap/>
            <w:hideMark/>
          </w:tcPr>
          <w:p w14:paraId="0EC9255F"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29" w:type="pct"/>
            <w:noWrap/>
            <w:hideMark/>
          </w:tcPr>
          <w:p w14:paraId="55AB5B38"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623" w:type="pct"/>
            <w:noWrap/>
            <w:hideMark/>
          </w:tcPr>
          <w:p w14:paraId="29D7458B"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2B1289" w14:paraId="53C47435" w14:textId="77777777" w:rsidTr="009463F3">
        <w:trPr>
          <w:trHeight w:val="300"/>
        </w:trPr>
        <w:tc>
          <w:tcPr>
            <w:tcW w:w="126" w:type="pct"/>
            <w:noWrap/>
            <w:hideMark/>
          </w:tcPr>
          <w:p w14:paraId="34DEA8EE"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556" w:type="pct"/>
            <w:noWrap/>
            <w:hideMark/>
          </w:tcPr>
          <w:p w14:paraId="5D0380D6"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X₂ – Retained Earnings / Total Assets</w:t>
            </w:r>
          </w:p>
        </w:tc>
        <w:tc>
          <w:tcPr>
            <w:tcW w:w="1011" w:type="pct"/>
            <w:noWrap/>
            <w:hideMark/>
          </w:tcPr>
          <w:p w14:paraId="6A726B6E"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p>
        </w:tc>
        <w:tc>
          <w:tcPr>
            <w:tcW w:w="578" w:type="pct"/>
            <w:noWrap/>
            <w:hideMark/>
          </w:tcPr>
          <w:p w14:paraId="4290450F"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77" w:type="pct"/>
            <w:noWrap/>
            <w:hideMark/>
          </w:tcPr>
          <w:p w14:paraId="33B63215"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29" w:type="pct"/>
            <w:noWrap/>
            <w:hideMark/>
          </w:tcPr>
          <w:p w14:paraId="6FAC1D1A"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623" w:type="pct"/>
            <w:noWrap/>
            <w:hideMark/>
          </w:tcPr>
          <w:p w14:paraId="38E5679B"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2B1289" w14:paraId="51249CB6" w14:textId="77777777" w:rsidTr="009463F3">
        <w:trPr>
          <w:trHeight w:val="300"/>
        </w:trPr>
        <w:tc>
          <w:tcPr>
            <w:tcW w:w="126" w:type="pct"/>
            <w:noWrap/>
            <w:hideMark/>
          </w:tcPr>
          <w:p w14:paraId="32AAF95C"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556" w:type="pct"/>
            <w:noWrap/>
            <w:hideMark/>
          </w:tcPr>
          <w:p w14:paraId="642D0BAC"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011" w:type="pct"/>
            <w:noWrap/>
            <w:hideMark/>
          </w:tcPr>
          <w:p w14:paraId="2F25A9BD"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2020</w:t>
            </w:r>
          </w:p>
        </w:tc>
        <w:tc>
          <w:tcPr>
            <w:tcW w:w="578" w:type="pct"/>
            <w:noWrap/>
            <w:hideMark/>
          </w:tcPr>
          <w:p w14:paraId="52ED92D9"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2021</w:t>
            </w:r>
          </w:p>
        </w:tc>
        <w:tc>
          <w:tcPr>
            <w:tcW w:w="577" w:type="pct"/>
            <w:noWrap/>
            <w:hideMark/>
          </w:tcPr>
          <w:p w14:paraId="7F276AD7"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2022</w:t>
            </w:r>
          </w:p>
        </w:tc>
        <w:tc>
          <w:tcPr>
            <w:tcW w:w="529" w:type="pct"/>
            <w:noWrap/>
            <w:hideMark/>
          </w:tcPr>
          <w:p w14:paraId="263ABC68"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2023</w:t>
            </w:r>
          </w:p>
        </w:tc>
        <w:tc>
          <w:tcPr>
            <w:tcW w:w="623" w:type="pct"/>
            <w:noWrap/>
            <w:hideMark/>
          </w:tcPr>
          <w:p w14:paraId="365AB6D3"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2024</w:t>
            </w:r>
          </w:p>
        </w:tc>
      </w:tr>
      <w:tr w:rsidR="00C64F6A" w:rsidRPr="002B1289" w14:paraId="4EF43AE3" w14:textId="77777777" w:rsidTr="009463F3">
        <w:trPr>
          <w:trHeight w:val="300"/>
        </w:trPr>
        <w:tc>
          <w:tcPr>
            <w:tcW w:w="126" w:type="pct"/>
            <w:noWrap/>
            <w:hideMark/>
          </w:tcPr>
          <w:p w14:paraId="049CC6B7"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p>
        </w:tc>
        <w:tc>
          <w:tcPr>
            <w:tcW w:w="1556" w:type="pct"/>
            <w:noWrap/>
            <w:hideMark/>
          </w:tcPr>
          <w:p w14:paraId="0D8010BB"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Retained Earnings</w:t>
            </w:r>
          </w:p>
        </w:tc>
        <w:tc>
          <w:tcPr>
            <w:tcW w:w="1011" w:type="pct"/>
            <w:noWrap/>
            <w:hideMark/>
          </w:tcPr>
          <w:p w14:paraId="050E9CE5"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324,990</w:t>
            </w:r>
          </w:p>
        </w:tc>
        <w:tc>
          <w:tcPr>
            <w:tcW w:w="578" w:type="pct"/>
            <w:noWrap/>
            <w:hideMark/>
          </w:tcPr>
          <w:p w14:paraId="1CA5B132"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330,291</w:t>
            </w:r>
          </w:p>
        </w:tc>
        <w:tc>
          <w:tcPr>
            <w:tcW w:w="577" w:type="pct"/>
            <w:noWrap/>
            <w:hideMark/>
          </w:tcPr>
          <w:p w14:paraId="1B8B80E4"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330,698</w:t>
            </w:r>
          </w:p>
        </w:tc>
        <w:tc>
          <w:tcPr>
            <w:tcW w:w="529" w:type="pct"/>
            <w:noWrap/>
            <w:hideMark/>
          </w:tcPr>
          <w:p w14:paraId="51DC675F"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232,460</w:t>
            </w:r>
          </w:p>
        </w:tc>
        <w:tc>
          <w:tcPr>
            <w:tcW w:w="623" w:type="pct"/>
            <w:noWrap/>
            <w:hideMark/>
          </w:tcPr>
          <w:p w14:paraId="0F76785D"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208,431</w:t>
            </w:r>
          </w:p>
        </w:tc>
      </w:tr>
      <w:tr w:rsidR="00C64F6A" w:rsidRPr="002B1289" w14:paraId="59A342D2" w14:textId="77777777" w:rsidTr="009463F3">
        <w:trPr>
          <w:trHeight w:val="300"/>
        </w:trPr>
        <w:tc>
          <w:tcPr>
            <w:tcW w:w="126" w:type="pct"/>
            <w:noWrap/>
            <w:hideMark/>
          </w:tcPr>
          <w:p w14:paraId="0A83EBA9"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p>
        </w:tc>
        <w:tc>
          <w:tcPr>
            <w:tcW w:w="1556" w:type="pct"/>
            <w:noWrap/>
            <w:hideMark/>
          </w:tcPr>
          <w:p w14:paraId="01F47A08"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Total Assets</w:t>
            </w:r>
          </w:p>
        </w:tc>
        <w:tc>
          <w:tcPr>
            <w:tcW w:w="1011" w:type="pct"/>
            <w:noWrap/>
            <w:hideMark/>
          </w:tcPr>
          <w:p w14:paraId="1AFA2AE6"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510,290</w:t>
            </w:r>
          </w:p>
        </w:tc>
        <w:tc>
          <w:tcPr>
            <w:tcW w:w="578" w:type="pct"/>
            <w:noWrap/>
            <w:hideMark/>
          </w:tcPr>
          <w:p w14:paraId="0A4C708F"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510,348</w:t>
            </w:r>
          </w:p>
        </w:tc>
        <w:tc>
          <w:tcPr>
            <w:tcW w:w="577" w:type="pct"/>
            <w:noWrap/>
            <w:hideMark/>
          </w:tcPr>
          <w:p w14:paraId="3186CE81"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504,163</w:t>
            </w:r>
          </w:p>
        </w:tc>
        <w:tc>
          <w:tcPr>
            <w:tcW w:w="529" w:type="pct"/>
            <w:noWrap/>
            <w:hideMark/>
          </w:tcPr>
          <w:p w14:paraId="1BACF951"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355,872</w:t>
            </w:r>
          </w:p>
        </w:tc>
        <w:tc>
          <w:tcPr>
            <w:tcW w:w="623" w:type="pct"/>
            <w:noWrap/>
            <w:hideMark/>
          </w:tcPr>
          <w:p w14:paraId="55E552B8"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323,354</w:t>
            </w:r>
          </w:p>
        </w:tc>
      </w:tr>
      <w:tr w:rsidR="00C64F6A" w:rsidRPr="002B1289" w14:paraId="25C08BF0" w14:textId="77777777" w:rsidTr="009463F3">
        <w:trPr>
          <w:trHeight w:val="300"/>
        </w:trPr>
        <w:tc>
          <w:tcPr>
            <w:tcW w:w="126" w:type="pct"/>
            <w:noWrap/>
            <w:hideMark/>
          </w:tcPr>
          <w:p w14:paraId="6747544B"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p>
        </w:tc>
        <w:tc>
          <w:tcPr>
            <w:tcW w:w="1556" w:type="pct"/>
            <w:noWrap/>
            <w:hideMark/>
          </w:tcPr>
          <w:p w14:paraId="3679B191"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X₂</w:t>
            </w:r>
          </w:p>
        </w:tc>
        <w:tc>
          <w:tcPr>
            <w:tcW w:w="1011" w:type="pct"/>
            <w:noWrap/>
            <w:hideMark/>
          </w:tcPr>
          <w:p w14:paraId="759DC5DD"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0.6369</w:t>
            </w:r>
          </w:p>
        </w:tc>
        <w:tc>
          <w:tcPr>
            <w:tcW w:w="578" w:type="pct"/>
            <w:noWrap/>
            <w:hideMark/>
          </w:tcPr>
          <w:p w14:paraId="40BCA659"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0.6472</w:t>
            </w:r>
          </w:p>
        </w:tc>
        <w:tc>
          <w:tcPr>
            <w:tcW w:w="577" w:type="pct"/>
            <w:noWrap/>
            <w:hideMark/>
          </w:tcPr>
          <w:p w14:paraId="20466FF0"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0.6559</w:t>
            </w:r>
          </w:p>
        </w:tc>
        <w:tc>
          <w:tcPr>
            <w:tcW w:w="529" w:type="pct"/>
            <w:noWrap/>
            <w:hideMark/>
          </w:tcPr>
          <w:p w14:paraId="4941083A"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0.6532</w:t>
            </w:r>
          </w:p>
        </w:tc>
        <w:tc>
          <w:tcPr>
            <w:tcW w:w="623" w:type="pct"/>
            <w:noWrap/>
            <w:hideMark/>
          </w:tcPr>
          <w:p w14:paraId="5EE58231"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0.6446</w:t>
            </w:r>
          </w:p>
        </w:tc>
      </w:tr>
      <w:tr w:rsidR="00C64F6A" w:rsidRPr="002B1289" w14:paraId="534BB96E" w14:textId="77777777" w:rsidTr="009463F3">
        <w:trPr>
          <w:trHeight w:val="300"/>
        </w:trPr>
        <w:tc>
          <w:tcPr>
            <w:tcW w:w="126" w:type="pct"/>
            <w:noWrap/>
            <w:hideMark/>
          </w:tcPr>
          <w:p w14:paraId="66C52C82"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p>
        </w:tc>
        <w:tc>
          <w:tcPr>
            <w:tcW w:w="1556" w:type="pct"/>
            <w:noWrap/>
            <w:hideMark/>
          </w:tcPr>
          <w:p w14:paraId="35496B84"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011" w:type="pct"/>
            <w:noWrap/>
            <w:hideMark/>
          </w:tcPr>
          <w:p w14:paraId="5CAE7D32"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78" w:type="pct"/>
            <w:noWrap/>
            <w:hideMark/>
          </w:tcPr>
          <w:p w14:paraId="2D05C3A1"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77" w:type="pct"/>
            <w:noWrap/>
            <w:hideMark/>
          </w:tcPr>
          <w:p w14:paraId="512EB082"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29" w:type="pct"/>
            <w:noWrap/>
            <w:hideMark/>
          </w:tcPr>
          <w:p w14:paraId="07364DD6"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623" w:type="pct"/>
            <w:noWrap/>
            <w:hideMark/>
          </w:tcPr>
          <w:p w14:paraId="4954BFB7"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2B1289" w14:paraId="69046F9A" w14:textId="77777777" w:rsidTr="009463F3">
        <w:trPr>
          <w:trHeight w:val="300"/>
        </w:trPr>
        <w:tc>
          <w:tcPr>
            <w:tcW w:w="126" w:type="pct"/>
            <w:noWrap/>
            <w:hideMark/>
          </w:tcPr>
          <w:p w14:paraId="1B1584A9"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556" w:type="pct"/>
            <w:noWrap/>
            <w:hideMark/>
          </w:tcPr>
          <w:p w14:paraId="238EF6C0"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011" w:type="pct"/>
            <w:noWrap/>
            <w:hideMark/>
          </w:tcPr>
          <w:p w14:paraId="3E9CF5CC"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78" w:type="pct"/>
            <w:noWrap/>
            <w:hideMark/>
          </w:tcPr>
          <w:p w14:paraId="268E68FB"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77" w:type="pct"/>
            <w:noWrap/>
            <w:hideMark/>
          </w:tcPr>
          <w:p w14:paraId="405E1ECE"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29" w:type="pct"/>
            <w:noWrap/>
            <w:hideMark/>
          </w:tcPr>
          <w:p w14:paraId="75D09275"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623" w:type="pct"/>
            <w:noWrap/>
            <w:hideMark/>
          </w:tcPr>
          <w:p w14:paraId="5D8F9999"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2B1289" w14:paraId="3A38B076" w14:textId="77777777" w:rsidTr="009463F3">
        <w:trPr>
          <w:trHeight w:val="300"/>
        </w:trPr>
        <w:tc>
          <w:tcPr>
            <w:tcW w:w="126" w:type="pct"/>
            <w:noWrap/>
            <w:hideMark/>
          </w:tcPr>
          <w:p w14:paraId="6A3A4BCC"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556" w:type="pct"/>
            <w:noWrap/>
            <w:hideMark/>
          </w:tcPr>
          <w:p w14:paraId="597ABDAE"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X₃ – EBIT / Total Assets</w:t>
            </w:r>
          </w:p>
        </w:tc>
        <w:tc>
          <w:tcPr>
            <w:tcW w:w="1011" w:type="pct"/>
            <w:noWrap/>
            <w:hideMark/>
          </w:tcPr>
          <w:p w14:paraId="54CB9D9E"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p>
        </w:tc>
        <w:tc>
          <w:tcPr>
            <w:tcW w:w="578" w:type="pct"/>
            <w:noWrap/>
            <w:hideMark/>
          </w:tcPr>
          <w:p w14:paraId="226A9556"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77" w:type="pct"/>
            <w:noWrap/>
            <w:hideMark/>
          </w:tcPr>
          <w:p w14:paraId="6DEFBD09"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29" w:type="pct"/>
            <w:noWrap/>
            <w:hideMark/>
          </w:tcPr>
          <w:p w14:paraId="2133F656"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623" w:type="pct"/>
            <w:noWrap/>
            <w:hideMark/>
          </w:tcPr>
          <w:p w14:paraId="617E02A7"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2B1289" w14:paraId="2586A2F3" w14:textId="77777777" w:rsidTr="009463F3">
        <w:trPr>
          <w:trHeight w:val="300"/>
        </w:trPr>
        <w:tc>
          <w:tcPr>
            <w:tcW w:w="126" w:type="pct"/>
            <w:noWrap/>
            <w:hideMark/>
          </w:tcPr>
          <w:p w14:paraId="2BD67902"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556" w:type="pct"/>
            <w:noWrap/>
            <w:hideMark/>
          </w:tcPr>
          <w:p w14:paraId="5DED08E8"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011" w:type="pct"/>
            <w:noWrap/>
            <w:hideMark/>
          </w:tcPr>
          <w:p w14:paraId="697B9B8C"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2020</w:t>
            </w:r>
          </w:p>
        </w:tc>
        <w:tc>
          <w:tcPr>
            <w:tcW w:w="578" w:type="pct"/>
            <w:noWrap/>
            <w:hideMark/>
          </w:tcPr>
          <w:p w14:paraId="460B3FF2"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2021</w:t>
            </w:r>
          </w:p>
        </w:tc>
        <w:tc>
          <w:tcPr>
            <w:tcW w:w="577" w:type="pct"/>
            <w:noWrap/>
            <w:hideMark/>
          </w:tcPr>
          <w:p w14:paraId="38A10AF2"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2022</w:t>
            </w:r>
          </w:p>
        </w:tc>
        <w:tc>
          <w:tcPr>
            <w:tcW w:w="529" w:type="pct"/>
            <w:noWrap/>
            <w:hideMark/>
          </w:tcPr>
          <w:p w14:paraId="152DAC33"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2023</w:t>
            </w:r>
          </w:p>
        </w:tc>
        <w:tc>
          <w:tcPr>
            <w:tcW w:w="623" w:type="pct"/>
            <w:noWrap/>
            <w:hideMark/>
          </w:tcPr>
          <w:p w14:paraId="1433E28B"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2024</w:t>
            </w:r>
          </w:p>
        </w:tc>
      </w:tr>
      <w:tr w:rsidR="00C64F6A" w:rsidRPr="002B1289" w14:paraId="45147134" w14:textId="77777777" w:rsidTr="009463F3">
        <w:trPr>
          <w:trHeight w:val="300"/>
        </w:trPr>
        <w:tc>
          <w:tcPr>
            <w:tcW w:w="126" w:type="pct"/>
            <w:noWrap/>
            <w:hideMark/>
          </w:tcPr>
          <w:p w14:paraId="3925FD73"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p>
        </w:tc>
        <w:tc>
          <w:tcPr>
            <w:tcW w:w="1556" w:type="pct"/>
            <w:noWrap/>
            <w:hideMark/>
          </w:tcPr>
          <w:p w14:paraId="0178EEF6"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EBIT (Operating Income)</w:t>
            </w:r>
          </w:p>
        </w:tc>
        <w:tc>
          <w:tcPr>
            <w:tcW w:w="1011" w:type="pct"/>
            <w:noWrap/>
            <w:hideMark/>
          </w:tcPr>
          <w:p w14:paraId="1774001A"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37,267</w:t>
            </w:r>
          </w:p>
        </w:tc>
        <w:tc>
          <w:tcPr>
            <w:tcW w:w="578" w:type="pct"/>
            <w:noWrap/>
            <w:hideMark/>
          </w:tcPr>
          <w:p w14:paraId="5834A9C8"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23,253</w:t>
            </w:r>
          </w:p>
        </w:tc>
        <w:tc>
          <w:tcPr>
            <w:tcW w:w="577" w:type="pct"/>
            <w:noWrap/>
            <w:hideMark/>
          </w:tcPr>
          <w:p w14:paraId="776235CE"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14,548</w:t>
            </w:r>
          </w:p>
        </w:tc>
        <w:tc>
          <w:tcPr>
            <w:tcW w:w="529" w:type="pct"/>
            <w:noWrap/>
            <w:hideMark/>
          </w:tcPr>
          <w:p w14:paraId="0DB727C2"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-85,301</w:t>
            </w:r>
          </w:p>
        </w:tc>
        <w:tc>
          <w:tcPr>
            <w:tcW w:w="623" w:type="pct"/>
            <w:noWrap/>
            <w:hideMark/>
          </w:tcPr>
          <w:p w14:paraId="467D0422"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-15,297</w:t>
            </w:r>
          </w:p>
        </w:tc>
      </w:tr>
      <w:tr w:rsidR="00C64F6A" w:rsidRPr="002B1289" w14:paraId="0B847DFD" w14:textId="77777777" w:rsidTr="009463F3">
        <w:trPr>
          <w:trHeight w:val="300"/>
        </w:trPr>
        <w:tc>
          <w:tcPr>
            <w:tcW w:w="126" w:type="pct"/>
            <w:noWrap/>
            <w:hideMark/>
          </w:tcPr>
          <w:p w14:paraId="3C47C476"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p>
        </w:tc>
        <w:tc>
          <w:tcPr>
            <w:tcW w:w="1556" w:type="pct"/>
            <w:noWrap/>
            <w:hideMark/>
          </w:tcPr>
          <w:p w14:paraId="2848C447"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Total Assets</w:t>
            </w:r>
          </w:p>
        </w:tc>
        <w:tc>
          <w:tcPr>
            <w:tcW w:w="1011" w:type="pct"/>
            <w:noWrap/>
            <w:hideMark/>
          </w:tcPr>
          <w:p w14:paraId="0A9E905E"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510,290</w:t>
            </w:r>
          </w:p>
        </w:tc>
        <w:tc>
          <w:tcPr>
            <w:tcW w:w="578" w:type="pct"/>
            <w:noWrap/>
            <w:hideMark/>
          </w:tcPr>
          <w:p w14:paraId="00151EF3"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510,348</w:t>
            </w:r>
          </w:p>
        </w:tc>
        <w:tc>
          <w:tcPr>
            <w:tcW w:w="577" w:type="pct"/>
            <w:noWrap/>
            <w:hideMark/>
          </w:tcPr>
          <w:p w14:paraId="4550F79D"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504,163</w:t>
            </w:r>
          </w:p>
        </w:tc>
        <w:tc>
          <w:tcPr>
            <w:tcW w:w="529" w:type="pct"/>
            <w:noWrap/>
            <w:hideMark/>
          </w:tcPr>
          <w:p w14:paraId="4E3829BD"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355,872</w:t>
            </w:r>
          </w:p>
        </w:tc>
        <w:tc>
          <w:tcPr>
            <w:tcW w:w="623" w:type="pct"/>
            <w:noWrap/>
            <w:hideMark/>
          </w:tcPr>
          <w:p w14:paraId="5BA607C2"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323,354</w:t>
            </w:r>
          </w:p>
        </w:tc>
      </w:tr>
      <w:tr w:rsidR="00C64F6A" w:rsidRPr="002B1289" w14:paraId="44479BA6" w14:textId="77777777" w:rsidTr="009463F3">
        <w:trPr>
          <w:trHeight w:val="300"/>
        </w:trPr>
        <w:tc>
          <w:tcPr>
            <w:tcW w:w="126" w:type="pct"/>
            <w:noWrap/>
            <w:hideMark/>
          </w:tcPr>
          <w:p w14:paraId="74E20496"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p>
        </w:tc>
        <w:tc>
          <w:tcPr>
            <w:tcW w:w="1556" w:type="pct"/>
            <w:noWrap/>
            <w:hideMark/>
          </w:tcPr>
          <w:p w14:paraId="1DD6D8BE"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X₃</w:t>
            </w:r>
          </w:p>
        </w:tc>
        <w:tc>
          <w:tcPr>
            <w:tcW w:w="1011" w:type="pct"/>
            <w:noWrap/>
            <w:hideMark/>
          </w:tcPr>
          <w:p w14:paraId="5645BA61"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0.0730</w:t>
            </w:r>
          </w:p>
        </w:tc>
        <w:tc>
          <w:tcPr>
            <w:tcW w:w="578" w:type="pct"/>
            <w:noWrap/>
            <w:hideMark/>
          </w:tcPr>
          <w:p w14:paraId="4C0BEE69"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0.0456</w:t>
            </w:r>
          </w:p>
        </w:tc>
        <w:tc>
          <w:tcPr>
            <w:tcW w:w="577" w:type="pct"/>
            <w:noWrap/>
            <w:hideMark/>
          </w:tcPr>
          <w:p w14:paraId="00C5FD74"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0.0289</w:t>
            </w:r>
          </w:p>
        </w:tc>
        <w:tc>
          <w:tcPr>
            <w:tcW w:w="529" w:type="pct"/>
            <w:noWrap/>
            <w:hideMark/>
          </w:tcPr>
          <w:p w14:paraId="4698ED4F"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-0.2397</w:t>
            </w:r>
          </w:p>
        </w:tc>
        <w:tc>
          <w:tcPr>
            <w:tcW w:w="623" w:type="pct"/>
            <w:noWrap/>
            <w:hideMark/>
          </w:tcPr>
          <w:p w14:paraId="73D4C2F1"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-0.0473</w:t>
            </w:r>
          </w:p>
        </w:tc>
      </w:tr>
      <w:tr w:rsidR="00C64F6A" w:rsidRPr="002B1289" w14:paraId="1469D142" w14:textId="77777777" w:rsidTr="009463F3">
        <w:trPr>
          <w:trHeight w:val="300"/>
        </w:trPr>
        <w:tc>
          <w:tcPr>
            <w:tcW w:w="126" w:type="pct"/>
            <w:noWrap/>
            <w:hideMark/>
          </w:tcPr>
          <w:p w14:paraId="0A2B1224"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p>
        </w:tc>
        <w:tc>
          <w:tcPr>
            <w:tcW w:w="1556" w:type="pct"/>
            <w:noWrap/>
            <w:hideMark/>
          </w:tcPr>
          <w:p w14:paraId="31639298"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011" w:type="pct"/>
            <w:noWrap/>
            <w:hideMark/>
          </w:tcPr>
          <w:p w14:paraId="53FBAECE"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78" w:type="pct"/>
            <w:noWrap/>
            <w:hideMark/>
          </w:tcPr>
          <w:p w14:paraId="796DE9A7"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77" w:type="pct"/>
            <w:noWrap/>
            <w:hideMark/>
          </w:tcPr>
          <w:p w14:paraId="08A99D30"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29" w:type="pct"/>
            <w:noWrap/>
            <w:hideMark/>
          </w:tcPr>
          <w:p w14:paraId="6DFFF51B"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623" w:type="pct"/>
            <w:noWrap/>
            <w:hideMark/>
          </w:tcPr>
          <w:p w14:paraId="0F6AEF45"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2B1289" w14:paraId="59A887D6" w14:textId="77777777" w:rsidTr="009463F3">
        <w:trPr>
          <w:trHeight w:val="300"/>
        </w:trPr>
        <w:tc>
          <w:tcPr>
            <w:tcW w:w="126" w:type="pct"/>
            <w:noWrap/>
            <w:hideMark/>
          </w:tcPr>
          <w:p w14:paraId="3A8D8461"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556" w:type="pct"/>
            <w:noWrap/>
            <w:hideMark/>
          </w:tcPr>
          <w:p w14:paraId="621C47F1"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011" w:type="pct"/>
            <w:noWrap/>
            <w:hideMark/>
          </w:tcPr>
          <w:p w14:paraId="7200C60F"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78" w:type="pct"/>
            <w:noWrap/>
            <w:hideMark/>
          </w:tcPr>
          <w:p w14:paraId="22BB21AA"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77" w:type="pct"/>
            <w:noWrap/>
            <w:hideMark/>
          </w:tcPr>
          <w:p w14:paraId="0007461C"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29" w:type="pct"/>
            <w:noWrap/>
            <w:hideMark/>
          </w:tcPr>
          <w:p w14:paraId="3219615C"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623" w:type="pct"/>
            <w:noWrap/>
            <w:hideMark/>
          </w:tcPr>
          <w:p w14:paraId="12B8E150"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2B1289" w14:paraId="2655CBA9" w14:textId="77777777" w:rsidTr="009463F3">
        <w:trPr>
          <w:trHeight w:val="300"/>
        </w:trPr>
        <w:tc>
          <w:tcPr>
            <w:tcW w:w="126" w:type="pct"/>
            <w:noWrap/>
            <w:hideMark/>
          </w:tcPr>
          <w:p w14:paraId="31700B6A"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556" w:type="pct"/>
            <w:noWrap/>
            <w:hideMark/>
          </w:tcPr>
          <w:p w14:paraId="32729FD9"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X₄ – Equity / Total Liabilities</w:t>
            </w:r>
          </w:p>
        </w:tc>
        <w:tc>
          <w:tcPr>
            <w:tcW w:w="1011" w:type="pct"/>
            <w:noWrap/>
            <w:hideMark/>
          </w:tcPr>
          <w:p w14:paraId="726B2677"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p>
        </w:tc>
        <w:tc>
          <w:tcPr>
            <w:tcW w:w="578" w:type="pct"/>
            <w:noWrap/>
            <w:hideMark/>
          </w:tcPr>
          <w:p w14:paraId="13AF8CE2"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77" w:type="pct"/>
            <w:noWrap/>
            <w:hideMark/>
          </w:tcPr>
          <w:p w14:paraId="50BC7213"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29" w:type="pct"/>
            <w:noWrap/>
            <w:hideMark/>
          </w:tcPr>
          <w:p w14:paraId="687110AD"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623" w:type="pct"/>
            <w:noWrap/>
            <w:hideMark/>
          </w:tcPr>
          <w:p w14:paraId="5499AB84"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2B1289" w14:paraId="415C82E6" w14:textId="77777777" w:rsidTr="009463F3">
        <w:trPr>
          <w:trHeight w:val="300"/>
        </w:trPr>
        <w:tc>
          <w:tcPr>
            <w:tcW w:w="126" w:type="pct"/>
            <w:noWrap/>
            <w:hideMark/>
          </w:tcPr>
          <w:p w14:paraId="4472CAAA"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556" w:type="pct"/>
            <w:noWrap/>
            <w:hideMark/>
          </w:tcPr>
          <w:p w14:paraId="02D5C569"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011" w:type="pct"/>
            <w:noWrap/>
            <w:hideMark/>
          </w:tcPr>
          <w:p w14:paraId="5E0304F7"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2020</w:t>
            </w:r>
          </w:p>
        </w:tc>
        <w:tc>
          <w:tcPr>
            <w:tcW w:w="578" w:type="pct"/>
            <w:noWrap/>
            <w:hideMark/>
          </w:tcPr>
          <w:p w14:paraId="34E25DF0"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2021</w:t>
            </w:r>
          </w:p>
        </w:tc>
        <w:tc>
          <w:tcPr>
            <w:tcW w:w="577" w:type="pct"/>
            <w:noWrap/>
            <w:hideMark/>
          </w:tcPr>
          <w:p w14:paraId="6B3A815F"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2022</w:t>
            </w:r>
          </w:p>
        </w:tc>
        <w:tc>
          <w:tcPr>
            <w:tcW w:w="529" w:type="pct"/>
            <w:noWrap/>
            <w:hideMark/>
          </w:tcPr>
          <w:p w14:paraId="3E821AC3"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2023</w:t>
            </w:r>
          </w:p>
        </w:tc>
        <w:tc>
          <w:tcPr>
            <w:tcW w:w="623" w:type="pct"/>
            <w:noWrap/>
            <w:hideMark/>
          </w:tcPr>
          <w:p w14:paraId="2049916B"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2024</w:t>
            </w:r>
          </w:p>
        </w:tc>
      </w:tr>
      <w:tr w:rsidR="00C64F6A" w:rsidRPr="002B1289" w14:paraId="5CBB3675" w14:textId="77777777" w:rsidTr="009463F3">
        <w:trPr>
          <w:trHeight w:val="300"/>
        </w:trPr>
        <w:tc>
          <w:tcPr>
            <w:tcW w:w="126" w:type="pct"/>
            <w:noWrap/>
            <w:hideMark/>
          </w:tcPr>
          <w:p w14:paraId="151680E8"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p>
        </w:tc>
        <w:tc>
          <w:tcPr>
            <w:tcW w:w="1556" w:type="pct"/>
            <w:noWrap/>
            <w:hideMark/>
          </w:tcPr>
          <w:p w14:paraId="1B5C0579"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Total Equity</w:t>
            </w:r>
          </w:p>
        </w:tc>
        <w:tc>
          <w:tcPr>
            <w:tcW w:w="1011" w:type="pct"/>
            <w:noWrap/>
            <w:hideMark/>
          </w:tcPr>
          <w:p w14:paraId="344AA77C"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313,301</w:t>
            </w:r>
          </w:p>
        </w:tc>
        <w:tc>
          <w:tcPr>
            <w:tcW w:w="578" w:type="pct"/>
            <w:noWrap/>
            <w:hideMark/>
          </w:tcPr>
          <w:p w14:paraId="2F080030"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275,949</w:t>
            </w:r>
          </w:p>
        </w:tc>
        <w:tc>
          <w:tcPr>
            <w:tcW w:w="577" w:type="pct"/>
            <w:noWrap/>
            <w:hideMark/>
          </w:tcPr>
          <w:p w14:paraId="60FBF77E"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268,406</w:t>
            </w:r>
          </w:p>
        </w:tc>
        <w:tc>
          <w:tcPr>
            <w:tcW w:w="529" w:type="pct"/>
            <w:noWrap/>
            <w:hideMark/>
          </w:tcPr>
          <w:p w14:paraId="3D52969B"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178,920</w:t>
            </w:r>
          </w:p>
        </w:tc>
        <w:tc>
          <w:tcPr>
            <w:tcW w:w="623" w:type="pct"/>
            <w:noWrap/>
            <w:hideMark/>
          </w:tcPr>
          <w:p w14:paraId="24689F7D"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153,105</w:t>
            </w:r>
          </w:p>
        </w:tc>
      </w:tr>
      <w:tr w:rsidR="00C64F6A" w:rsidRPr="002B1289" w14:paraId="54F02DAB" w14:textId="77777777" w:rsidTr="009463F3">
        <w:trPr>
          <w:trHeight w:val="300"/>
        </w:trPr>
        <w:tc>
          <w:tcPr>
            <w:tcW w:w="126" w:type="pct"/>
            <w:noWrap/>
            <w:hideMark/>
          </w:tcPr>
          <w:p w14:paraId="1524FB40"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p>
        </w:tc>
        <w:tc>
          <w:tcPr>
            <w:tcW w:w="1556" w:type="pct"/>
            <w:noWrap/>
            <w:hideMark/>
          </w:tcPr>
          <w:p w14:paraId="46C78A6F"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Total Liabilities</w:t>
            </w:r>
          </w:p>
        </w:tc>
        <w:tc>
          <w:tcPr>
            <w:tcW w:w="1011" w:type="pct"/>
            <w:noWrap/>
            <w:hideMark/>
          </w:tcPr>
          <w:p w14:paraId="7016A966"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196,989</w:t>
            </w:r>
          </w:p>
        </w:tc>
        <w:tc>
          <w:tcPr>
            <w:tcW w:w="578" w:type="pct"/>
            <w:noWrap/>
            <w:hideMark/>
          </w:tcPr>
          <w:p w14:paraId="306DAF88"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234,399</w:t>
            </w:r>
          </w:p>
        </w:tc>
        <w:tc>
          <w:tcPr>
            <w:tcW w:w="577" w:type="pct"/>
            <w:noWrap/>
            <w:hideMark/>
          </w:tcPr>
          <w:p w14:paraId="7AF3C972"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235,757</w:t>
            </w:r>
          </w:p>
        </w:tc>
        <w:tc>
          <w:tcPr>
            <w:tcW w:w="529" w:type="pct"/>
            <w:noWrap/>
            <w:hideMark/>
          </w:tcPr>
          <w:p w14:paraId="758420D5"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176,952</w:t>
            </w:r>
          </w:p>
        </w:tc>
        <w:tc>
          <w:tcPr>
            <w:tcW w:w="623" w:type="pct"/>
            <w:noWrap/>
            <w:hideMark/>
          </w:tcPr>
          <w:p w14:paraId="68EC867C"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170,249</w:t>
            </w:r>
          </w:p>
        </w:tc>
      </w:tr>
      <w:tr w:rsidR="00C64F6A" w:rsidRPr="002B1289" w14:paraId="4DF299D8" w14:textId="77777777" w:rsidTr="009463F3">
        <w:trPr>
          <w:trHeight w:val="300"/>
        </w:trPr>
        <w:tc>
          <w:tcPr>
            <w:tcW w:w="126" w:type="pct"/>
            <w:noWrap/>
            <w:hideMark/>
          </w:tcPr>
          <w:p w14:paraId="1D14E52C"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p>
        </w:tc>
        <w:tc>
          <w:tcPr>
            <w:tcW w:w="1556" w:type="pct"/>
            <w:noWrap/>
            <w:hideMark/>
          </w:tcPr>
          <w:p w14:paraId="45A8799D"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X₄</w:t>
            </w:r>
          </w:p>
        </w:tc>
        <w:tc>
          <w:tcPr>
            <w:tcW w:w="1011" w:type="pct"/>
            <w:noWrap/>
            <w:hideMark/>
          </w:tcPr>
          <w:p w14:paraId="6B4E5173"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1.5904</w:t>
            </w:r>
          </w:p>
        </w:tc>
        <w:tc>
          <w:tcPr>
            <w:tcW w:w="578" w:type="pct"/>
            <w:noWrap/>
            <w:hideMark/>
          </w:tcPr>
          <w:p w14:paraId="3697ABAE"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1.1773</w:t>
            </w:r>
          </w:p>
        </w:tc>
        <w:tc>
          <w:tcPr>
            <w:tcW w:w="577" w:type="pct"/>
            <w:noWrap/>
            <w:hideMark/>
          </w:tcPr>
          <w:p w14:paraId="73A1F246"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1.1385</w:t>
            </w:r>
          </w:p>
        </w:tc>
        <w:tc>
          <w:tcPr>
            <w:tcW w:w="529" w:type="pct"/>
            <w:noWrap/>
            <w:hideMark/>
          </w:tcPr>
          <w:p w14:paraId="26D84CE2"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1.0111</w:t>
            </w:r>
          </w:p>
        </w:tc>
        <w:tc>
          <w:tcPr>
            <w:tcW w:w="623" w:type="pct"/>
            <w:noWrap/>
            <w:hideMark/>
          </w:tcPr>
          <w:p w14:paraId="530A51D7"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0.8993</w:t>
            </w:r>
          </w:p>
        </w:tc>
      </w:tr>
      <w:tr w:rsidR="00C64F6A" w:rsidRPr="002B1289" w14:paraId="29110C0B" w14:textId="77777777" w:rsidTr="009463F3">
        <w:trPr>
          <w:trHeight w:val="300"/>
        </w:trPr>
        <w:tc>
          <w:tcPr>
            <w:tcW w:w="126" w:type="pct"/>
            <w:noWrap/>
            <w:hideMark/>
          </w:tcPr>
          <w:p w14:paraId="6F04CD28"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p>
        </w:tc>
        <w:tc>
          <w:tcPr>
            <w:tcW w:w="1556" w:type="pct"/>
            <w:noWrap/>
            <w:hideMark/>
          </w:tcPr>
          <w:p w14:paraId="263F61A2"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011" w:type="pct"/>
            <w:noWrap/>
            <w:hideMark/>
          </w:tcPr>
          <w:p w14:paraId="68913F1E"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78" w:type="pct"/>
            <w:noWrap/>
            <w:hideMark/>
          </w:tcPr>
          <w:p w14:paraId="272F55BD"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77" w:type="pct"/>
            <w:noWrap/>
            <w:hideMark/>
          </w:tcPr>
          <w:p w14:paraId="5DF90674"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29" w:type="pct"/>
            <w:noWrap/>
            <w:hideMark/>
          </w:tcPr>
          <w:p w14:paraId="35798554"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623" w:type="pct"/>
            <w:noWrap/>
            <w:hideMark/>
          </w:tcPr>
          <w:p w14:paraId="11FCC4A8"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2B1289" w14:paraId="4946EB1A" w14:textId="77777777" w:rsidTr="009463F3">
        <w:trPr>
          <w:trHeight w:val="300"/>
        </w:trPr>
        <w:tc>
          <w:tcPr>
            <w:tcW w:w="126" w:type="pct"/>
            <w:noWrap/>
            <w:hideMark/>
          </w:tcPr>
          <w:p w14:paraId="0E07BF84"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556" w:type="pct"/>
            <w:noWrap/>
            <w:hideMark/>
          </w:tcPr>
          <w:p w14:paraId="5A4AE34C"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011" w:type="pct"/>
            <w:noWrap/>
            <w:hideMark/>
          </w:tcPr>
          <w:p w14:paraId="05FECB3B"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78" w:type="pct"/>
            <w:noWrap/>
            <w:hideMark/>
          </w:tcPr>
          <w:p w14:paraId="1AC74A23"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77" w:type="pct"/>
            <w:noWrap/>
            <w:hideMark/>
          </w:tcPr>
          <w:p w14:paraId="6A73E0ED"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29" w:type="pct"/>
            <w:noWrap/>
            <w:hideMark/>
          </w:tcPr>
          <w:p w14:paraId="7A88D77C"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623" w:type="pct"/>
            <w:noWrap/>
            <w:hideMark/>
          </w:tcPr>
          <w:p w14:paraId="6EBFA5C2"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2B1289" w14:paraId="5C562416" w14:textId="77777777" w:rsidTr="009463F3">
        <w:trPr>
          <w:trHeight w:val="300"/>
        </w:trPr>
        <w:tc>
          <w:tcPr>
            <w:tcW w:w="126" w:type="pct"/>
            <w:noWrap/>
            <w:hideMark/>
          </w:tcPr>
          <w:p w14:paraId="40B62660"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556" w:type="pct"/>
            <w:noWrap/>
            <w:hideMark/>
          </w:tcPr>
          <w:p w14:paraId="26EB1A3A"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X₅ – Sales / Total Assets</w:t>
            </w:r>
          </w:p>
        </w:tc>
        <w:tc>
          <w:tcPr>
            <w:tcW w:w="1011" w:type="pct"/>
            <w:noWrap/>
            <w:hideMark/>
          </w:tcPr>
          <w:p w14:paraId="2459E562"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p>
        </w:tc>
        <w:tc>
          <w:tcPr>
            <w:tcW w:w="578" w:type="pct"/>
            <w:noWrap/>
            <w:hideMark/>
          </w:tcPr>
          <w:p w14:paraId="27C1B0ED"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77" w:type="pct"/>
            <w:noWrap/>
            <w:hideMark/>
          </w:tcPr>
          <w:p w14:paraId="4CAD4326"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29" w:type="pct"/>
            <w:noWrap/>
            <w:hideMark/>
          </w:tcPr>
          <w:p w14:paraId="2DF5D47C"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623" w:type="pct"/>
            <w:noWrap/>
            <w:hideMark/>
          </w:tcPr>
          <w:p w14:paraId="4AE55E0E"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2B1289" w14:paraId="48144F92" w14:textId="77777777" w:rsidTr="009463F3">
        <w:trPr>
          <w:trHeight w:val="300"/>
        </w:trPr>
        <w:tc>
          <w:tcPr>
            <w:tcW w:w="126" w:type="pct"/>
            <w:noWrap/>
            <w:hideMark/>
          </w:tcPr>
          <w:p w14:paraId="6FB35A7F"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556" w:type="pct"/>
            <w:noWrap/>
            <w:hideMark/>
          </w:tcPr>
          <w:p w14:paraId="4EA3B9AA"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011" w:type="pct"/>
            <w:noWrap/>
            <w:hideMark/>
          </w:tcPr>
          <w:p w14:paraId="7A168E96"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2020</w:t>
            </w:r>
          </w:p>
        </w:tc>
        <w:tc>
          <w:tcPr>
            <w:tcW w:w="578" w:type="pct"/>
            <w:noWrap/>
            <w:hideMark/>
          </w:tcPr>
          <w:p w14:paraId="4E691CE8"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2021</w:t>
            </w:r>
          </w:p>
        </w:tc>
        <w:tc>
          <w:tcPr>
            <w:tcW w:w="577" w:type="pct"/>
            <w:noWrap/>
            <w:hideMark/>
          </w:tcPr>
          <w:p w14:paraId="3186D968"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2022</w:t>
            </w:r>
          </w:p>
        </w:tc>
        <w:tc>
          <w:tcPr>
            <w:tcW w:w="529" w:type="pct"/>
            <w:noWrap/>
            <w:hideMark/>
          </w:tcPr>
          <w:p w14:paraId="1D4F3E8E"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2023</w:t>
            </w:r>
          </w:p>
        </w:tc>
        <w:tc>
          <w:tcPr>
            <w:tcW w:w="623" w:type="pct"/>
            <w:noWrap/>
            <w:hideMark/>
          </w:tcPr>
          <w:p w14:paraId="041F83EA"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2024</w:t>
            </w:r>
          </w:p>
        </w:tc>
      </w:tr>
      <w:tr w:rsidR="00C64F6A" w:rsidRPr="002B1289" w14:paraId="2072338E" w14:textId="77777777" w:rsidTr="009463F3">
        <w:trPr>
          <w:trHeight w:val="300"/>
        </w:trPr>
        <w:tc>
          <w:tcPr>
            <w:tcW w:w="126" w:type="pct"/>
            <w:noWrap/>
            <w:hideMark/>
          </w:tcPr>
          <w:p w14:paraId="4E3D6A48"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p>
        </w:tc>
        <w:tc>
          <w:tcPr>
            <w:tcW w:w="1556" w:type="pct"/>
            <w:noWrap/>
            <w:hideMark/>
          </w:tcPr>
          <w:p w14:paraId="2523289F"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Net Sales</w:t>
            </w:r>
          </w:p>
        </w:tc>
        <w:tc>
          <w:tcPr>
            <w:tcW w:w="1011" w:type="pct"/>
            <w:noWrap/>
            <w:hideMark/>
          </w:tcPr>
          <w:p w14:paraId="50DA14C8"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614,680</w:t>
            </w:r>
          </w:p>
        </w:tc>
        <w:tc>
          <w:tcPr>
            <w:tcW w:w="578" w:type="pct"/>
            <w:noWrap/>
            <w:hideMark/>
          </w:tcPr>
          <w:p w14:paraId="595C1F43"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601,602</w:t>
            </w:r>
          </w:p>
        </w:tc>
        <w:tc>
          <w:tcPr>
            <w:tcW w:w="577" w:type="pct"/>
            <w:noWrap/>
            <w:hideMark/>
          </w:tcPr>
          <w:p w14:paraId="3E2828AE"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542,751</w:t>
            </w:r>
          </w:p>
        </w:tc>
        <w:tc>
          <w:tcPr>
            <w:tcW w:w="529" w:type="pct"/>
            <w:noWrap/>
            <w:hideMark/>
          </w:tcPr>
          <w:p w14:paraId="25AD5ECC"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420,457</w:t>
            </w:r>
          </w:p>
        </w:tc>
        <w:tc>
          <w:tcPr>
            <w:tcW w:w="623" w:type="pct"/>
            <w:noWrap/>
            <w:hideMark/>
          </w:tcPr>
          <w:p w14:paraId="071A8BCF"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394,879</w:t>
            </w:r>
          </w:p>
        </w:tc>
      </w:tr>
      <w:tr w:rsidR="00C64F6A" w:rsidRPr="002B1289" w14:paraId="470F2129" w14:textId="77777777" w:rsidTr="009463F3">
        <w:trPr>
          <w:trHeight w:val="300"/>
        </w:trPr>
        <w:tc>
          <w:tcPr>
            <w:tcW w:w="126" w:type="pct"/>
            <w:noWrap/>
            <w:hideMark/>
          </w:tcPr>
          <w:p w14:paraId="5830A0A2"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p>
        </w:tc>
        <w:tc>
          <w:tcPr>
            <w:tcW w:w="1556" w:type="pct"/>
            <w:noWrap/>
            <w:hideMark/>
          </w:tcPr>
          <w:p w14:paraId="5C8F3CB8"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Total Assets</w:t>
            </w:r>
          </w:p>
        </w:tc>
        <w:tc>
          <w:tcPr>
            <w:tcW w:w="1011" w:type="pct"/>
            <w:noWrap/>
            <w:hideMark/>
          </w:tcPr>
          <w:p w14:paraId="7E193ED3"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510,290</w:t>
            </w:r>
          </w:p>
        </w:tc>
        <w:tc>
          <w:tcPr>
            <w:tcW w:w="578" w:type="pct"/>
            <w:noWrap/>
            <w:hideMark/>
          </w:tcPr>
          <w:p w14:paraId="298C18A5"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510,348</w:t>
            </w:r>
          </w:p>
        </w:tc>
        <w:tc>
          <w:tcPr>
            <w:tcW w:w="577" w:type="pct"/>
            <w:noWrap/>
            <w:hideMark/>
          </w:tcPr>
          <w:p w14:paraId="7E9A2C4F"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504,163</w:t>
            </w:r>
          </w:p>
        </w:tc>
        <w:tc>
          <w:tcPr>
            <w:tcW w:w="529" w:type="pct"/>
            <w:noWrap/>
            <w:hideMark/>
          </w:tcPr>
          <w:p w14:paraId="7BA2BFA4"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355,872</w:t>
            </w:r>
          </w:p>
        </w:tc>
        <w:tc>
          <w:tcPr>
            <w:tcW w:w="623" w:type="pct"/>
            <w:noWrap/>
            <w:hideMark/>
          </w:tcPr>
          <w:p w14:paraId="2D9EFAFA"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323,354</w:t>
            </w:r>
          </w:p>
        </w:tc>
      </w:tr>
      <w:tr w:rsidR="00C64F6A" w:rsidRPr="002B1289" w14:paraId="004D34C2" w14:textId="77777777" w:rsidTr="009463F3">
        <w:trPr>
          <w:trHeight w:val="300"/>
        </w:trPr>
        <w:tc>
          <w:tcPr>
            <w:tcW w:w="126" w:type="pct"/>
            <w:noWrap/>
            <w:hideMark/>
          </w:tcPr>
          <w:p w14:paraId="2A7801A8"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p>
        </w:tc>
        <w:tc>
          <w:tcPr>
            <w:tcW w:w="1556" w:type="pct"/>
            <w:noWrap/>
            <w:hideMark/>
          </w:tcPr>
          <w:p w14:paraId="58E442C0"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X₅</w:t>
            </w:r>
          </w:p>
        </w:tc>
        <w:tc>
          <w:tcPr>
            <w:tcW w:w="1011" w:type="pct"/>
            <w:noWrap/>
            <w:hideMark/>
          </w:tcPr>
          <w:p w14:paraId="47E1ACD8"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1.2046</w:t>
            </w:r>
          </w:p>
        </w:tc>
        <w:tc>
          <w:tcPr>
            <w:tcW w:w="578" w:type="pct"/>
            <w:noWrap/>
            <w:hideMark/>
          </w:tcPr>
          <w:p w14:paraId="37B0C64B"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1.1788</w:t>
            </w:r>
          </w:p>
        </w:tc>
        <w:tc>
          <w:tcPr>
            <w:tcW w:w="577" w:type="pct"/>
            <w:noWrap/>
            <w:hideMark/>
          </w:tcPr>
          <w:p w14:paraId="13B3ED56"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1.0765</w:t>
            </w:r>
          </w:p>
        </w:tc>
        <w:tc>
          <w:tcPr>
            <w:tcW w:w="529" w:type="pct"/>
            <w:noWrap/>
            <w:hideMark/>
          </w:tcPr>
          <w:p w14:paraId="78A4B7A8"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1.1815</w:t>
            </w:r>
          </w:p>
        </w:tc>
        <w:tc>
          <w:tcPr>
            <w:tcW w:w="623" w:type="pct"/>
            <w:noWrap/>
            <w:hideMark/>
          </w:tcPr>
          <w:p w14:paraId="6226A9CE"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1.2212</w:t>
            </w:r>
          </w:p>
        </w:tc>
      </w:tr>
      <w:tr w:rsidR="00C64F6A" w:rsidRPr="002B1289" w14:paraId="10300DFF" w14:textId="77777777" w:rsidTr="009463F3">
        <w:trPr>
          <w:trHeight w:val="300"/>
        </w:trPr>
        <w:tc>
          <w:tcPr>
            <w:tcW w:w="126" w:type="pct"/>
            <w:noWrap/>
            <w:hideMark/>
          </w:tcPr>
          <w:p w14:paraId="2CED9FB0"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p>
        </w:tc>
        <w:tc>
          <w:tcPr>
            <w:tcW w:w="1556" w:type="pct"/>
            <w:noWrap/>
            <w:hideMark/>
          </w:tcPr>
          <w:p w14:paraId="3313F908"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011" w:type="pct"/>
            <w:noWrap/>
            <w:hideMark/>
          </w:tcPr>
          <w:p w14:paraId="204584D2"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78" w:type="pct"/>
            <w:noWrap/>
            <w:hideMark/>
          </w:tcPr>
          <w:p w14:paraId="260528C2"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77" w:type="pct"/>
            <w:noWrap/>
            <w:hideMark/>
          </w:tcPr>
          <w:p w14:paraId="2EF9645B"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29" w:type="pct"/>
            <w:noWrap/>
            <w:hideMark/>
          </w:tcPr>
          <w:p w14:paraId="308BD4A5"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623" w:type="pct"/>
            <w:noWrap/>
            <w:hideMark/>
          </w:tcPr>
          <w:p w14:paraId="7F6992C2"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2B1289" w14:paraId="6CDA81F9" w14:textId="77777777" w:rsidTr="009463F3">
        <w:trPr>
          <w:trHeight w:val="300"/>
        </w:trPr>
        <w:tc>
          <w:tcPr>
            <w:tcW w:w="126" w:type="pct"/>
            <w:noWrap/>
            <w:hideMark/>
          </w:tcPr>
          <w:p w14:paraId="1E95AA4F"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556" w:type="pct"/>
            <w:noWrap/>
            <w:hideMark/>
          </w:tcPr>
          <w:p w14:paraId="6EB354CA"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011" w:type="pct"/>
            <w:noWrap/>
            <w:hideMark/>
          </w:tcPr>
          <w:p w14:paraId="70C8BD25"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78" w:type="pct"/>
            <w:noWrap/>
            <w:hideMark/>
          </w:tcPr>
          <w:p w14:paraId="600D26B5"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77" w:type="pct"/>
            <w:noWrap/>
            <w:hideMark/>
          </w:tcPr>
          <w:p w14:paraId="7392C7BD"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29" w:type="pct"/>
            <w:noWrap/>
            <w:hideMark/>
          </w:tcPr>
          <w:p w14:paraId="6105A3A1"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623" w:type="pct"/>
            <w:noWrap/>
            <w:hideMark/>
          </w:tcPr>
          <w:p w14:paraId="30634F00"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2B1289" w14:paraId="7BDA670D" w14:textId="77777777" w:rsidTr="009463F3">
        <w:trPr>
          <w:trHeight w:val="300"/>
        </w:trPr>
        <w:tc>
          <w:tcPr>
            <w:tcW w:w="126" w:type="pct"/>
            <w:noWrap/>
            <w:hideMark/>
          </w:tcPr>
          <w:p w14:paraId="15B91888"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556" w:type="pct"/>
            <w:noWrap/>
            <w:hideMark/>
          </w:tcPr>
          <w:p w14:paraId="78EEE29C"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Step 2: Altman Z-Score Computation</w:t>
            </w:r>
          </w:p>
        </w:tc>
        <w:tc>
          <w:tcPr>
            <w:tcW w:w="1011" w:type="pct"/>
            <w:noWrap/>
            <w:hideMark/>
          </w:tcPr>
          <w:p w14:paraId="7F786644"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p>
        </w:tc>
        <w:tc>
          <w:tcPr>
            <w:tcW w:w="578" w:type="pct"/>
            <w:noWrap/>
            <w:hideMark/>
          </w:tcPr>
          <w:p w14:paraId="48F8389C"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77" w:type="pct"/>
            <w:noWrap/>
            <w:hideMark/>
          </w:tcPr>
          <w:p w14:paraId="75A0A6E3"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29" w:type="pct"/>
            <w:noWrap/>
            <w:hideMark/>
          </w:tcPr>
          <w:p w14:paraId="2F2F5A16"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623" w:type="pct"/>
            <w:noWrap/>
            <w:hideMark/>
          </w:tcPr>
          <w:p w14:paraId="469FCF24"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2B1289" w14:paraId="640098E3" w14:textId="77777777" w:rsidTr="009463F3">
        <w:trPr>
          <w:trHeight w:val="300"/>
        </w:trPr>
        <w:tc>
          <w:tcPr>
            <w:tcW w:w="126" w:type="pct"/>
            <w:noWrap/>
            <w:hideMark/>
          </w:tcPr>
          <w:p w14:paraId="04B048CD"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556" w:type="pct"/>
            <w:noWrap/>
            <w:hideMark/>
          </w:tcPr>
          <w:p w14:paraId="79E58350"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Year</w:t>
            </w:r>
          </w:p>
        </w:tc>
        <w:tc>
          <w:tcPr>
            <w:tcW w:w="1011" w:type="pct"/>
            <w:noWrap/>
            <w:hideMark/>
          </w:tcPr>
          <w:p w14:paraId="74EB7FA8"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Z-Score</w:t>
            </w:r>
          </w:p>
        </w:tc>
        <w:tc>
          <w:tcPr>
            <w:tcW w:w="578" w:type="pct"/>
            <w:noWrap/>
            <w:hideMark/>
          </w:tcPr>
          <w:p w14:paraId="098D49F1"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Risk</w:t>
            </w:r>
          </w:p>
        </w:tc>
        <w:tc>
          <w:tcPr>
            <w:tcW w:w="577" w:type="pct"/>
            <w:noWrap/>
            <w:hideMark/>
          </w:tcPr>
          <w:p w14:paraId="0C5A6A69"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p>
        </w:tc>
        <w:tc>
          <w:tcPr>
            <w:tcW w:w="529" w:type="pct"/>
            <w:noWrap/>
            <w:hideMark/>
          </w:tcPr>
          <w:p w14:paraId="03B0F90B"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623" w:type="pct"/>
            <w:noWrap/>
            <w:hideMark/>
          </w:tcPr>
          <w:p w14:paraId="374EC5A2"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2B1289" w14:paraId="0F93EFD7" w14:textId="77777777" w:rsidTr="009463F3">
        <w:trPr>
          <w:trHeight w:val="300"/>
        </w:trPr>
        <w:tc>
          <w:tcPr>
            <w:tcW w:w="126" w:type="pct"/>
            <w:noWrap/>
            <w:hideMark/>
          </w:tcPr>
          <w:p w14:paraId="05F62FC9"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556" w:type="pct"/>
            <w:noWrap/>
            <w:hideMark/>
          </w:tcPr>
          <w:p w14:paraId="5093D409"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2020</w:t>
            </w:r>
          </w:p>
        </w:tc>
        <w:tc>
          <w:tcPr>
            <w:tcW w:w="1011" w:type="pct"/>
            <w:noWrap/>
            <w:hideMark/>
          </w:tcPr>
          <w:p w14:paraId="523A48F1"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3.6379</w:t>
            </w:r>
          </w:p>
        </w:tc>
        <w:tc>
          <w:tcPr>
            <w:tcW w:w="2307" w:type="pct"/>
            <w:gridSpan w:val="4"/>
            <w:noWrap/>
            <w:hideMark/>
          </w:tcPr>
          <w:p w14:paraId="210D2011"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Safe Zone (Low bankruptcy risk)</w:t>
            </w:r>
          </w:p>
        </w:tc>
      </w:tr>
      <w:tr w:rsidR="00C64F6A" w:rsidRPr="002B1289" w14:paraId="624B1A66" w14:textId="77777777" w:rsidTr="009463F3">
        <w:trPr>
          <w:trHeight w:val="300"/>
        </w:trPr>
        <w:tc>
          <w:tcPr>
            <w:tcW w:w="126" w:type="pct"/>
            <w:noWrap/>
            <w:hideMark/>
          </w:tcPr>
          <w:p w14:paraId="3964BF68"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p>
        </w:tc>
        <w:tc>
          <w:tcPr>
            <w:tcW w:w="1556" w:type="pct"/>
            <w:noWrap/>
            <w:hideMark/>
          </w:tcPr>
          <w:p w14:paraId="690FCA60"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2021</w:t>
            </w:r>
          </w:p>
        </w:tc>
        <w:tc>
          <w:tcPr>
            <w:tcW w:w="1011" w:type="pct"/>
            <w:noWrap/>
            <w:hideMark/>
          </w:tcPr>
          <w:p w14:paraId="1DD3BDA9"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3.2246</w:t>
            </w:r>
          </w:p>
        </w:tc>
        <w:tc>
          <w:tcPr>
            <w:tcW w:w="2307" w:type="pct"/>
            <w:gridSpan w:val="4"/>
            <w:noWrap/>
            <w:hideMark/>
          </w:tcPr>
          <w:p w14:paraId="5F1FCEBD"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Safe Zone (Low bankruptcy risk)</w:t>
            </w:r>
          </w:p>
        </w:tc>
      </w:tr>
      <w:tr w:rsidR="00C64F6A" w:rsidRPr="002B1289" w14:paraId="5D10A4A8" w14:textId="77777777" w:rsidTr="009463F3">
        <w:trPr>
          <w:trHeight w:val="300"/>
        </w:trPr>
        <w:tc>
          <w:tcPr>
            <w:tcW w:w="126" w:type="pct"/>
            <w:noWrap/>
            <w:hideMark/>
          </w:tcPr>
          <w:p w14:paraId="7640B0EA"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p>
        </w:tc>
        <w:tc>
          <w:tcPr>
            <w:tcW w:w="1556" w:type="pct"/>
            <w:noWrap/>
            <w:hideMark/>
          </w:tcPr>
          <w:p w14:paraId="2ACFF67F"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2022</w:t>
            </w:r>
          </w:p>
        </w:tc>
        <w:tc>
          <w:tcPr>
            <w:tcW w:w="1011" w:type="pct"/>
            <w:noWrap/>
            <w:hideMark/>
          </w:tcPr>
          <w:p w14:paraId="073038C9"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3.0625</w:t>
            </w:r>
          </w:p>
        </w:tc>
        <w:tc>
          <w:tcPr>
            <w:tcW w:w="2307" w:type="pct"/>
            <w:gridSpan w:val="4"/>
            <w:noWrap/>
            <w:hideMark/>
          </w:tcPr>
          <w:p w14:paraId="5FFF37E8"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Safe Zone (Low bankruptcy risk)</w:t>
            </w:r>
          </w:p>
        </w:tc>
      </w:tr>
      <w:tr w:rsidR="00C64F6A" w:rsidRPr="002B1289" w14:paraId="0A71C410" w14:textId="77777777" w:rsidTr="009463F3">
        <w:trPr>
          <w:trHeight w:val="300"/>
        </w:trPr>
        <w:tc>
          <w:tcPr>
            <w:tcW w:w="126" w:type="pct"/>
            <w:noWrap/>
            <w:hideMark/>
          </w:tcPr>
          <w:p w14:paraId="6289B804"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p>
        </w:tc>
        <w:tc>
          <w:tcPr>
            <w:tcW w:w="1556" w:type="pct"/>
            <w:noWrap/>
            <w:hideMark/>
          </w:tcPr>
          <w:p w14:paraId="58655C60"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2023</w:t>
            </w:r>
          </w:p>
        </w:tc>
        <w:tc>
          <w:tcPr>
            <w:tcW w:w="1011" w:type="pct"/>
            <w:noWrap/>
            <w:hideMark/>
          </w:tcPr>
          <w:p w14:paraId="4395B06F"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2.2411</w:t>
            </w:r>
          </w:p>
        </w:tc>
        <w:tc>
          <w:tcPr>
            <w:tcW w:w="1684" w:type="pct"/>
            <w:gridSpan w:val="3"/>
            <w:noWrap/>
            <w:hideMark/>
          </w:tcPr>
          <w:p w14:paraId="609E58D5"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Grey Zone (Elevated risk)</w:t>
            </w:r>
          </w:p>
        </w:tc>
        <w:tc>
          <w:tcPr>
            <w:tcW w:w="623" w:type="pct"/>
            <w:noWrap/>
            <w:hideMark/>
          </w:tcPr>
          <w:p w14:paraId="35C2BA4C"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p>
        </w:tc>
      </w:tr>
      <w:tr w:rsidR="00C64F6A" w:rsidRPr="002B1289" w14:paraId="7FEAA325" w14:textId="77777777" w:rsidTr="009463F3">
        <w:trPr>
          <w:trHeight w:val="300"/>
        </w:trPr>
        <w:tc>
          <w:tcPr>
            <w:tcW w:w="126" w:type="pct"/>
            <w:noWrap/>
            <w:hideMark/>
          </w:tcPr>
          <w:p w14:paraId="497B541B"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556" w:type="pct"/>
            <w:noWrap/>
            <w:hideMark/>
          </w:tcPr>
          <w:p w14:paraId="1B5675CA"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2024</w:t>
            </w:r>
          </w:p>
        </w:tc>
        <w:tc>
          <w:tcPr>
            <w:tcW w:w="1011" w:type="pct"/>
            <w:noWrap/>
            <w:hideMark/>
          </w:tcPr>
          <w:p w14:paraId="5EF18206" w14:textId="77777777" w:rsidR="00C64F6A" w:rsidRPr="002B1289"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2.8196</w:t>
            </w:r>
          </w:p>
        </w:tc>
        <w:tc>
          <w:tcPr>
            <w:tcW w:w="1684" w:type="pct"/>
            <w:gridSpan w:val="3"/>
            <w:noWrap/>
            <w:hideMark/>
          </w:tcPr>
          <w:p w14:paraId="7216107F"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Grey Zone (Elevated risk)</w:t>
            </w:r>
          </w:p>
        </w:tc>
        <w:tc>
          <w:tcPr>
            <w:tcW w:w="623" w:type="pct"/>
            <w:noWrap/>
            <w:hideMark/>
          </w:tcPr>
          <w:p w14:paraId="5383BCB1"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p>
        </w:tc>
      </w:tr>
      <w:tr w:rsidR="00C64F6A" w:rsidRPr="002B1289" w14:paraId="2E42DE60" w14:textId="77777777" w:rsidTr="009463F3">
        <w:trPr>
          <w:trHeight w:val="300"/>
        </w:trPr>
        <w:tc>
          <w:tcPr>
            <w:tcW w:w="126" w:type="pct"/>
            <w:noWrap/>
            <w:hideMark/>
          </w:tcPr>
          <w:p w14:paraId="6781C244"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556" w:type="pct"/>
            <w:noWrap/>
            <w:hideMark/>
          </w:tcPr>
          <w:p w14:paraId="7806A668"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011" w:type="pct"/>
            <w:noWrap/>
            <w:hideMark/>
          </w:tcPr>
          <w:p w14:paraId="322ADFB7"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78" w:type="pct"/>
            <w:noWrap/>
            <w:hideMark/>
          </w:tcPr>
          <w:p w14:paraId="31D533BE"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77" w:type="pct"/>
            <w:noWrap/>
            <w:hideMark/>
          </w:tcPr>
          <w:p w14:paraId="5B2EC5B5"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29" w:type="pct"/>
            <w:noWrap/>
            <w:hideMark/>
          </w:tcPr>
          <w:p w14:paraId="2C6387BF"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623" w:type="pct"/>
            <w:noWrap/>
            <w:hideMark/>
          </w:tcPr>
          <w:p w14:paraId="015B7FCF"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2B1289" w14:paraId="1FCA8E1D" w14:textId="77777777" w:rsidTr="009463F3">
        <w:trPr>
          <w:trHeight w:val="300"/>
        </w:trPr>
        <w:tc>
          <w:tcPr>
            <w:tcW w:w="126" w:type="pct"/>
            <w:noWrap/>
            <w:hideMark/>
          </w:tcPr>
          <w:p w14:paraId="5659C8DD"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556" w:type="pct"/>
            <w:noWrap/>
            <w:hideMark/>
          </w:tcPr>
          <w:p w14:paraId="4D7BB045"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011" w:type="pct"/>
            <w:noWrap/>
            <w:hideMark/>
          </w:tcPr>
          <w:p w14:paraId="1D263178"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78" w:type="pct"/>
            <w:noWrap/>
            <w:hideMark/>
          </w:tcPr>
          <w:p w14:paraId="5D44795F"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77" w:type="pct"/>
            <w:noWrap/>
            <w:hideMark/>
          </w:tcPr>
          <w:p w14:paraId="26F114DE"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29" w:type="pct"/>
            <w:noWrap/>
            <w:hideMark/>
          </w:tcPr>
          <w:p w14:paraId="09BA5CF2"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623" w:type="pct"/>
            <w:noWrap/>
            <w:hideMark/>
          </w:tcPr>
          <w:p w14:paraId="4D8C70A7"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2B1289" w14:paraId="493EECDB" w14:textId="77777777" w:rsidTr="009463F3">
        <w:trPr>
          <w:trHeight w:val="300"/>
        </w:trPr>
        <w:tc>
          <w:tcPr>
            <w:tcW w:w="126" w:type="pct"/>
            <w:noWrap/>
            <w:hideMark/>
          </w:tcPr>
          <w:p w14:paraId="38BAA10A"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556" w:type="pct"/>
            <w:noWrap/>
            <w:hideMark/>
          </w:tcPr>
          <w:p w14:paraId="6AC0C071"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Step 3: Interpretation (Default Risk Assessment)</w:t>
            </w:r>
          </w:p>
        </w:tc>
        <w:tc>
          <w:tcPr>
            <w:tcW w:w="1011" w:type="pct"/>
            <w:noWrap/>
            <w:hideMark/>
          </w:tcPr>
          <w:p w14:paraId="7FA397A6"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p>
        </w:tc>
        <w:tc>
          <w:tcPr>
            <w:tcW w:w="578" w:type="pct"/>
            <w:noWrap/>
            <w:hideMark/>
          </w:tcPr>
          <w:p w14:paraId="41FDAB06"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77" w:type="pct"/>
            <w:noWrap/>
            <w:hideMark/>
          </w:tcPr>
          <w:p w14:paraId="3B96D86D"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29" w:type="pct"/>
            <w:noWrap/>
            <w:hideMark/>
          </w:tcPr>
          <w:p w14:paraId="24F99FDF"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623" w:type="pct"/>
            <w:noWrap/>
            <w:hideMark/>
          </w:tcPr>
          <w:p w14:paraId="1776F26D"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2B1289" w14:paraId="043BE9F9" w14:textId="77777777" w:rsidTr="009463F3">
        <w:trPr>
          <w:trHeight w:val="300"/>
        </w:trPr>
        <w:tc>
          <w:tcPr>
            <w:tcW w:w="126" w:type="pct"/>
            <w:noWrap/>
            <w:hideMark/>
          </w:tcPr>
          <w:p w14:paraId="0E115C50"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556" w:type="pct"/>
            <w:noWrap/>
            <w:hideMark/>
          </w:tcPr>
          <w:p w14:paraId="4B0F18DE"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Z-Score Range</w:t>
            </w:r>
          </w:p>
        </w:tc>
        <w:tc>
          <w:tcPr>
            <w:tcW w:w="1011" w:type="pct"/>
            <w:noWrap/>
            <w:hideMark/>
          </w:tcPr>
          <w:p w14:paraId="1D39D225"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Interpretation</w:t>
            </w:r>
          </w:p>
        </w:tc>
        <w:tc>
          <w:tcPr>
            <w:tcW w:w="578" w:type="pct"/>
            <w:noWrap/>
            <w:hideMark/>
          </w:tcPr>
          <w:p w14:paraId="4E3F9295"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p>
        </w:tc>
        <w:tc>
          <w:tcPr>
            <w:tcW w:w="577" w:type="pct"/>
            <w:noWrap/>
            <w:hideMark/>
          </w:tcPr>
          <w:p w14:paraId="77E7405B"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29" w:type="pct"/>
            <w:noWrap/>
            <w:hideMark/>
          </w:tcPr>
          <w:p w14:paraId="7D9CE847"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623" w:type="pct"/>
            <w:noWrap/>
            <w:hideMark/>
          </w:tcPr>
          <w:p w14:paraId="0787EA80"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2B1289" w14:paraId="4501E47A" w14:textId="77777777" w:rsidTr="009463F3">
        <w:trPr>
          <w:trHeight w:val="300"/>
        </w:trPr>
        <w:tc>
          <w:tcPr>
            <w:tcW w:w="126" w:type="pct"/>
            <w:noWrap/>
            <w:hideMark/>
          </w:tcPr>
          <w:p w14:paraId="098BB526"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556" w:type="pct"/>
            <w:noWrap/>
            <w:hideMark/>
          </w:tcPr>
          <w:p w14:paraId="4FB1356A"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Z &gt; 2.99</w:t>
            </w:r>
          </w:p>
        </w:tc>
        <w:tc>
          <w:tcPr>
            <w:tcW w:w="1011" w:type="pct"/>
            <w:noWrap/>
            <w:hideMark/>
          </w:tcPr>
          <w:p w14:paraId="5C5B0FB4"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Safe Zone (Low bankruptcy risk)</w:t>
            </w:r>
          </w:p>
        </w:tc>
        <w:tc>
          <w:tcPr>
            <w:tcW w:w="578" w:type="pct"/>
            <w:noWrap/>
            <w:hideMark/>
          </w:tcPr>
          <w:p w14:paraId="2C765152"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p>
        </w:tc>
        <w:tc>
          <w:tcPr>
            <w:tcW w:w="577" w:type="pct"/>
            <w:noWrap/>
            <w:hideMark/>
          </w:tcPr>
          <w:p w14:paraId="521A83F7"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29" w:type="pct"/>
            <w:noWrap/>
            <w:hideMark/>
          </w:tcPr>
          <w:p w14:paraId="5E457804"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623" w:type="pct"/>
            <w:noWrap/>
            <w:hideMark/>
          </w:tcPr>
          <w:p w14:paraId="2A1A10C3"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2B1289" w14:paraId="5D16F1FB" w14:textId="77777777" w:rsidTr="009463F3">
        <w:trPr>
          <w:trHeight w:val="300"/>
        </w:trPr>
        <w:tc>
          <w:tcPr>
            <w:tcW w:w="126" w:type="pct"/>
            <w:noWrap/>
            <w:hideMark/>
          </w:tcPr>
          <w:p w14:paraId="74A6FBC7"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556" w:type="pct"/>
            <w:noWrap/>
            <w:hideMark/>
          </w:tcPr>
          <w:p w14:paraId="4515EADE"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1.81 &lt; Z &lt; 2.99</w:t>
            </w:r>
          </w:p>
        </w:tc>
        <w:tc>
          <w:tcPr>
            <w:tcW w:w="1011" w:type="pct"/>
            <w:noWrap/>
            <w:hideMark/>
          </w:tcPr>
          <w:p w14:paraId="74E01DF0"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Grey Zone (Elevated risk)</w:t>
            </w:r>
          </w:p>
        </w:tc>
        <w:tc>
          <w:tcPr>
            <w:tcW w:w="578" w:type="pct"/>
            <w:noWrap/>
            <w:hideMark/>
          </w:tcPr>
          <w:p w14:paraId="54E9717A"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p>
        </w:tc>
        <w:tc>
          <w:tcPr>
            <w:tcW w:w="577" w:type="pct"/>
            <w:noWrap/>
            <w:hideMark/>
          </w:tcPr>
          <w:p w14:paraId="1AB347BD"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29" w:type="pct"/>
            <w:noWrap/>
            <w:hideMark/>
          </w:tcPr>
          <w:p w14:paraId="6AD3DF25"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623" w:type="pct"/>
            <w:noWrap/>
            <w:hideMark/>
          </w:tcPr>
          <w:p w14:paraId="5D248534"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2B1289" w14:paraId="29AF3524" w14:textId="77777777" w:rsidTr="009463F3">
        <w:trPr>
          <w:trHeight w:val="300"/>
        </w:trPr>
        <w:tc>
          <w:tcPr>
            <w:tcW w:w="126" w:type="pct"/>
            <w:noWrap/>
            <w:hideMark/>
          </w:tcPr>
          <w:p w14:paraId="544E1F12"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556" w:type="pct"/>
            <w:noWrap/>
            <w:hideMark/>
          </w:tcPr>
          <w:p w14:paraId="540ADD2A"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Z &lt; 1.81</w:t>
            </w:r>
          </w:p>
        </w:tc>
        <w:tc>
          <w:tcPr>
            <w:tcW w:w="1011" w:type="pct"/>
            <w:noWrap/>
            <w:hideMark/>
          </w:tcPr>
          <w:p w14:paraId="3FD3761D"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2B1289">
              <w:rPr>
                <w:rFonts w:ascii="Aptos Narrow" w:eastAsia="Times New Roman" w:hAnsi="Aptos Narrow" w:cs="Times New Roman"/>
                <w:color w:val="000000"/>
                <w:kern w:val="0"/>
                <w:sz w:val="22"/>
                <w:szCs w:val="22"/>
                <w:lang w:val="en-US"/>
                <w14:ligatures w14:val="none"/>
              </w:rPr>
              <w:t>Distress Zone (High default risk)</w:t>
            </w:r>
          </w:p>
        </w:tc>
        <w:tc>
          <w:tcPr>
            <w:tcW w:w="578" w:type="pct"/>
            <w:noWrap/>
            <w:hideMark/>
          </w:tcPr>
          <w:p w14:paraId="2E6718EB" w14:textId="77777777" w:rsidR="00C64F6A" w:rsidRPr="002B1289"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p>
        </w:tc>
        <w:tc>
          <w:tcPr>
            <w:tcW w:w="577" w:type="pct"/>
            <w:noWrap/>
            <w:hideMark/>
          </w:tcPr>
          <w:p w14:paraId="4433B5CE"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529" w:type="pct"/>
            <w:noWrap/>
            <w:hideMark/>
          </w:tcPr>
          <w:p w14:paraId="0ED26FCA"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623" w:type="pct"/>
            <w:noWrap/>
            <w:hideMark/>
          </w:tcPr>
          <w:p w14:paraId="3A174497" w14:textId="77777777" w:rsidR="00C64F6A" w:rsidRPr="002B1289"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bl>
    <w:p w14:paraId="41966937" w14:textId="77777777" w:rsidR="00C64F6A" w:rsidRDefault="00C64F6A" w:rsidP="00C64F6A"/>
    <w:p w14:paraId="424F333B" w14:textId="77777777" w:rsidR="00C64F6A" w:rsidRDefault="00C64F6A" w:rsidP="00C64F6A">
      <w:pPr>
        <w:pStyle w:val="Heading2"/>
      </w:pPr>
      <w:bookmarkStart w:id="84" w:name="_Toc217212336"/>
      <w:r>
        <w:lastRenderedPageBreak/>
        <w:t xml:space="preserve">Appendix 3 - </w:t>
      </w:r>
      <w:r w:rsidRPr="00E95E2D">
        <w:t>Cash Operating Cycle (Cash Conversion Cycle – CCC)</w:t>
      </w:r>
      <w:bookmarkEnd w:id="84"/>
    </w:p>
    <w:tbl>
      <w:tblPr>
        <w:tblStyle w:val="TableGrid"/>
        <w:tblW w:w="5000" w:type="pct"/>
        <w:tblLook w:val="04A0" w:firstRow="1" w:lastRow="0" w:firstColumn="1" w:lastColumn="0" w:noHBand="0" w:noVBand="1"/>
      </w:tblPr>
      <w:tblGrid>
        <w:gridCol w:w="220"/>
        <w:gridCol w:w="5300"/>
        <w:gridCol w:w="766"/>
        <w:gridCol w:w="766"/>
        <w:gridCol w:w="766"/>
        <w:gridCol w:w="766"/>
        <w:gridCol w:w="766"/>
      </w:tblGrid>
      <w:tr w:rsidR="00C64F6A" w:rsidRPr="00E95E2D" w14:paraId="47FF59D8" w14:textId="77777777" w:rsidTr="009463F3">
        <w:trPr>
          <w:trHeight w:val="300"/>
        </w:trPr>
        <w:tc>
          <w:tcPr>
            <w:tcW w:w="1875" w:type="pct"/>
            <w:gridSpan w:val="2"/>
            <w:noWrap/>
            <w:hideMark/>
          </w:tcPr>
          <w:p w14:paraId="736D2683" w14:textId="77777777" w:rsidR="00C64F6A" w:rsidRPr="00E95E2D"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Cash Operating Cycle (Cash Conversion Cycle – CCC)</w:t>
            </w:r>
          </w:p>
        </w:tc>
        <w:tc>
          <w:tcPr>
            <w:tcW w:w="1486" w:type="pct"/>
            <w:noWrap/>
            <w:hideMark/>
          </w:tcPr>
          <w:p w14:paraId="3D6B65C1" w14:textId="77777777" w:rsidR="00C64F6A" w:rsidRPr="00E95E2D"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p>
        </w:tc>
        <w:tc>
          <w:tcPr>
            <w:tcW w:w="410" w:type="pct"/>
            <w:noWrap/>
            <w:hideMark/>
          </w:tcPr>
          <w:p w14:paraId="5C2B61D2"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0754A4C9"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55427149"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7100D52F"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E95E2D" w14:paraId="58839FBC" w14:textId="77777777" w:rsidTr="009463F3">
        <w:trPr>
          <w:trHeight w:val="300"/>
        </w:trPr>
        <w:tc>
          <w:tcPr>
            <w:tcW w:w="118" w:type="pct"/>
            <w:noWrap/>
            <w:hideMark/>
          </w:tcPr>
          <w:p w14:paraId="2A26915B"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757" w:type="pct"/>
            <w:noWrap/>
            <w:hideMark/>
          </w:tcPr>
          <w:p w14:paraId="24A31A64"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486" w:type="pct"/>
            <w:noWrap/>
            <w:hideMark/>
          </w:tcPr>
          <w:p w14:paraId="20382900"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2589A118"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2BF5E31F"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1316E818"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70D28D4C"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E95E2D" w14:paraId="25BBFEF1" w14:textId="77777777" w:rsidTr="009463F3">
        <w:trPr>
          <w:trHeight w:val="300"/>
        </w:trPr>
        <w:tc>
          <w:tcPr>
            <w:tcW w:w="118" w:type="pct"/>
            <w:noWrap/>
            <w:hideMark/>
          </w:tcPr>
          <w:p w14:paraId="4C93C457"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757" w:type="pct"/>
            <w:noWrap/>
            <w:hideMark/>
          </w:tcPr>
          <w:p w14:paraId="5BE01DAA" w14:textId="77777777" w:rsidR="00C64F6A" w:rsidRPr="00E95E2D"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Definitions</w:t>
            </w:r>
          </w:p>
        </w:tc>
        <w:tc>
          <w:tcPr>
            <w:tcW w:w="1486" w:type="pct"/>
            <w:noWrap/>
            <w:hideMark/>
          </w:tcPr>
          <w:p w14:paraId="3FDED75A" w14:textId="77777777" w:rsidR="00C64F6A" w:rsidRPr="00E95E2D"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p>
        </w:tc>
        <w:tc>
          <w:tcPr>
            <w:tcW w:w="410" w:type="pct"/>
            <w:noWrap/>
            <w:hideMark/>
          </w:tcPr>
          <w:p w14:paraId="62F8744E"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7092C1A7"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491C2465"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57AD12ED"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E95E2D" w14:paraId="0D082030" w14:textId="77777777" w:rsidTr="009463F3">
        <w:trPr>
          <w:trHeight w:val="300"/>
        </w:trPr>
        <w:tc>
          <w:tcPr>
            <w:tcW w:w="118" w:type="pct"/>
            <w:noWrap/>
            <w:hideMark/>
          </w:tcPr>
          <w:p w14:paraId="38302C28"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757" w:type="pct"/>
            <w:noWrap/>
            <w:hideMark/>
          </w:tcPr>
          <w:p w14:paraId="2B1AD4BF" w14:textId="77777777" w:rsidR="00C64F6A" w:rsidRPr="00E95E2D"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DSO (Days Sales Outstanding) = (Accounts Receivable ÷ Net Sales) × 365</w:t>
            </w:r>
          </w:p>
        </w:tc>
        <w:tc>
          <w:tcPr>
            <w:tcW w:w="1486" w:type="pct"/>
            <w:noWrap/>
            <w:hideMark/>
          </w:tcPr>
          <w:p w14:paraId="3F60718A" w14:textId="77777777" w:rsidR="00C64F6A" w:rsidRPr="00E95E2D"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p>
        </w:tc>
        <w:tc>
          <w:tcPr>
            <w:tcW w:w="410" w:type="pct"/>
            <w:noWrap/>
            <w:hideMark/>
          </w:tcPr>
          <w:p w14:paraId="71F07FEA"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32682A78"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61321E2D"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5ABC835B"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E95E2D" w14:paraId="51628EEA" w14:textId="77777777" w:rsidTr="009463F3">
        <w:trPr>
          <w:trHeight w:val="300"/>
        </w:trPr>
        <w:tc>
          <w:tcPr>
            <w:tcW w:w="118" w:type="pct"/>
            <w:noWrap/>
            <w:hideMark/>
          </w:tcPr>
          <w:p w14:paraId="0BC79B05"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757" w:type="pct"/>
            <w:noWrap/>
            <w:hideMark/>
          </w:tcPr>
          <w:p w14:paraId="0392D088" w14:textId="77777777" w:rsidR="00C64F6A" w:rsidRPr="00E95E2D"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DIO (Days Inventory Outstanding) = (Inventories ÷ Cost of Sales) × 365</w:t>
            </w:r>
          </w:p>
        </w:tc>
        <w:tc>
          <w:tcPr>
            <w:tcW w:w="1486" w:type="pct"/>
            <w:noWrap/>
            <w:hideMark/>
          </w:tcPr>
          <w:p w14:paraId="3256B059" w14:textId="77777777" w:rsidR="00C64F6A" w:rsidRPr="00E95E2D"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p>
        </w:tc>
        <w:tc>
          <w:tcPr>
            <w:tcW w:w="410" w:type="pct"/>
            <w:noWrap/>
            <w:hideMark/>
          </w:tcPr>
          <w:p w14:paraId="42B80FFD"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2A4A2598"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7990F309"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48C890A9"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E95E2D" w14:paraId="7D724FB8" w14:textId="77777777" w:rsidTr="009463F3">
        <w:trPr>
          <w:trHeight w:val="300"/>
        </w:trPr>
        <w:tc>
          <w:tcPr>
            <w:tcW w:w="118" w:type="pct"/>
            <w:noWrap/>
            <w:hideMark/>
          </w:tcPr>
          <w:p w14:paraId="4D1199F3"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757" w:type="pct"/>
            <w:noWrap/>
            <w:hideMark/>
          </w:tcPr>
          <w:p w14:paraId="374BCB2E" w14:textId="77777777" w:rsidR="00C64F6A" w:rsidRPr="00E95E2D"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DPO (Days Payables Outstanding) = (Accounts Payable ÷ Cost of Sales) × 365</w:t>
            </w:r>
          </w:p>
        </w:tc>
        <w:tc>
          <w:tcPr>
            <w:tcW w:w="1486" w:type="pct"/>
            <w:noWrap/>
            <w:hideMark/>
          </w:tcPr>
          <w:p w14:paraId="71BE7D9F" w14:textId="77777777" w:rsidR="00C64F6A" w:rsidRPr="00E95E2D"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p>
        </w:tc>
        <w:tc>
          <w:tcPr>
            <w:tcW w:w="410" w:type="pct"/>
            <w:noWrap/>
            <w:hideMark/>
          </w:tcPr>
          <w:p w14:paraId="33E63BC4"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228FA38C"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7B82076D"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4663CB12"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E95E2D" w14:paraId="23605DFA" w14:textId="77777777" w:rsidTr="009463F3">
        <w:trPr>
          <w:trHeight w:val="300"/>
        </w:trPr>
        <w:tc>
          <w:tcPr>
            <w:tcW w:w="118" w:type="pct"/>
            <w:noWrap/>
            <w:hideMark/>
          </w:tcPr>
          <w:p w14:paraId="25695269"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757" w:type="pct"/>
            <w:noWrap/>
            <w:hideMark/>
          </w:tcPr>
          <w:p w14:paraId="548B56B1" w14:textId="77777777" w:rsidR="00C64F6A" w:rsidRPr="00E95E2D"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CCC = DSO + DIO − DPO</w:t>
            </w:r>
          </w:p>
        </w:tc>
        <w:tc>
          <w:tcPr>
            <w:tcW w:w="1486" w:type="pct"/>
            <w:noWrap/>
            <w:hideMark/>
          </w:tcPr>
          <w:p w14:paraId="0089A842" w14:textId="77777777" w:rsidR="00C64F6A" w:rsidRPr="00E95E2D"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p>
        </w:tc>
        <w:tc>
          <w:tcPr>
            <w:tcW w:w="410" w:type="pct"/>
            <w:noWrap/>
            <w:hideMark/>
          </w:tcPr>
          <w:p w14:paraId="3C08AB4B"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33A02262"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2153C925"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2658451E"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E95E2D" w14:paraId="3BA0CE07" w14:textId="77777777" w:rsidTr="009463F3">
        <w:trPr>
          <w:trHeight w:val="300"/>
        </w:trPr>
        <w:tc>
          <w:tcPr>
            <w:tcW w:w="118" w:type="pct"/>
            <w:noWrap/>
            <w:hideMark/>
          </w:tcPr>
          <w:p w14:paraId="4301FDA3"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757" w:type="pct"/>
            <w:noWrap/>
            <w:hideMark/>
          </w:tcPr>
          <w:p w14:paraId="3E6C2A6F"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486" w:type="pct"/>
            <w:noWrap/>
            <w:hideMark/>
          </w:tcPr>
          <w:p w14:paraId="56A4C475"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0A119812"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60039CAA"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059E1375"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1C5D1FFC"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E95E2D" w14:paraId="5A0E7E37" w14:textId="77777777" w:rsidTr="009463F3">
        <w:trPr>
          <w:trHeight w:val="300"/>
        </w:trPr>
        <w:tc>
          <w:tcPr>
            <w:tcW w:w="118" w:type="pct"/>
            <w:noWrap/>
            <w:hideMark/>
          </w:tcPr>
          <w:p w14:paraId="230CC753"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757" w:type="pct"/>
            <w:noWrap/>
            <w:hideMark/>
          </w:tcPr>
          <w:p w14:paraId="3C477A64"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486" w:type="pct"/>
            <w:noWrap/>
            <w:hideMark/>
          </w:tcPr>
          <w:p w14:paraId="1D2F33DC"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36E5371E"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12805C95"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616C7C12"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19E0A45F"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E95E2D" w14:paraId="77114E80" w14:textId="77777777" w:rsidTr="009463F3">
        <w:trPr>
          <w:trHeight w:val="300"/>
        </w:trPr>
        <w:tc>
          <w:tcPr>
            <w:tcW w:w="118" w:type="pct"/>
            <w:noWrap/>
            <w:hideMark/>
          </w:tcPr>
          <w:p w14:paraId="790CFC89"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757" w:type="pct"/>
            <w:noWrap/>
            <w:hideMark/>
          </w:tcPr>
          <w:p w14:paraId="02411DF1" w14:textId="77777777" w:rsidR="00C64F6A" w:rsidRPr="00E95E2D"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1. Days Sales Outstanding (DSO) – Calculation Table</w:t>
            </w:r>
          </w:p>
        </w:tc>
        <w:tc>
          <w:tcPr>
            <w:tcW w:w="1486" w:type="pct"/>
            <w:noWrap/>
            <w:hideMark/>
          </w:tcPr>
          <w:p w14:paraId="172657EE"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2020</w:t>
            </w:r>
          </w:p>
        </w:tc>
        <w:tc>
          <w:tcPr>
            <w:tcW w:w="410" w:type="pct"/>
            <w:noWrap/>
            <w:hideMark/>
          </w:tcPr>
          <w:p w14:paraId="350813D7"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2021</w:t>
            </w:r>
          </w:p>
        </w:tc>
        <w:tc>
          <w:tcPr>
            <w:tcW w:w="410" w:type="pct"/>
            <w:noWrap/>
            <w:hideMark/>
          </w:tcPr>
          <w:p w14:paraId="11EDE970"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2022</w:t>
            </w:r>
          </w:p>
        </w:tc>
        <w:tc>
          <w:tcPr>
            <w:tcW w:w="410" w:type="pct"/>
            <w:noWrap/>
            <w:hideMark/>
          </w:tcPr>
          <w:p w14:paraId="6F21285B"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2023</w:t>
            </w:r>
          </w:p>
        </w:tc>
        <w:tc>
          <w:tcPr>
            <w:tcW w:w="410" w:type="pct"/>
            <w:noWrap/>
            <w:hideMark/>
          </w:tcPr>
          <w:p w14:paraId="66160D83"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2024</w:t>
            </w:r>
          </w:p>
        </w:tc>
      </w:tr>
      <w:tr w:rsidR="00C64F6A" w:rsidRPr="00E95E2D" w14:paraId="43C852DF" w14:textId="77777777" w:rsidTr="009463F3">
        <w:trPr>
          <w:trHeight w:val="300"/>
        </w:trPr>
        <w:tc>
          <w:tcPr>
            <w:tcW w:w="118" w:type="pct"/>
            <w:noWrap/>
            <w:hideMark/>
          </w:tcPr>
          <w:p w14:paraId="6DFD84A0"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p>
        </w:tc>
        <w:tc>
          <w:tcPr>
            <w:tcW w:w="1757" w:type="pct"/>
            <w:noWrap/>
            <w:hideMark/>
          </w:tcPr>
          <w:p w14:paraId="31D5DF58" w14:textId="77777777" w:rsidR="00C64F6A" w:rsidRPr="00E95E2D"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Accounts Receivable (£m)</w:t>
            </w:r>
          </w:p>
        </w:tc>
        <w:tc>
          <w:tcPr>
            <w:tcW w:w="1486" w:type="pct"/>
            <w:noWrap/>
            <w:hideMark/>
          </w:tcPr>
          <w:p w14:paraId="74E5F820"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129,433</w:t>
            </w:r>
          </w:p>
        </w:tc>
        <w:tc>
          <w:tcPr>
            <w:tcW w:w="410" w:type="pct"/>
            <w:noWrap/>
            <w:hideMark/>
          </w:tcPr>
          <w:p w14:paraId="356CD691"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129,215</w:t>
            </w:r>
          </w:p>
        </w:tc>
        <w:tc>
          <w:tcPr>
            <w:tcW w:w="410" w:type="pct"/>
            <w:noWrap/>
            <w:hideMark/>
          </w:tcPr>
          <w:p w14:paraId="2B7044BB"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112,346</w:t>
            </w:r>
          </w:p>
        </w:tc>
        <w:tc>
          <w:tcPr>
            <w:tcW w:w="410" w:type="pct"/>
            <w:noWrap/>
            <w:hideMark/>
          </w:tcPr>
          <w:p w14:paraId="0D097B6D"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112,596</w:t>
            </w:r>
          </w:p>
        </w:tc>
        <w:tc>
          <w:tcPr>
            <w:tcW w:w="410" w:type="pct"/>
            <w:noWrap/>
            <w:hideMark/>
          </w:tcPr>
          <w:p w14:paraId="3FD0AEA2"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114,182</w:t>
            </w:r>
          </w:p>
        </w:tc>
      </w:tr>
      <w:tr w:rsidR="00C64F6A" w:rsidRPr="00E95E2D" w14:paraId="61025FDD" w14:textId="77777777" w:rsidTr="009463F3">
        <w:trPr>
          <w:trHeight w:val="300"/>
        </w:trPr>
        <w:tc>
          <w:tcPr>
            <w:tcW w:w="118" w:type="pct"/>
            <w:noWrap/>
            <w:hideMark/>
          </w:tcPr>
          <w:p w14:paraId="771FFC91"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p>
        </w:tc>
        <w:tc>
          <w:tcPr>
            <w:tcW w:w="1757" w:type="pct"/>
            <w:noWrap/>
            <w:hideMark/>
          </w:tcPr>
          <w:p w14:paraId="2129326D" w14:textId="77777777" w:rsidR="00C64F6A" w:rsidRPr="00E95E2D"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Net Sales (£m)</w:t>
            </w:r>
          </w:p>
        </w:tc>
        <w:tc>
          <w:tcPr>
            <w:tcW w:w="1486" w:type="pct"/>
            <w:noWrap/>
            <w:hideMark/>
          </w:tcPr>
          <w:p w14:paraId="44803ADE"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614,680</w:t>
            </w:r>
          </w:p>
        </w:tc>
        <w:tc>
          <w:tcPr>
            <w:tcW w:w="410" w:type="pct"/>
            <w:noWrap/>
            <w:hideMark/>
          </w:tcPr>
          <w:p w14:paraId="065F2421"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601,602</w:t>
            </w:r>
          </w:p>
        </w:tc>
        <w:tc>
          <w:tcPr>
            <w:tcW w:w="410" w:type="pct"/>
            <w:noWrap/>
            <w:hideMark/>
          </w:tcPr>
          <w:p w14:paraId="0AF9B26D"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542,751</w:t>
            </w:r>
          </w:p>
        </w:tc>
        <w:tc>
          <w:tcPr>
            <w:tcW w:w="410" w:type="pct"/>
            <w:noWrap/>
            <w:hideMark/>
          </w:tcPr>
          <w:p w14:paraId="283EA810"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420,457</w:t>
            </w:r>
          </w:p>
        </w:tc>
        <w:tc>
          <w:tcPr>
            <w:tcW w:w="410" w:type="pct"/>
            <w:noWrap/>
            <w:hideMark/>
          </w:tcPr>
          <w:p w14:paraId="06C22497"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394,879</w:t>
            </w:r>
          </w:p>
        </w:tc>
      </w:tr>
      <w:tr w:rsidR="00C64F6A" w:rsidRPr="00E95E2D" w14:paraId="4821AABA" w14:textId="77777777" w:rsidTr="009463F3">
        <w:trPr>
          <w:trHeight w:val="300"/>
        </w:trPr>
        <w:tc>
          <w:tcPr>
            <w:tcW w:w="118" w:type="pct"/>
            <w:noWrap/>
            <w:hideMark/>
          </w:tcPr>
          <w:p w14:paraId="3324852A"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p>
        </w:tc>
        <w:tc>
          <w:tcPr>
            <w:tcW w:w="1757" w:type="pct"/>
            <w:noWrap/>
            <w:hideMark/>
          </w:tcPr>
          <w:p w14:paraId="1B157AF8" w14:textId="77777777" w:rsidR="00C64F6A" w:rsidRPr="00E95E2D"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DSO (days)</w:t>
            </w:r>
          </w:p>
        </w:tc>
        <w:tc>
          <w:tcPr>
            <w:tcW w:w="1486" w:type="pct"/>
            <w:noWrap/>
            <w:hideMark/>
          </w:tcPr>
          <w:p w14:paraId="221B465A"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76.86</w:t>
            </w:r>
          </w:p>
        </w:tc>
        <w:tc>
          <w:tcPr>
            <w:tcW w:w="410" w:type="pct"/>
            <w:noWrap/>
            <w:hideMark/>
          </w:tcPr>
          <w:p w14:paraId="0B669E66"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78.40</w:t>
            </w:r>
          </w:p>
        </w:tc>
        <w:tc>
          <w:tcPr>
            <w:tcW w:w="410" w:type="pct"/>
            <w:noWrap/>
            <w:hideMark/>
          </w:tcPr>
          <w:p w14:paraId="7AD76F44"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75.55</w:t>
            </w:r>
          </w:p>
        </w:tc>
        <w:tc>
          <w:tcPr>
            <w:tcW w:w="410" w:type="pct"/>
            <w:noWrap/>
            <w:hideMark/>
          </w:tcPr>
          <w:p w14:paraId="35D47718"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97.74</w:t>
            </w:r>
          </w:p>
        </w:tc>
        <w:tc>
          <w:tcPr>
            <w:tcW w:w="410" w:type="pct"/>
            <w:noWrap/>
            <w:hideMark/>
          </w:tcPr>
          <w:p w14:paraId="32E9A312"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105.54</w:t>
            </w:r>
          </w:p>
        </w:tc>
      </w:tr>
      <w:tr w:rsidR="00C64F6A" w:rsidRPr="00E95E2D" w14:paraId="2B0EC95A" w14:textId="77777777" w:rsidTr="009463F3">
        <w:trPr>
          <w:trHeight w:val="300"/>
        </w:trPr>
        <w:tc>
          <w:tcPr>
            <w:tcW w:w="118" w:type="pct"/>
            <w:noWrap/>
            <w:hideMark/>
          </w:tcPr>
          <w:p w14:paraId="4E9F7C75"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p>
        </w:tc>
        <w:tc>
          <w:tcPr>
            <w:tcW w:w="1757" w:type="pct"/>
            <w:noWrap/>
            <w:hideMark/>
          </w:tcPr>
          <w:p w14:paraId="57767B01"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486" w:type="pct"/>
            <w:noWrap/>
            <w:hideMark/>
          </w:tcPr>
          <w:p w14:paraId="7759C1C8"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496C0F7D"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519B15BC"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459DB9A5"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4EE7BB71"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E95E2D" w14:paraId="3BAB17EE" w14:textId="77777777" w:rsidTr="009463F3">
        <w:trPr>
          <w:trHeight w:val="300"/>
        </w:trPr>
        <w:tc>
          <w:tcPr>
            <w:tcW w:w="118" w:type="pct"/>
            <w:noWrap/>
            <w:hideMark/>
          </w:tcPr>
          <w:p w14:paraId="714F395D"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757" w:type="pct"/>
            <w:noWrap/>
            <w:hideMark/>
          </w:tcPr>
          <w:p w14:paraId="0758A36B"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486" w:type="pct"/>
            <w:noWrap/>
            <w:hideMark/>
          </w:tcPr>
          <w:p w14:paraId="6E81F272"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0A3EF08F"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2B9F5C37"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1BA181A6"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1DF784B7"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E95E2D" w14:paraId="7A828287" w14:textId="77777777" w:rsidTr="009463F3">
        <w:trPr>
          <w:trHeight w:val="300"/>
        </w:trPr>
        <w:tc>
          <w:tcPr>
            <w:tcW w:w="118" w:type="pct"/>
            <w:noWrap/>
            <w:hideMark/>
          </w:tcPr>
          <w:p w14:paraId="2DC1C8D3"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757" w:type="pct"/>
            <w:noWrap/>
            <w:hideMark/>
          </w:tcPr>
          <w:p w14:paraId="7E420570"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486" w:type="pct"/>
            <w:noWrap/>
            <w:hideMark/>
          </w:tcPr>
          <w:p w14:paraId="45D7A222"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7C73C358"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001A14BD"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039A3D41"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4F2C88A2"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E95E2D" w14:paraId="42A0C351" w14:textId="77777777" w:rsidTr="009463F3">
        <w:trPr>
          <w:trHeight w:val="300"/>
        </w:trPr>
        <w:tc>
          <w:tcPr>
            <w:tcW w:w="118" w:type="pct"/>
            <w:noWrap/>
            <w:hideMark/>
          </w:tcPr>
          <w:p w14:paraId="7BD680A2"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757" w:type="pct"/>
            <w:noWrap/>
            <w:hideMark/>
          </w:tcPr>
          <w:p w14:paraId="6F11AFF9" w14:textId="77777777" w:rsidR="00C64F6A" w:rsidRPr="00E95E2D"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2. Days Inventory Outstanding (DIO) – Calculation Table</w:t>
            </w:r>
          </w:p>
        </w:tc>
        <w:tc>
          <w:tcPr>
            <w:tcW w:w="1486" w:type="pct"/>
            <w:noWrap/>
            <w:hideMark/>
          </w:tcPr>
          <w:p w14:paraId="1498DDAB"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2020</w:t>
            </w:r>
          </w:p>
        </w:tc>
        <w:tc>
          <w:tcPr>
            <w:tcW w:w="410" w:type="pct"/>
            <w:noWrap/>
            <w:hideMark/>
          </w:tcPr>
          <w:p w14:paraId="477CA67D"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2021</w:t>
            </w:r>
          </w:p>
        </w:tc>
        <w:tc>
          <w:tcPr>
            <w:tcW w:w="410" w:type="pct"/>
            <w:noWrap/>
            <w:hideMark/>
          </w:tcPr>
          <w:p w14:paraId="140BDA30"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2022</w:t>
            </w:r>
          </w:p>
        </w:tc>
        <w:tc>
          <w:tcPr>
            <w:tcW w:w="410" w:type="pct"/>
            <w:noWrap/>
            <w:hideMark/>
          </w:tcPr>
          <w:p w14:paraId="25BE0F92"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2023</w:t>
            </w:r>
          </w:p>
        </w:tc>
        <w:tc>
          <w:tcPr>
            <w:tcW w:w="410" w:type="pct"/>
            <w:noWrap/>
            <w:hideMark/>
          </w:tcPr>
          <w:p w14:paraId="07682D5B"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2024</w:t>
            </w:r>
          </w:p>
        </w:tc>
      </w:tr>
      <w:tr w:rsidR="00C64F6A" w:rsidRPr="00E95E2D" w14:paraId="26A2BC37" w14:textId="77777777" w:rsidTr="009463F3">
        <w:trPr>
          <w:trHeight w:val="300"/>
        </w:trPr>
        <w:tc>
          <w:tcPr>
            <w:tcW w:w="118" w:type="pct"/>
            <w:noWrap/>
            <w:hideMark/>
          </w:tcPr>
          <w:p w14:paraId="2C71CA4D"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p>
        </w:tc>
        <w:tc>
          <w:tcPr>
            <w:tcW w:w="1757" w:type="pct"/>
            <w:noWrap/>
            <w:hideMark/>
          </w:tcPr>
          <w:p w14:paraId="246AB794" w14:textId="77777777" w:rsidR="00C64F6A" w:rsidRPr="00E95E2D"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Inventories (£m)</w:t>
            </w:r>
          </w:p>
        </w:tc>
        <w:tc>
          <w:tcPr>
            <w:tcW w:w="1486" w:type="pct"/>
            <w:noWrap/>
            <w:hideMark/>
          </w:tcPr>
          <w:p w14:paraId="2D1166CF"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120,430</w:t>
            </w:r>
          </w:p>
        </w:tc>
        <w:tc>
          <w:tcPr>
            <w:tcW w:w="410" w:type="pct"/>
            <w:noWrap/>
            <w:hideMark/>
          </w:tcPr>
          <w:p w14:paraId="0FA1D5F7"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134,469</w:t>
            </w:r>
          </w:p>
        </w:tc>
        <w:tc>
          <w:tcPr>
            <w:tcW w:w="410" w:type="pct"/>
            <w:noWrap/>
            <w:hideMark/>
          </w:tcPr>
          <w:p w14:paraId="4E9A1223"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140,181</w:t>
            </w:r>
          </w:p>
        </w:tc>
        <w:tc>
          <w:tcPr>
            <w:tcW w:w="410" w:type="pct"/>
            <w:noWrap/>
            <w:hideMark/>
          </w:tcPr>
          <w:p w14:paraId="07B6A568"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88,273</w:t>
            </w:r>
          </w:p>
        </w:tc>
        <w:tc>
          <w:tcPr>
            <w:tcW w:w="410" w:type="pct"/>
            <w:noWrap/>
            <w:hideMark/>
          </w:tcPr>
          <w:p w14:paraId="04F42E59"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79,355</w:t>
            </w:r>
          </w:p>
        </w:tc>
      </w:tr>
      <w:tr w:rsidR="00C64F6A" w:rsidRPr="00E95E2D" w14:paraId="3AC802D0" w14:textId="77777777" w:rsidTr="009463F3">
        <w:trPr>
          <w:trHeight w:val="300"/>
        </w:trPr>
        <w:tc>
          <w:tcPr>
            <w:tcW w:w="118" w:type="pct"/>
            <w:noWrap/>
            <w:hideMark/>
          </w:tcPr>
          <w:p w14:paraId="4C1B4014"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p>
        </w:tc>
        <w:tc>
          <w:tcPr>
            <w:tcW w:w="1757" w:type="pct"/>
            <w:noWrap/>
            <w:hideMark/>
          </w:tcPr>
          <w:p w14:paraId="4C761EA6" w14:textId="77777777" w:rsidR="00C64F6A" w:rsidRPr="00E95E2D"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Cost of Sales (£m)</w:t>
            </w:r>
          </w:p>
        </w:tc>
        <w:tc>
          <w:tcPr>
            <w:tcW w:w="1486" w:type="pct"/>
            <w:noWrap/>
            <w:hideMark/>
          </w:tcPr>
          <w:p w14:paraId="6A82A8E8"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438,424</w:t>
            </w:r>
          </w:p>
        </w:tc>
        <w:tc>
          <w:tcPr>
            <w:tcW w:w="410" w:type="pct"/>
            <w:noWrap/>
            <w:hideMark/>
          </w:tcPr>
          <w:p w14:paraId="3196CDFC"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428,586</w:t>
            </w:r>
          </w:p>
        </w:tc>
        <w:tc>
          <w:tcPr>
            <w:tcW w:w="410" w:type="pct"/>
            <w:noWrap/>
            <w:hideMark/>
          </w:tcPr>
          <w:p w14:paraId="01690023"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390,459</w:t>
            </w:r>
          </w:p>
        </w:tc>
        <w:tc>
          <w:tcPr>
            <w:tcW w:w="410" w:type="pct"/>
            <w:noWrap/>
            <w:hideMark/>
          </w:tcPr>
          <w:p w14:paraId="3436EC0C"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322,897</w:t>
            </w:r>
          </w:p>
        </w:tc>
        <w:tc>
          <w:tcPr>
            <w:tcW w:w="410" w:type="pct"/>
            <w:noWrap/>
            <w:hideMark/>
          </w:tcPr>
          <w:p w14:paraId="3A0A5E14"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280,885</w:t>
            </w:r>
          </w:p>
        </w:tc>
      </w:tr>
      <w:tr w:rsidR="00C64F6A" w:rsidRPr="00E95E2D" w14:paraId="35F241DC" w14:textId="77777777" w:rsidTr="009463F3">
        <w:trPr>
          <w:trHeight w:val="300"/>
        </w:trPr>
        <w:tc>
          <w:tcPr>
            <w:tcW w:w="118" w:type="pct"/>
            <w:noWrap/>
            <w:hideMark/>
          </w:tcPr>
          <w:p w14:paraId="2620CA1E"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p>
        </w:tc>
        <w:tc>
          <w:tcPr>
            <w:tcW w:w="1757" w:type="pct"/>
            <w:noWrap/>
            <w:hideMark/>
          </w:tcPr>
          <w:p w14:paraId="52F6B198" w14:textId="77777777" w:rsidR="00C64F6A" w:rsidRPr="00E95E2D"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DIO (days)</w:t>
            </w:r>
          </w:p>
        </w:tc>
        <w:tc>
          <w:tcPr>
            <w:tcW w:w="1486" w:type="pct"/>
            <w:noWrap/>
            <w:hideMark/>
          </w:tcPr>
          <w:p w14:paraId="5D08061C"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100.26</w:t>
            </w:r>
          </w:p>
        </w:tc>
        <w:tc>
          <w:tcPr>
            <w:tcW w:w="410" w:type="pct"/>
            <w:noWrap/>
            <w:hideMark/>
          </w:tcPr>
          <w:p w14:paraId="17DF3D9C"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114.52</w:t>
            </w:r>
          </w:p>
        </w:tc>
        <w:tc>
          <w:tcPr>
            <w:tcW w:w="410" w:type="pct"/>
            <w:noWrap/>
            <w:hideMark/>
          </w:tcPr>
          <w:p w14:paraId="6A4B508D"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131.04</w:t>
            </w:r>
          </w:p>
        </w:tc>
        <w:tc>
          <w:tcPr>
            <w:tcW w:w="410" w:type="pct"/>
            <w:noWrap/>
            <w:hideMark/>
          </w:tcPr>
          <w:p w14:paraId="665E2AFB"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99.78</w:t>
            </w:r>
          </w:p>
        </w:tc>
        <w:tc>
          <w:tcPr>
            <w:tcW w:w="410" w:type="pct"/>
            <w:noWrap/>
            <w:hideMark/>
          </w:tcPr>
          <w:p w14:paraId="45A3BF64"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103.12</w:t>
            </w:r>
          </w:p>
        </w:tc>
      </w:tr>
      <w:tr w:rsidR="00C64F6A" w:rsidRPr="00E95E2D" w14:paraId="5AA82104" w14:textId="77777777" w:rsidTr="009463F3">
        <w:trPr>
          <w:trHeight w:val="300"/>
        </w:trPr>
        <w:tc>
          <w:tcPr>
            <w:tcW w:w="118" w:type="pct"/>
            <w:noWrap/>
            <w:hideMark/>
          </w:tcPr>
          <w:p w14:paraId="29D5694B"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p>
        </w:tc>
        <w:tc>
          <w:tcPr>
            <w:tcW w:w="1757" w:type="pct"/>
            <w:noWrap/>
            <w:hideMark/>
          </w:tcPr>
          <w:p w14:paraId="7B3529F3"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486" w:type="pct"/>
            <w:noWrap/>
            <w:hideMark/>
          </w:tcPr>
          <w:p w14:paraId="419748F6"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63D6DE9B"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4526C6F6"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7BAB9F5C"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020D7E04"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E95E2D" w14:paraId="2690AD84" w14:textId="77777777" w:rsidTr="009463F3">
        <w:trPr>
          <w:trHeight w:val="300"/>
        </w:trPr>
        <w:tc>
          <w:tcPr>
            <w:tcW w:w="118" w:type="pct"/>
            <w:noWrap/>
            <w:hideMark/>
          </w:tcPr>
          <w:p w14:paraId="7F076DD1"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757" w:type="pct"/>
            <w:noWrap/>
            <w:hideMark/>
          </w:tcPr>
          <w:p w14:paraId="5B0CFA30"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486" w:type="pct"/>
            <w:noWrap/>
            <w:hideMark/>
          </w:tcPr>
          <w:p w14:paraId="1BE6E8AB"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0478AAD0"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243D9401"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6963A4CE"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2EB666C0"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E95E2D" w14:paraId="2ECF1DE5" w14:textId="77777777" w:rsidTr="009463F3">
        <w:trPr>
          <w:trHeight w:val="300"/>
        </w:trPr>
        <w:tc>
          <w:tcPr>
            <w:tcW w:w="118" w:type="pct"/>
            <w:noWrap/>
            <w:hideMark/>
          </w:tcPr>
          <w:p w14:paraId="175D6BA9"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757" w:type="pct"/>
            <w:noWrap/>
            <w:hideMark/>
          </w:tcPr>
          <w:p w14:paraId="75F7E98A"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486" w:type="pct"/>
            <w:noWrap/>
            <w:hideMark/>
          </w:tcPr>
          <w:p w14:paraId="42C74759"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7208F0AE"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5C062AC3"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73A355E0"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5C2266D0"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E95E2D" w14:paraId="21418BE6" w14:textId="77777777" w:rsidTr="009463F3">
        <w:trPr>
          <w:trHeight w:val="300"/>
        </w:trPr>
        <w:tc>
          <w:tcPr>
            <w:tcW w:w="118" w:type="pct"/>
            <w:noWrap/>
            <w:hideMark/>
          </w:tcPr>
          <w:p w14:paraId="5ABA95FC"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757" w:type="pct"/>
            <w:noWrap/>
            <w:hideMark/>
          </w:tcPr>
          <w:p w14:paraId="4318BC70" w14:textId="77777777" w:rsidR="00C64F6A" w:rsidRPr="00E95E2D"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3. Days Payables Outstanding (DPO) – Calculation Table</w:t>
            </w:r>
          </w:p>
        </w:tc>
        <w:tc>
          <w:tcPr>
            <w:tcW w:w="1486" w:type="pct"/>
            <w:noWrap/>
            <w:hideMark/>
          </w:tcPr>
          <w:p w14:paraId="2701F100"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2020</w:t>
            </w:r>
          </w:p>
        </w:tc>
        <w:tc>
          <w:tcPr>
            <w:tcW w:w="410" w:type="pct"/>
            <w:noWrap/>
            <w:hideMark/>
          </w:tcPr>
          <w:p w14:paraId="10875E73"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2021</w:t>
            </w:r>
          </w:p>
        </w:tc>
        <w:tc>
          <w:tcPr>
            <w:tcW w:w="410" w:type="pct"/>
            <w:noWrap/>
            <w:hideMark/>
          </w:tcPr>
          <w:p w14:paraId="343F2643"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2022</w:t>
            </w:r>
          </w:p>
        </w:tc>
        <w:tc>
          <w:tcPr>
            <w:tcW w:w="410" w:type="pct"/>
            <w:noWrap/>
            <w:hideMark/>
          </w:tcPr>
          <w:p w14:paraId="75ABB2ED"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2023</w:t>
            </w:r>
          </w:p>
        </w:tc>
        <w:tc>
          <w:tcPr>
            <w:tcW w:w="410" w:type="pct"/>
            <w:noWrap/>
            <w:hideMark/>
          </w:tcPr>
          <w:p w14:paraId="56FC1F17"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2024</w:t>
            </w:r>
          </w:p>
        </w:tc>
      </w:tr>
      <w:tr w:rsidR="00C64F6A" w:rsidRPr="00E95E2D" w14:paraId="6EBC71EA" w14:textId="77777777" w:rsidTr="009463F3">
        <w:trPr>
          <w:trHeight w:val="300"/>
        </w:trPr>
        <w:tc>
          <w:tcPr>
            <w:tcW w:w="118" w:type="pct"/>
            <w:noWrap/>
            <w:hideMark/>
          </w:tcPr>
          <w:p w14:paraId="6AA0C886"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p>
        </w:tc>
        <w:tc>
          <w:tcPr>
            <w:tcW w:w="1757" w:type="pct"/>
            <w:noWrap/>
            <w:hideMark/>
          </w:tcPr>
          <w:p w14:paraId="3539B1F2" w14:textId="77777777" w:rsidR="00C64F6A" w:rsidRPr="00E95E2D"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Accounts Payable (£m)</w:t>
            </w:r>
          </w:p>
        </w:tc>
        <w:tc>
          <w:tcPr>
            <w:tcW w:w="1486" w:type="pct"/>
            <w:noWrap/>
            <w:hideMark/>
          </w:tcPr>
          <w:p w14:paraId="016C4EA9"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83,229</w:t>
            </w:r>
          </w:p>
        </w:tc>
        <w:tc>
          <w:tcPr>
            <w:tcW w:w="410" w:type="pct"/>
            <w:noWrap/>
            <w:hideMark/>
          </w:tcPr>
          <w:p w14:paraId="33125049"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92,707</w:t>
            </w:r>
          </w:p>
        </w:tc>
        <w:tc>
          <w:tcPr>
            <w:tcW w:w="410" w:type="pct"/>
            <w:noWrap/>
            <w:hideMark/>
          </w:tcPr>
          <w:p w14:paraId="609EBE69"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71,373</w:t>
            </w:r>
          </w:p>
        </w:tc>
        <w:tc>
          <w:tcPr>
            <w:tcW w:w="410" w:type="pct"/>
            <w:noWrap/>
            <w:hideMark/>
          </w:tcPr>
          <w:p w14:paraId="44FBA8D5"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57,033</w:t>
            </w:r>
          </w:p>
        </w:tc>
        <w:tc>
          <w:tcPr>
            <w:tcW w:w="410" w:type="pct"/>
            <w:noWrap/>
            <w:hideMark/>
          </w:tcPr>
          <w:p w14:paraId="0588DE15"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72,031</w:t>
            </w:r>
          </w:p>
        </w:tc>
      </w:tr>
      <w:tr w:rsidR="00C64F6A" w:rsidRPr="00E95E2D" w14:paraId="56C5AF08" w14:textId="77777777" w:rsidTr="009463F3">
        <w:trPr>
          <w:trHeight w:val="300"/>
        </w:trPr>
        <w:tc>
          <w:tcPr>
            <w:tcW w:w="118" w:type="pct"/>
            <w:noWrap/>
            <w:hideMark/>
          </w:tcPr>
          <w:p w14:paraId="4E6B173E"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p>
        </w:tc>
        <w:tc>
          <w:tcPr>
            <w:tcW w:w="1757" w:type="pct"/>
            <w:noWrap/>
            <w:hideMark/>
          </w:tcPr>
          <w:p w14:paraId="7D677B76" w14:textId="77777777" w:rsidR="00C64F6A" w:rsidRPr="00E95E2D"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Cost of Sales (£m)</w:t>
            </w:r>
          </w:p>
        </w:tc>
        <w:tc>
          <w:tcPr>
            <w:tcW w:w="1486" w:type="pct"/>
            <w:noWrap/>
            <w:hideMark/>
          </w:tcPr>
          <w:p w14:paraId="05F86B30"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438,424</w:t>
            </w:r>
          </w:p>
        </w:tc>
        <w:tc>
          <w:tcPr>
            <w:tcW w:w="410" w:type="pct"/>
            <w:noWrap/>
            <w:hideMark/>
          </w:tcPr>
          <w:p w14:paraId="2634B3BB"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428,586</w:t>
            </w:r>
          </w:p>
        </w:tc>
        <w:tc>
          <w:tcPr>
            <w:tcW w:w="410" w:type="pct"/>
            <w:noWrap/>
            <w:hideMark/>
          </w:tcPr>
          <w:p w14:paraId="4EDFD59D"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390,459</w:t>
            </w:r>
          </w:p>
        </w:tc>
        <w:tc>
          <w:tcPr>
            <w:tcW w:w="410" w:type="pct"/>
            <w:noWrap/>
            <w:hideMark/>
          </w:tcPr>
          <w:p w14:paraId="7C12C937"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322,897</w:t>
            </w:r>
          </w:p>
        </w:tc>
        <w:tc>
          <w:tcPr>
            <w:tcW w:w="410" w:type="pct"/>
            <w:noWrap/>
            <w:hideMark/>
          </w:tcPr>
          <w:p w14:paraId="77BE335F"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280,885</w:t>
            </w:r>
          </w:p>
        </w:tc>
      </w:tr>
      <w:tr w:rsidR="00C64F6A" w:rsidRPr="00E95E2D" w14:paraId="28E0B520" w14:textId="77777777" w:rsidTr="009463F3">
        <w:trPr>
          <w:trHeight w:val="300"/>
        </w:trPr>
        <w:tc>
          <w:tcPr>
            <w:tcW w:w="118" w:type="pct"/>
            <w:noWrap/>
            <w:hideMark/>
          </w:tcPr>
          <w:p w14:paraId="78D8B8EB"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p>
        </w:tc>
        <w:tc>
          <w:tcPr>
            <w:tcW w:w="1757" w:type="pct"/>
            <w:noWrap/>
            <w:hideMark/>
          </w:tcPr>
          <w:p w14:paraId="2D3B089B" w14:textId="77777777" w:rsidR="00C64F6A" w:rsidRPr="00E95E2D"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DPO (days)</w:t>
            </w:r>
          </w:p>
        </w:tc>
        <w:tc>
          <w:tcPr>
            <w:tcW w:w="1486" w:type="pct"/>
            <w:noWrap/>
            <w:hideMark/>
          </w:tcPr>
          <w:p w14:paraId="4CC5F840"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69.29</w:t>
            </w:r>
          </w:p>
        </w:tc>
        <w:tc>
          <w:tcPr>
            <w:tcW w:w="410" w:type="pct"/>
            <w:noWrap/>
            <w:hideMark/>
          </w:tcPr>
          <w:p w14:paraId="61D19633"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78.95</w:t>
            </w:r>
          </w:p>
        </w:tc>
        <w:tc>
          <w:tcPr>
            <w:tcW w:w="410" w:type="pct"/>
            <w:noWrap/>
            <w:hideMark/>
          </w:tcPr>
          <w:p w14:paraId="407C1265"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66.72</w:t>
            </w:r>
          </w:p>
        </w:tc>
        <w:tc>
          <w:tcPr>
            <w:tcW w:w="410" w:type="pct"/>
            <w:noWrap/>
            <w:hideMark/>
          </w:tcPr>
          <w:p w14:paraId="72DA8DCC"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64.47</w:t>
            </w:r>
          </w:p>
        </w:tc>
        <w:tc>
          <w:tcPr>
            <w:tcW w:w="410" w:type="pct"/>
            <w:noWrap/>
            <w:hideMark/>
          </w:tcPr>
          <w:p w14:paraId="457EB489"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93.60</w:t>
            </w:r>
          </w:p>
        </w:tc>
      </w:tr>
      <w:tr w:rsidR="00C64F6A" w:rsidRPr="00E95E2D" w14:paraId="718C0FF4" w14:textId="77777777" w:rsidTr="009463F3">
        <w:trPr>
          <w:trHeight w:val="300"/>
        </w:trPr>
        <w:tc>
          <w:tcPr>
            <w:tcW w:w="118" w:type="pct"/>
            <w:noWrap/>
            <w:hideMark/>
          </w:tcPr>
          <w:p w14:paraId="4F915FCB"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p>
        </w:tc>
        <w:tc>
          <w:tcPr>
            <w:tcW w:w="1757" w:type="pct"/>
            <w:noWrap/>
            <w:hideMark/>
          </w:tcPr>
          <w:p w14:paraId="1714E06A"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486" w:type="pct"/>
            <w:noWrap/>
            <w:hideMark/>
          </w:tcPr>
          <w:p w14:paraId="16F20B0B"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5E9E51E0"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7AB7F702"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7E8BF27F"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59E2EC32"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E95E2D" w14:paraId="77C797D7" w14:textId="77777777" w:rsidTr="009463F3">
        <w:trPr>
          <w:trHeight w:val="300"/>
        </w:trPr>
        <w:tc>
          <w:tcPr>
            <w:tcW w:w="118" w:type="pct"/>
            <w:noWrap/>
            <w:hideMark/>
          </w:tcPr>
          <w:p w14:paraId="254D0305"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757" w:type="pct"/>
            <w:noWrap/>
            <w:hideMark/>
          </w:tcPr>
          <w:p w14:paraId="1679A891"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486" w:type="pct"/>
            <w:noWrap/>
            <w:hideMark/>
          </w:tcPr>
          <w:p w14:paraId="54447CAB"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626F9C96"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6ED718FB"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4CE64401"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38CBA6B7"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E95E2D" w14:paraId="1A592CA6" w14:textId="77777777" w:rsidTr="009463F3">
        <w:trPr>
          <w:trHeight w:val="300"/>
        </w:trPr>
        <w:tc>
          <w:tcPr>
            <w:tcW w:w="118" w:type="pct"/>
            <w:noWrap/>
            <w:hideMark/>
          </w:tcPr>
          <w:p w14:paraId="3F18F962"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757" w:type="pct"/>
            <w:noWrap/>
            <w:hideMark/>
          </w:tcPr>
          <w:p w14:paraId="3C23FC31"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486" w:type="pct"/>
            <w:noWrap/>
            <w:hideMark/>
          </w:tcPr>
          <w:p w14:paraId="4B8ECA9A"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3FFF57E0"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41DB15B9"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0CDD42E3"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410" w:type="pct"/>
            <w:noWrap/>
            <w:hideMark/>
          </w:tcPr>
          <w:p w14:paraId="1F5BA86D"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r>
      <w:tr w:rsidR="00C64F6A" w:rsidRPr="00E95E2D" w14:paraId="4528B2C1" w14:textId="77777777" w:rsidTr="009463F3">
        <w:trPr>
          <w:trHeight w:val="300"/>
        </w:trPr>
        <w:tc>
          <w:tcPr>
            <w:tcW w:w="118" w:type="pct"/>
            <w:noWrap/>
            <w:hideMark/>
          </w:tcPr>
          <w:p w14:paraId="6A12A7FB" w14:textId="77777777" w:rsidR="00C64F6A" w:rsidRPr="00E95E2D" w:rsidRDefault="00C64F6A" w:rsidP="009463F3">
            <w:pPr>
              <w:spacing w:line="240" w:lineRule="auto"/>
              <w:jc w:val="left"/>
              <w:rPr>
                <w:rFonts w:ascii="Times New Roman" w:eastAsia="Times New Roman" w:hAnsi="Times New Roman" w:cs="Times New Roman"/>
                <w:kern w:val="0"/>
                <w:sz w:val="20"/>
                <w:szCs w:val="20"/>
                <w:lang w:val="en-US"/>
                <w14:ligatures w14:val="none"/>
              </w:rPr>
            </w:pPr>
          </w:p>
        </w:tc>
        <w:tc>
          <w:tcPr>
            <w:tcW w:w="1757" w:type="pct"/>
            <w:noWrap/>
            <w:hideMark/>
          </w:tcPr>
          <w:p w14:paraId="68C3338E" w14:textId="77777777" w:rsidR="00C64F6A" w:rsidRPr="00E95E2D"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4. Cash Conversion Cycle (CCC)</w:t>
            </w:r>
          </w:p>
        </w:tc>
        <w:tc>
          <w:tcPr>
            <w:tcW w:w="1486" w:type="pct"/>
            <w:noWrap/>
            <w:hideMark/>
          </w:tcPr>
          <w:p w14:paraId="239DB397"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2020</w:t>
            </w:r>
          </w:p>
        </w:tc>
        <w:tc>
          <w:tcPr>
            <w:tcW w:w="410" w:type="pct"/>
            <w:noWrap/>
            <w:hideMark/>
          </w:tcPr>
          <w:p w14:paraId="73FF7BFF"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2021</w:t>
            </w:r>
          </w:p>
        </w:tc>
        <w:tc>
          <w:tcPr>
            <w:tcW w:w="410" w:type="pct"/>
            <w:noWrap/>
            <w:hideMark/>
          </w:tcPr>
          <w:p w14:paraId="2B44E52B"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2022</w:t>
            </w:r>
          </w:p>
        </w:tc>
        <w:tc>
          <w:tcPr>
            <w:tcW w:w="410" w:type="pct"/>
            <w:noWrap/>
            <w:hideMark/>
          </w:tcPr>
          <w:p w14:paraId="0D185C18"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2023</w:t>
            </w:r>
          </w:p>
        </w:tc>
        <w:tc>
          <w:tcPr>
            <w:tcW w:w="410" w:type="pct"/>
            <w:noWrap/>
            <w:hideMark/>
          </w:tcPr>
          <w:p w14:paraId="7A91C468"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2024</w:t>
            </w:r>
          </w:p>
        </w:tc>
      </w:tr>
      <w:tr w:rsidR="00C64F6A" w:rsidRPr="00E95E2D" w14:paraId="5E4BD381" w14:textId="77777777" w:rsidTr="009463F3">
        <w:trPr>
          <w:trHeight w:val="300"/>
        </w:trPr>
        <w:tc>
          <w:tcPr>
            <w:tcW w:w="118" w:type="pct"/>
            <w:noWrap/>
            <w:hideMark/>
          </w:tcPr>
          <w:p w14:paraId="455E8262"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p>
        </w:tc>
        <w:tc>
          <w:tcPr>
            <w:tcW w:w="1757" w:type="pct"/>
            <w:noWrap/>
            <w:hideMark/>
          </w:tcPr>
          <w:p w14:paraId="55BCD57F" w14:textId="77777777" w:rsidR="00C64F6A" w:rsidRPr="00E95E2D"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Days Sales Outstanding (DSO)</w:t>
            </w:r>
          </w:p>
        </w:tc>
        <w:tc>
          <w:tcPr>
            <w:tcW w:w="1486" w:type="pct"/>
            <w:noWrap/>
            <w:hideMark/>
          </w:tcPr>
          <w:p w14:paraId="4857588E"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77</w:t>
            </w:r>
          </w:p>
        </w:tc>
        <w:tc>
          <w:tcPr>
            <w:tcW w:w="410" w:type="pct"/>
            <w:noWrap/>
            <w:hideMark/>
          </w:tcPr>
          <w:p w14:paraId="59ED1D3F"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78</w:t>
            </w:r>
          </w:p>
        </w:tc>
        <w:tc>
          <w:tcPr>
            <w:tcW w:w="410" w:type="pct"/>
            <w:noWrap/>
            <w:hideMark/>
          </w:tcPr>
          <w:p w14:paraId="7887D5AC"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76</w:t>
            </w:r>
          </w:p>
        </w:tc>
        <w:tc>
          <w:tcPr>
            <w:tcW w:w="410" w:type="pct"/>
            <w:noWrap/>
            <w:hideMark/>
          </w:tcPr>
          <w:p w14:paraId="0E1D14E2"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98</w:t>
            </w:r>
          </w:p>
        </w:tc>
        <w:tc>
          <w:tcPr>
            <w:tcW w:w="410" w:type="pct"/>
            <w:noWrap/>
            <w:hideMark/>
          </w:tcPr>
          <w:p w14:paraId="0CB6DD13"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105</w:t>
            </w:r>
          </w:p>
        </w:tc>
      </w:tr>
      <w:tr w:rsidR="00C64F6A" w:rsidRPr="00E95E2D" w14:paraId="32B5A73F" w14:textId="77777777" w:rsidTr="009463F3">
        <w:trPr>
          <w:trHeight w:val="300"/>
        </w:trPr>
        <w:tc>
          <w:tcPr>
            <w:tcW w:w="118" w:type="pct"/>
            <w:noWrap/>
            <w:hideMark/>
          </w:tcPr>
          <w:p w14:paraId="1DFDDF25"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p>
        </w:tc>
        <w:tc>
          <w:tcPr>
            <w:tcW w:w="1757" w:type="pct"/>
            <w:noWrap/>
            <w:hideMark/>
          </w:tcPr>
          <w:p w14:paraId="2F665BC5" w14:textId="77777777" w:rsidR="00C64F6A" w:rsidRPr="00E95E2D"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Days Inventory Outstanding (DIO)</w:t>
            </w:r>
          </w:p>
        </w:tc>
        <w:tc>
          <w:tcPr>
            <w:tcW w:w="1486" w:type="pct"/>
            <w:noWrap/>
            <w:hideMark/>
          </w:tcPr>
          <w:p w14:paraId="04DB596E"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100</w:t>
            </w:r>
          </w:p>
        </w:tc>
        <w:tc>
          <w:tcPr>
            <w:tcW w:w="410" w:type="pct"/>
            <w:noWrap/>
            <w:hideMark/>
          </w:tcPr>
          <w:p w14:paraId="6E0281A9"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114</w:t>
            </w:r>
          </w:p>
        </w:tc>
        <w:tc>
          <w:tcPr>
            <w:tcW w:w="410" w:type="pct"/>
            <w:noWrap/>
            <w:hideMark/>
          </w:tcPr>
          <w:p w14:paraId="71353324"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131</w:t>
            </w:r>
          </w:p>
        </w:tc>
        <w:tc>
          <w:tcPr>
            <w:tcW w:w="410" w:type="pct"/>
            <w:noWrap/>
            <w:hideMark/>
          </w:tcPr>
          <w:p w14:paraId="20F7EAEF"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100</w:t>
            </w:r>
          </w:p>
        </w:tc>
        <w:tc>
          <w:tcPr>
            <w:tcW w:w="410" w:type="pct"/>
            <w:noWrap/>
            <w:hideMark/>
          </w:tcPr>
          <w:p w14:paraId="61FC9A3B"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103</w:t>
            </w:r>
          </w:p>
        </w:tc>
      </w:tr>
      <w:tr w:rsidR="00C64F6A" w:rsidRPr="00E95E2D" w14:paraId="6D679C8B" w14:textId="77777777" w:rsidTr="009463F3">
        <w:trPr>
          <w:trHeight w:val="300"/>
        </w:trPr>
        <w:tc>
          <w:tcPr>
            <w:tcW w:w="118" w:type="pct"/>
            <w:noWrap/>
            <w:hideMark/>
          </w:tcPr>
          <w:p w14:paraId="7DDDDF3E"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p>
        </w:tc>
        <w:tc>
          <w:tcPr>
            <w:tcW w:w="1757" w:type="pct"/>
            <w:noWrap/>
            <w:hideMark/>
          </w:tcPr>
          <w:p w14:paraId="43CA590A" w14:textId="77777777" w:rsidR="00C64F6A" w:rsidRPr="00E95E2D"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Days Payables Outstanding (DPO)</w:t>
            </w:r>
          </w:p>
        </w:tc>
        <w:tc>
          <w:tcPr>
            <w:tcW w:w="1486" w:type="pct"/>
            <w:noWrap/>
            <w:hideMark/>
          </w:tcPr>
          <w:p w14:paraId="44C6B6DD"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-69</w:t>
            </w:r>
          </w:p>
        </w:tc>
        <w:tc>
          <w:tcPr>
            <w:tcW w:w="410" w:type="pct"/>
            <w:noWrap/>
            <w:hideMark/>
          </w:tcPr>
          <w:p w14:paraId="16621B26"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-79</w:t>
            </w:r>
          </w:p>
        </w:tc>
        <w:tc>
          <w:tcPr>
            <w:tcW w:w="410" w:type="pct"/>
            <w:noWrap/>
            <w:hideMark/>
          </w:tcPr>
          <w:p w14:paraId="4CB832A2"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-67</w:t>
            </w:r>
          </w:p>
        </w:tc>
        <w:tc>
          <w:tcPr>
            <w:tcW w:w="410" w:type="pct"/>
            <w:noWrap/>
            <w:hideMark/>
          </w:tcPr>
          <w:p w14:paraId="517B42AC"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-65</w:t>
            </w:r>
          </w:p>
        </w:tc>
        <w:tc>
          <w:tcPr>
            <w:tcW w:w="410" w:type="pct"/>
            <w:noWrap/>
            <w:hideMark/>
          </w:tcPr>
          <w:p w14:paraId="00B9A7D1"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-94</w:t>
            </w:r>
          </w:p>
        </w:tc>
      </w:tr>
      <w:tr w:rsidR="00C64F6A" w:rsidRPr="00E95E2D" w14:paraId="534D14DE" w14:textId="77777777" w:rsidTr="009463F3">
        <w:trPr>
          <w:trHeight w:val="300"/>
        </w:trPr>
        <w:tc>
          <w:tcPr>
            <w:tcW w:w="118" w:type="pct"/>
            <w:noWrap/>
            <w:hideMark/>
          </w:tcPr>
          <w:p w14:paraId="3AED735D"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p>
        </w:tc>
        <w:tc>
          <w:tcPr>
            <w:tcW w:w="1757" w:type="pct"/>
            <w:noWrap/>
            <w:hideMark/>
          </w:tcPr>
          <w:p w14:paraId="426F8755" w14:textId="77777777" w:rsidR="00C64F6A" w:rsidRPr="00E95E2D" w:rsidRDefault="00C64F6A" w:rsidP="009463F3">
            <w:pPr>
              <w:spacing w:line="240" w:lineRule="auto"/>
              <w:jc w:val="lef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Cash Conversion Cycle (days)</w:t>
            </w:r>
          </w:p>
        </w:tc>
        <w:tc>
          <w:tcPr>
            <w:tcW w:w="1486" w:type="pct"/>
            <w:noWrap/>
            <w:hideMark/>
          </w:tcPr>
          <w:p w14:paraId="4BA7ABD5"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107.83</w:t>
            </w:r>
          </w:p>
        </w:tc>
        <w:tc>
          <w:tcPr>
            <w:tcW w:w="410" w:type="pct"/>
            <w:noWrap/>
            <w:hideMark/>
          </w:tcPr>
          <w:p w14:paraId="7A77F00E"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113.96</w:t>
            </w:r>
          </w:p>
        </w:tc>
        <w:tc>
          <w:tcPr>
            <w:tcW w:w="410" w:type="pct"/>
            <w:noWrap/>
            <w:hideMark/>
          </w:tcPr>
          <w:p w14:paraId="66413595"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139.87</w:t>
            </w:r>
          </w:p>
        </w:tc>
        <w:tc>
          <w:tcPr>
            <w:tcW w:w="410" w:type="pct"/>
            <w:noWrap/>
            <w:hideMark/>
          </w:tcPr>
          <w:p w14:paraId="6EB16F91"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133.06</w:t>
            </w:r>
          </w:p>
        </w:tc>
        <w:tc>
          <w:tcPr>
            <w:tcW w:w="410" w:type="pct"/>
            <w:noWrap/>
            <w:hideMark/>
          </w:tcPr>
          <w:p w14:paraId="2811F0BC" w14:textId="77777777" w:rsidR="00C64F6A" w:rsidRPr="00E95E2D" w:rsidRDefault="00C64F6A" w:rsidP="009463F3">
            <w:pPr>
              <w:spacing w:line="240" w:lineRule="auto"/>
              <w:jc w:val="right"/>
              <w:rPr>
                <w:rFonts w:ascii="Aptos Narrow" w:eastAsia="Times New Roman" w:hAnsi="Aptos Narrow" w:cs="Times New Roman"/>
                <w:color w:val="000000"/>
                <w:kern w:val="0"/>
                <w:sz w:val="22"/>
                <w:szCs w:val="22"/>
                <w:lang w:val="en-US"/>
                <w14:ligatures w14:val="none"/>
              </w:rPr>
            </w:pPr>
            <w:r w:rsidRPr="00E95E2D">
              <w:rPr>
                <w:rFonts w:ascii="Aptos Narrow" w:eastAsia="Times New Roman" w:hAnsi="Aptos Narrow" w:cs="Times New Roman"/>
                <w:color w:val="000000"/>
                <w:kern w:val="0"/>
                <w:sz w:val="22"/>
                <w:szCs w:val="22"/>
                <w:lang w:val="en-US"/>
                <w14:ligatures w14:val="none"/>
              </w:rPr>
              <w:t>115.06</w:t>
            </w:r>
          </w:p>
        </w:tc>
      </w:tr>
    </w:tbl>
    <w:p w14:paraId="4F2667CF" w14:textId="77777777" w:rsidR="00C64F6A" w:rsidRPr="002D6EE6" w:rsidRDefault="00C64F6A" w:rsidP="00C64F6A">
      <w:pPr>
        <w:pStyle w:val="Heading1"/>
      </w:pPr>
      <w:bookmarkStart w:id="85" w:name="_Toc217212337"/>
      <w:r>
        <w:lastRenderedPageBreak/>
        <w:t xml:space="preserve">Appendix 4 - </w:t>
      </w:r>
      <w:r w:rsidRPr="00533F7A">
        <w:t>Investment Appraisal</w:t>
      </w:r>
      <w:bookmarkEnd w:id="85"/>
    </w:p>
    <w:p w14:paraId="0F693DE7" w14:textId="77777777" w:rsidR="00C64F6A" w:rsidRDefault="00C64F6A" w:rsidP="00C64F6A">
      <w:pPr>
        <w:spacing w:line="278" w:lineRule="auto"/>
        <w:jc w:val="center"/>
      </w:pPr>
      <w:r w:rsidRPr="00533F7A">
        <w:rPr>
          <w:noProof/>
        </w:rPr>
        <w:lastRenderedPageBreak/>
        <w:drawing>
          <wp:inline distT="0" distB="0" distL="0" distR="0" wp14:anchorId="11553173" wp14:editId="0C56BF55">
            <wp:extent cx="4886325" cy="7753033"/>
            <wp:effectExtent l="0" t="0" r="0" b="635"/>
            <wp:docPr id="132520919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5"/>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4891822" cy="7761755"/>
                    </a:xfrm>
                    <a:prstGeom prst="rect">
                      <a:avLst/>
                    </a:prstGeom>
                    <a:noFill/>
                    <a:ln>
                      <a:noFill/>
                    </a:ln>
                  </pic:spPr>
                </pic:pic>
              </a:graphicData>
            </a:graphic>
          </wp:inline>
        </w:drawing>
      </w:r>
    </w:p>
    <w:p w14:paraId="53788841" w14:textId="77777777" w:rsidR="00C64F6A" w:rsidRDefault="00C64F6A" w:rsidP="00C64F6A">
      <w:pPr>
        <w:spacing w:line="278" w:lineRule="auto"/>
        <w:jc w:val="center"/>
      </w:pPr>
      <w:r w:rsidRPr="00533F7A">
        <w:rPr>
          <w:noProof/>
        </w:rPr>
        <w:lastRenderedPageBreak/>
        <w:drawing>
          <wp:inline distT="0" distB="0" distL="0" distR="0" wp14:anchorId="76F6CCFC" wp14:editId="7522C6B8">
            <wp:extent cx="3794125" cy="8229600"/>
            <wp:effectExtent l="0" t="0" r="0" b="0"/>
            <wp:docPr id="49804505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3794125" cy="8229600"/>
                    </a:xfrm>
                    <a:prstGeom prst="rect">
                      <a:avLst/>
                    </a:prstGeom>
                    <a:noFill/>
                    <a:ln>
                      <a:noFill/>
                    </a:ln>
                  </pic:spPr>
                </pic:pic>
              </a:graphicData>
            </a:graphic>
          </wp:inline>
        </w:drawing>
      </w:r>
    </w:p>
    <w:p w14:paraId="52100E70" w14:textId="77777777" w:rsidR="00C64F6A" w:rsidRDefault="00C64F6A" w:rsidP="00C64F6A">
      <w:pPr>
        <w:spacing w:line="278" w:lineRule="auto"/>
        <w:jc w:val="center"/>
      </w:pPr>
      <w:r w:rsidRPr="00533F7A">
        <w:rPr>
          <w:noProof/>
        </w:rPr>
        <w:lastRenderedPageBreak/>
        <w:drawing>
          <wp:inline distT="0" distB="0" distL="0" distR="0" wp14:anchorId="522E85B1" wp14:editId="5DCBB316">
            <wp:extent cx="4396970" cy="6448425"/>
            <wp:effectExtent l="0" t="0" r="3810" b="0"/>
            <wp:docPr id="46338132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2"/>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4402606" cy="6456691"/>
                    </a:xfrm>
                    <a:prstGeom prst="rect">
                      <a:avLst/>
                    </a:prstGeom>
                    <a:noFill/>
                    <a:ln>
                      <a:noFill/>
                    </a:ln>
                  </pic:spPr>
                </pic:pic>
              </a:graphicData>
            </a:graphic>
          </wp:inline>
        </w:drawing>
      </w:r>
    </w:p>
    <w:p w14:paraId="4D06BCF2" w14:textId="77777777" w:rsidR="00C64F6A" w:rsidRDefault="00C64F6A" w:rsidP="00C64F6A">
      <w:pPr>
        <w:spacing w:line="278" w:lineRule="auto"/>
        <w:jc w:val="left"/>
      </w:pPr>
      <w:r w:rsidRPr="00533F7A">
        <w:rPr>
          <w:noProof/>
        </w:rPr>
        <w:drawing>
          <wp:inline distT="0" distB="0" distL="0" distR="0" wp14:anchorId="6AA24063" wp14:editId="6D8CF74B">
            <wp:extent cx="5943600" cy="1210945"/>
            <wp:effectExtent l="0" t="0" r="0" b="8255"/>
            <wp:docPr id="19131352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5943600" cy="1210945"/>
                    </a:xfrm>
                    <a:prstGeom prst="rect">
                      <a:avLst/>
                    </a:prstGeom>
                    <a:noFill/>
                    <a:ln>
                      <a:noFill/>
                    </a:ln>
                  </pic:spPr>
                </pic:pic>
              </a:graphicData>
            </a:graphic>
          </wp:inline>
        </w:drawing>
      </w:r>
    </w:p>
    <w:p w14:paraId="168B7D16" w14:textId="77777777" w:rsidR="00C64F6A" w:rsidRDefault="00C64F6A" w:rsidP="00C64F6A">
      <w:pPr>
        <w:spacing w:line="278" w:lineRule="auto"/>
        <w:jc w:val="left"/>
      </w:pPr>
    </w:p>
    <w:p w14:paraId="004A816C" w14:textId="77777777" w:rsidR="00C64F6A" w:rsidRDefault="00C64F6A" w:rsidP="00C64F6A">
      <w:pPr>
        <w:spacing w:line="278" w:lineRule="auto"/>
        <w:jc w:val="center"/>
      </w:pPr>
      <w:r w:rsidRPr="00533F7A">
        <w:rPr>
          <w:noProof/>
        </w:rPr>
        <w:lastRenderedPageBreak/>
        <w:drawing>
          <wp:inline distT="0" distB="0" distL="0" distR="0" wp14:anchorId="53F7F693" wp14:editId="6ABB48D4">
            <wp:extent cx="3976370" cy="8229600"/>
            <wp:effectExtent l="0" t="0" r="5080" b="0"/>
            <wp:docPr id="24714709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3976370" cy="8229600"/>
                    </a:xfrm>
                    <a:prstGeom prst="rect">
                      <a:avLst/>
                    </a:prstGeom>
                    <a:noFill/>
                    <a:ln>
                      <a:noFill/>
                    </a:ln>
                  </pic:spPr>
                </pic:pic>
              </a:graphicData>
            </a:graphic>
          </wp:inline>
        </w:drawing>
      </w:r>
    </w:p>
    <w:p w14:paraId="4553CA33" w14:textId="77777777" w:rsidR="00C64F6A" w:rsidRDefault="00C64F6A" w:rsidP="00C64F6A">
      <w:pPr>
        <w:spacing w:line="278" w:lineRule="auto"/>
        <w:jc w:val="left"/>
      </w:pPr>
      <m:oMathPara>
        <m:oMath>
          <m:r>
            <w:rPr>
              <w:rFonts w:ascii="Cambria Math" w:hAnsi="Cambria Math"/>
            </w:rPr>
            <w:lastRenderedPageBreak/>
            <m:t>IRR=10</m:t>
          </m:r>
          <m:r>
            <m:rPr>
              <m:sty m:val="p"/>
            </m:rPr>
            <w:rPr>
              <w:rFonts w:ascii="Cambria Math" w:hAnsi="Cambria Math"/>
            </w:rPr>
            <m:t>%</m:t>
          </m:r>
          <m:r>
            <w:rPr>
              <w:rFonts w:ascii="Cambria Math" w:hAnsi="Cambria Math"/>
            </w:rPr>
            <m:t>+</m:t>
          </m:r>
          <m:d>
            <m:dPr>
              <m:ctrlPr>
                <w:rPr>
                  <w:rFonts w:ascii="Cambria Math" w:hAnsi="Cambria Math"/>
                  <w:i/>
                </w:rPr>
              </m:ctrlPr>
            </m:dPr>
            <m:e>
              <m:f>
                <m:fPr>
                  <m:ctrlPr>
                    <w:rPr>
                      <w:rFonts w:ascii="Cambria Math" w:hAnsi="Cambria Math"/>
                    </w:rPr>
                  </m:ctrlPr>
                </m:fPr>
                <m:num>
                  <m:r>
                    <w:rPr>
                      <w:rFonts w:ascii="Cambria Math" w:hAnsi="Cambria Math"/>
                    </w:rPr>
                    <m:t>1.324</m:t>
                  </m:r>
                </m:num>
                <m:den>
                  <m:r>
                    <w:rPr>
                      <w:rFonts w:ascii="Cambria Math" w:hAnsi="Cambria Math"/>
                    </w:rPr>
                    <m:t>1.342-</m:t>
                  </m:r>
                  <m:d>
                    <m:dPr>
                      <m:ctrlPr>
                        <w:rPr>
                          <w:rFonts w:ascii="Cambria Math" w:hAnsi="Cambria Math"/>
                          <w:i/>
                        </w:rPr>
                      </m:ctrlPr>
                    </m:dPr>
                    <m:e>
                      <m:r>
                        <w:rPr>
                          <w:rFonts w:ascii="Cambria Math" w:hAnsi="Cambria Math"/>
                        </w:rPr>
                        <m:t>-0.646</m:t>
                      </m:r>
                    </m:e>
                  </m:d>
                </m:den>
              </m:f>
            </m:e>
          </m:d>
          <m:r>
            <w:rPr>
              <w:rFonts w:ascii="Cambria Math" w:hAnsi="Cambria Math"/>
            </w:rPr>
            <m:t>×12</m:t>
          </m:r>
          <m:r>
            <m:rPr>
              <m:sty m:val="p"/>
            </m:rPr>
            <w:rPr>
              <w:rFonts w:ascii="Cambria Math" w:hAnsi="Cambria Math"/>
            </w:rPr>
            <m:t xml:space="preserve">%- </m:t>
          </m:r>
          <m:r>
            <w:rPr>
              <w:rFonts w:ascii="Cambria Math" w:hAnsi="Cambria Math"/>
            </w:rPr>
            <m:t>10</m:t>
          </m:r>
          <m:r>
            <m:rPr>
              <m:sty m:val="p"/>
            </m:rPr>
            <w:rPr>
              <w:rFonts w:ascii="Cambria Math" w:hAnsi="Cambria Math"/>
            </w:rPr>
            <m:t>%</m:t>
          </m:r>
        </m:oMath>
      </m:oMathPara>
    </w:p>
    <w:p w14:paraId="3A80E8AF" w14:textId="77777777" w:rsidR="00C64F6A" w:rsidRDefault="00C64F6A" w:rsidP="00C64F6A">
      <w:pPr>
        <w:spacing w:line="278" w:lineRule="auto"/>
        <w:jc w:val="left"/>
      </w:pPr>
      <m:oMathPara>
        <m:oMath>
          <m:r>
            <w:rPr>
              <w:rFonts w:ascii="Cambria Math" w:hAnsi="Cambria Math"/>
            </w:rPr>
            <m:t>IRR=10</m:t>
          </m:r>
          <m:r>
            <m:rPr>
              <m:sty m:val="p"/>
            </m:rPr>
            <w:rPr>
              <w:rFonts w:ascii="Cambria Math" w:hAnsi="Cambria Math"/>
            </w:rPr>
            <m:t>%</m:t>
          </m:r>
          <m:r>
            <w:rPr>
              <w:rFonts w:ascii="Cambria Math" w:hAnsi="Cambria Math"/>
            </w:rPr>
            <m:t>+(</m:t>
          </m:r>
          <m:f>
            <m:fPr>
              <m:ctrlPr>
                <w:rPr>
                  <w:rFonts w:ascii="Cambria Math" w:hAnsi="Cambria Math"/>
                </w:rPr>
              </m:ctrlPr>
            </m:fPr>
            <m:num>
              <m:r>
                <w:rPr>
                  <w:rFonts w:ascii="Cambria Math" w:hAnsi="Cambria Math"/>
                </w:rPr>
                <m:t>1.324</m:t>
              </m:r>
            </m:num>
            <m:den>
              <m:r>
                <w:rPr>
                  <w:rFonts w:ascii="Cambria Math" w:hAnsi="Cambria Math"/>
                </w:rPr>
                <m:t>1.970</m:t>
              </m:r>
            </m:den>
          </m:f>
          <m:r>
            <w:rPr>
              <w:rFonts w:ascii="Cambria Math" w:hAnsi="Cambria Math"/>
            </w:rPr>
            <m:t>)×2</m:t>
          </m:r>
          <m:r>
            <m:rPr>
              <m:sty m:val="p"/>
            </m:rPr>
            <w:rPr>
              <w:rFonts w:ascii="Cambria Math" w:hAnsi="Cambria Math"/>
            </w:rPr>
            <m:t>%</m:t>
          </m:r>
          <m:r>
            <w:rPr>
              <w:rFonts w:ascii="Cambria Math" w:hAnsi="Cambria Math"/>
            </w:rPr>
            <m:t>=10</m:t>
          </m:r>
          <m:r>
            <m:rPr>
              <m:sty m:val="p"/>
            </m:rPr>
            <w:rPr>
              <w:rFonts w:ascii="Cambria Math" w:hAnsi="Cambria Math"/>
            </w:rPr>
            <m:t>%</m:t>
          </m:r>
          <m:r>
            <w:rPr>
              <w:rFonts w:ascii="Cambria Math" w:hAnsi="Cambria Math"/>
            </w:rPr>
            <m:t>+1.345</m:t>
          </m:r>
          <m:r>
            <m:rPr>
              <m:sty m:val="p"/>
            </m:rPr>
            <w:rPr>
              <w:rFonts w:ascii="Cambria Math" w:hAnsi="Cambria Math"/>
            </w:rPr>
            <m:t>%</m:t>
          </m:r>
          <m:r>
            <w:rPr>
              <w:rFonts w:ascii="Cambria Math" w:hAnsi="Cambria Math"/>
            </w:rPr>
            <m:t>=</m:t>
          </m:r>
          <m:r>
            <m:rPr>
              <m:sty m:val="p"/>
            </m:rPr>
            <w:rPr>
              <w:rFonts w:ascii="Cambria Math" w:hAnsi="Cambria Math"/>
            </w:rPr>
            <m:t>11.35%</m:t>
          </m:r>
          <m:r>
            <m:rPr>
              <m:sty m:val="p"/>
            </m:rPr>
            <w:rPr>
              <w:rFonts w:ascii="Cambria Math" w:hAnsi="Cambria Math"/>
            </w:rPr>
            <w:br/>
          </m:r>
        </m:oMath>
      </m:oMathPara>
    </w:p>
    <w:p w14:paraId="7E6B67D9" w14:textId="77777777" w:rsidR="00C64F6A" w:rsidRDefault="00C64F6A" w:rsidP="00C64F6A">
      <w:pPr>
        <w:spacing w:line="278" w:lineRule="auto"/>
        <w:jc w:val="left"/>
      </w:pPr>
    </w:p>
    <w:p w14:paraId="797BEDB5" w14:textId="77777777" w:rsidR="00C64F6A" w:rsidRDefault="00C64F6A" w:rsidP="00C64F6A">
      <w:pPr>
        <w:spacing w:line="278" w:lineRule="auto"/>
        <w:jc w:val="left"/>
      </w:pPr>
      <m:oMathPara>
        <m:oMath>
          <m:r>
            <w:rPr>
              <w:rFonts w:ascii="Cambria Math" w:hAnsi="Cambria Math"/>
            </w:rPr>
            <m:t>IRR=12</m:t>
          </m:r>
          <m:r>
            <m:rPr>
              <m:sty m:val="p"/>
            </m:rPr>
            <w:rPr>
              <w:rFonts w:ascii="Cambria Math" w:hAnsi="Cambria Math"/>
            </w:rPr>
            <m:t>%</m:t>
          </m:r>
          <m:r>
            <w:rPr>
              <w:rFonts w:ascii="Cambria Math" w:hAnsi="Cambria Math"/>
            </w:rPr>
            <m:t>+</m:t>
          </m:r>
          <m:d>
            <m:dPr>
              <m:ctrlPr>
                <w:rPr>
                  <w:rFonts w:ascii="Cambria Math" w:hAnsi="Cambria Math"/>
                  <w:i/>
                </w:rPr>
              </m:ctrlPr>
            </m:dPr>
            <m:e>
              <m:f>
                <m:fPr>
                  <m:ctrlPr>
                    <w:rPr>
                      <w:rFonts w:ascii="Cambria Math" w:hAnsi="Cambria Math"/>
                    </w:rPr>
                  </m:ctrlPr>
                </m:fPr>
                <m:num>
                  <m:r>
                    <w:rPr>
                      <w:rFonts w:ascii="Cambria Math" w:hAnsi="Cambria Math"/>
                    </w:rPr>
                    <m:t>1.071</m:t>
                  </m:r>
                </m:num>
                <m:den>
                  <m:r>
                    <w:rPr>
                      <w:rFonts w:ascii="Cambria Math" w:hAnsi="Cambria Math"/>
                    </w:rPr>
                    <m:t>1.071-</m:t>
                  </m:r>
                  <m:d>
                    <m:dPr>
                      <m:ctrlPr>
                        <w:rPr>
                          <w:rFonts w:ascii="Cambria Math" w:hAnsi="Cambria Math"/>
                          <w:i/>
                        </w:rPr>
                      </m:ctrlPr>
                    </m:dPr>
                    <m:e>
                      <m:r>
                        <w:rPr>
                          <w:rFonts w:ascii="Cambria Math" w:hAnsi="Cambria Math"/>
                        </w:rPr>
                        <m:t>-0.408</m:t>
                      </m:r>
                    </m:e>
                  </m:d>
                </m:den>
              </m:f>
            </m:e>
          </m:d>
          <m:r>
            <w:rPr>
              <w:rFonts w:ascii="Cambria Math" w:hAnsi="Cambria Math"/>
            </w:rPr>
            <m:t>×13</m:t>
          </m:r>
          <m:r>
            <m:rPr>
              <m:sty m:val="p"/>
            </m:rPr>
            <w:rPr>
              <w:rFonts w:ascii="Cambria Math" w:hAnsi="Cambria Math"/>
            </w:rPr>
            <m:t>%-</m:t>
          </m:r>
          <m:r>
            <w:rPr>
              <w:rFonts w:ascii="Cambria Math" w:hAnsi="Cambria Math"/>
            </w:rPr>
            <m:t>12</m:t>
          </m:r>
          <m:r>
            <m:rPr>
              <m:sty m:val="p"/>
            </m:rPr>
            <w:rPr>
              <w:rFonts w:ascii="Cambria Math" w:hAnsi="Cambria Math"/>
            </w:rPr>
            <m:t>%</m:t>
          </m:r>
        </m:oMath>
      </m:oMathPara>
    </w:p>
    <w:p w14:paraId="225B3EF4" w14:textId="77777777" w:rsidR="00C64F6A" w:rsidRDefault="00C64F6A" w:rsidP="00C64F6A">
      <w:pPr>
        <w:spacing w:line="278" w:lineRule="auto"/>
        <w:jc w:val="left"/>
      </w:pPr>
      <m:oMathPara>
        <m:oMath>
          <m:r>
            <w:rPr>
              <w:rFonts w:ascii="Cambria Math" w:hAnsi="Cambria Math"/>
            </w:rPr>
            <m:t>IRR=12</m:t>
          </m:r>
          <m:r>
            <m:rPr>
              <m:sty m:val="p"/>
            </m:rPr>
            <w:rPr>
              <w:rFonts w:ascii="Cambria Math" w:hAnsi="Cambria Math"/>
            </w:rPr>
            <m:t>%</m:t>
          </m:r>
          <m:r>
            <w:rPr>
              <w:rFonts w:ascii="Cambria Math" w:hAnsi="Cambria Math"/>
            </w:rPr>
            <m:t>+(</m:t>
          </m:r>
          <m:f>
            <m:fPr>
              <m:ctrlPr>
                <w:rPr>
                  <w:rFonts w:ascii="Cambria Math" w:hAnsi="Cambria Math"/>
                </w:rPr>
              </m:ctrlPr>
            </m:fPr>
            <m:num>
              <m:r>
                <w:rPr>
                  <w:rFonts w:ascii="Cambria Math" w:hAnsi="Cambria Math"/>
                </w:rPr>
                <m:t>1.071</m:t>
              </m:r>
            </m:num>
            <m:den>
              <m:r>
                <w:rPr>
                  <w:rFonts w:ascii="Cambria Math" w:hAnsi="Cambria Math"/>
                </w:rPr>
                <m:t>1.479</m:t>
              </m:r>
            </m:den>
          </m:f>
          <m:r>
            <w:rPr>
              <w:rFonts w:ascii="Cambria Math" w:hAnsi="Cambria Math"/>
            </w:rPr>
            <m:t>)×1</m:t>
          </m:r>
          <m:r>
            <m:rPr>
              <m:sty m:val="p"/>
            </m:rPr>
            <w:rPr>
              <w:rFonts w:ascii="Cambria Math" w:hAnsi="Cambria Math"/>
            </w:rPr>
            <m:t>%</m:t>
          </m:r>
          <m:r>
            <w:rPr>
              <w:rFonts w:ascii="Cambria Math" w:hAnsi="Cambria Math"/>
            </w:rPr>
            <m:t>=12</m:t>
          </m:r>
          <m:r>
            <m:rPr>
              <m:sty m:val="p"/>
            </m:rPr>
            <w:rPr>
              <w:rFonts w:ascii="Cambria Math" w:hAnsi="Cambria Math"/>
            </w:rPr>
            <m:t>%</m:t>
          </m:r>
          <m:r>
            <w:rPr>
              <w:rFonts w:ascii="Cambria Math" w:hAnsi="Cambria Math"/>
            </w:rPr>
            <m:t>+0.724</m:t>
          </m:r>
          <m:r>
            <m:rPr>
              <m:sty m:val="p"/>
            </m:rPr>
            <w:rPr>
              <w:rFonts w:ascii="Cambria Math" w:hAnsi="Cambria Math"/>
            </w:rPr>
            <m:t>%</m:t>
          </m:r>
          <m:r>
            <w:rPr>
              <w:rFonts w:ascii="Cambria Math" w:hAnsi="Cambria Math"/>
            </w:rPr>
            <m:t>=</m:t>
          </m:r>
          <m:r>
            <m:rPr>
              <m:sty m:val="p"/>
            </m:rPr>
            <w:rPr>
              <w:rFonts w:ascii="Cambria Math" w:hAnsi="Cambria Math"/>
            </w:rPr>
            <m:t>12.72%</m:t>
          </m:r>
          <m:r>
            <m:rPr>
              <m:sty m:val="p"/>
            </m:rPr>
            <w:rPr>
              <w:rFonts w:ascii="Cambria Math" w:hAnsi="Cambria Math"/>
            </w:rPr>
            <w:br/>
          </m:r>
        </m:oMath>
      </m:oMathPara>
    </w:p>
    <w:p w14:paraId="218AD668" w14:textId="77777777" w:rsidR="00C64F6A" w:rsidRDefault="00C64F6A" w:rsidP="00C64F6A">
      <w:pPr>
        <w:pStyle w:val="Heading2"/>
      </w:pPr>
      <w:bookmarkStart w:id="86" w:name="_Toc217212338"/>
      <w:r>
        <w:t>Appendix 5 – Excel Sheets</w:t>
      </w:r>
      <w:bookmarkEnd w:id="86"/>
    </w:p>
    <w:p w14:paraId="66501D5C" w14:textId="77777777" w:rsidR="00C64F6A" w:rsidRPr="00F82356" w:rsidRDefault="00C64F6A" w:rsidP="00C64F6A">
      <w:r>
        <w:object w:dxaOrig="1532" w:dyaOrig="991" w14:anchorId="271DBF6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8pt;height:49.8pt" o:ole="">
            <v:imagedata r:id="rId80" o:title=""/>
          </v:shape>
          <o:OLEObject Type="Embed" ProgID="Excel.Sheet.12" ShapeID="_x0000_i1025" DrawAspect="Icon" ObjectID="_1827893351" r:id="rId81"/>
        </w:object>
      </w:r>
    </w:p>
    <w:p w14:paraId="65B95182" w14:textId="77777777" w:rsidR="000F0DB3" w:rsidRDefault="000F0DB3"/>
    <w:sectPr w:rsidR="000F0DB3" w:rsidSect="00C64F6A">
      <w:footerReference w:type="default" r:id="rId8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D1B013" w14:textId="77777777" w:rsidR="000C1F5A" w:rsidRDefault="000C1F5A">
      <w:pPr>
        <w:spacing w:after="0" w:line="240" w:lineRule="auto"/>
      </w:pPr>
      <w:r>
        <w:separator/>
      </w:r>
    </w:p>
  </w:endnote>
  <w:endnote w:type="continuationSeparator" w:id="0">
    <w:p w14:paraId="5D131942" w14:textId="77777777" w:rsidR="000C1F5A" w:rsidRDefault="000C1F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6924540"/>
      <w:docPartObj>
        <w:docPartGallery w:val="Page Numbers (Bottom of Page)"/>
        <w:docPartUnique/>
      </w:docPartObj>
    </w:sdtPr>
    <w:sdtContent>
      <w:p w14:paraId="2DE5EEA5" w14:textId="77777777" w:rsidR="00C64F6A" w:rsidRPr="00F05EFD" w:rsidRDefault="00C64F6A">
        <w:pPr>
          <w:pStyle w:val="Footer"/>
          <w:jc w:val="center"/>
        </w:pPr>
        <w:r w:rsidRPr="00F05EFD">
          <w:fldChar w:fldCharType="begin"/>
        </w:r>
        <w:r w:rsidRPr="00F05EFD">
          <w:instrText xml:space="preserve"> PAGE   \* MERGEFORMAT </w:instrText>
        </w:r>
        <w:r w:rsidRPr="00F05EFD">
          <w:fldChar w:fldCharType="separate"/>
        </w:r>
        <w:r w:rsidRPr="00F05EFD">
          <w:t>2</w:t>
        </w:r>
        <w:r w:rsidRPr="00F05EFD">
          <w:fldChar w:fldCharType="end"/>
        </w:r>
      </w:p>
    </w:sdtContent>
  </w:sdt>
  <w:p w14:paraId="6900EC8E" w14:textId="77777777" w:rsidR="00C64F6A" w:rsidRPr="00F05EFD" w:rsidRDefault="00C64F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D23D8F" w14:textId="77777777" w:rsidR="000C1F5A" w:rsidRDefault="000C1F5A">
      <w:pPr>
        <w:spacing w:after="0" w:line="240" w:lineRule="auto"/>
      </w:pPr>
      <w:r>
        <w:separator/>
      </w:r>
    </w:p>
  </w:footnote>
  <w:footnote w:type="continuationSeparator" w:id="0">
    <w:p w14:paraId="2BB87142" w14:textId="77777777" w:rsidR="000C1F5A" w:rsidRDefault="000C1F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A3FA3"/>
    <w:multiLevelType w:val="multilevel"/>
    <w:tmpl w:val="0EBC8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873F33"/>
    <w:multiLevelType w:val="multilevel"/>
    <w:tmpl w:val="B34CF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006BBD"/>
    <w:multiLevelType w:val="multilevel"/>
    <w:tmpl w:val="09FC4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DB42CC"/>
    <w:multiLevelType w:val="multilevel"/>
    <w:tmpl w:val="8CFE7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3908D1"/>
    <w:multiLevelType w:val="multilevel"/>
    <w:tmpl w:val="C100B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9D4AC9"/>
    <w:multiLevelType w:val="multilevel"/>
    <w:tmpl w:val="7B527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39787C"/>
    <w:multiLevelType w:val="multilevel"/>
    <w:tmpl w:val="F67EF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995970"/>
    <w:multiLevelType w:val="hybridMultilevel"/>
    <w:tmpl w:val="D23826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8FF0B69"/>
    <w:multiLevelType w:val="multilevel"/>
    <w:tmpl w:val="D5188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0AE3528"/>
    <w:multiLevelType w:val="hybridMultilevel"/>
    <w:tmpl w:val="192AA4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D757364"/>
    <w:multiLevelType w:val="multilevel"/>
    <w:tmpl w:val="3C4A2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08D1DC2"/>
    <w:multiLevelType w:val="multilevel"/>
    <w:tmpl w:val="CB10A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C703321"/>
    <w:multiLevelType w:val="multilevel"/>
    <w:tmpl w:val="628AB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9FF5C5B"/>
    <w:multiLevelType w:val="multilevel"/>
    <w:tmpl w:val="8DEAC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2A05897"/>
    <w:multiLevelType w:val="multilevel"/>
    <w:tmpl w:val="DBEC8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3807890"/>
    <w:multiLevelType w:val="multilevel"/>
    <w:tmpl w:val="0FEC4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791035B"/>
    <w:multiLevelType w:val="multilevel"/>
    <w:tmpl w:val="DD50C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FFE2E66"/>
    <w:multiLevelType w:val="multilevel"/>
    <w:tmpl w:val="8B8AD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89772772">
    <w:abstractNumId w:val="5"/>
  </w:num>
  <w:num w:numId="2" w16cid:durableId="723136746">
    <w:abstractNumId w:val="9"/>
  </w:num>
  <w:num w:numId="3" w16cid:durableId="1437167490">
    <w:abstractNumId w:val="12"/>
  </w:num>
  <w:num w:numId="4" w16cid:durableId="721055327">
    <w:abstractNumId w:val="0"/>
  </w:num>
  <w:num w:numId="5" w16cid:durableId="1247615526">
    <w:abstractNumId w:val="4"/>
  </w:num>
  <w:num w:numId="6" w16cid:durableId="1788085551">
    <w:abstractNumId w:val="1"/>
  </w:num>
  <w:num w:numId="7" w16cid:durableId="1578319569">
    <w:abstractNumId w:val="3"/>
  </w:num>
  <w:num w:numId="8" w16cid:durableId="2076852741">
    <w:abstractNumId w:val="15"/>
  </w:num>
  <w:num w:numId="9" w16cid:durableId="890924627">
    <w:abstractNumId w:val="17"/>
  </w:num>
  <w:num w:numId="10" w16cid:durableId="441844359">
    <w:abstractNumId w:val="2"/>
  </w:num>
  <w:num w:numId="11" w16cid:durableId="1481340451">
    <w:abstractNumId w:val="8"/>
  </w:num>
  <w:num w:numId="12" w16cid:durableId="1454442926">
    <w:abstractNumId w:val="16"/>
  </w:num>
  <w:num w:numId="13" w16cid:durableId="958950984">
    <w:abstractNumId w:val="6"/>
  </w:num>
  <w:num w:numId="14" w16cid:durableId="1954290271">
    <w:abstractNumId w:val="11"/>
  </w:num>
  <w:num w:numId="15" w16cid:durableId="349989547">
    <w:abstractNumId w:val="14"/>
  </w:num>
  <w:num w:numId="16" w16cid:durableId="1119179042">
    <w:abstractNumId w:val="13"/>
  </w:num>
  <w:num w:numId="17" w16cid:durableId="1871070564">
    <w:abstractNumId w:val="10"/>
  </w:num>
  <w:num w:numId="18" w16cid:durableId="3952215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F6A"/>
    <w:rsid w:val="000121E8"/>
    <w:rsid w:val="000972D3"/>
    <w:rsid w:val="000C1F5A"/>
    <w:rsid w:val="000F0DB3"/>
    <w:rsid w:val="001B215A"/>
    <w:rsid w:val="00293169"/>
    <w:rsid w:val="003210AB"/>
    <w:rsid w:val="00446DFD"/>
    <w:rsid w:val="00535CF4"/>
    <w:rsid w:val="005945F9"/>
    <w:rsid w:val="005E66D2"/>
    <w:rsid w:val="006B5BE0"/>
    <w:rsid w:val="007F0A6F"/>
    <w:rsid w:val="008F118B"/>
    <w:rsid w:val="00925D86"/>
    <w:rsid w:val="009A27C2"/>
    <w:rsid w:val="009F5214"/>
    <w:rsid w:val="00AA52CE"/>
    <w:rsid w:val="00B21CF9"/>
    <w:rsid w:val="00C64F6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58380"/>
  <w15:chartTrackingRefBased/>
  <w15:docId w15:val="{AC3A888E-9D2E-4B37-A37E-8E3FA32500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4F6A"/>
    <w:pPr>
      <w:spacing w:line="360" w:lineRule="auto"/>
      <w:jc w:val="both"/>
    </w:pPr>
    <w:rPr>
      <w:rFonts w:ascii="Arial" w:hAnsi="Arial"/>
      <w:kern w:val="2"/>
      <w:sz w:val="24"/>
      <w:szCs w:val="24"/>
      <w:lang w:val="en-GB"/>
      <w14:ligatures w14:val="standardContextual"/>
    </w:rPr>
  </w:style>
  <w:style w:type="paragraph" w:styleId="Heading1">
    <w:name w:val="heading 1"/>
    <w:basedOn w:val="Normal"/>
    <w:next w:val="Normal"/>
    <w:link w:val="Heading1Char"/>
    <w:uiPriority w:val="9"/>
    <w:qFormat/>
    <w:rsid w:val="00C64F6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C64F6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C64F6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C64F6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64F6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64F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4F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4F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4F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4F6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C64F6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C64F6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C64F6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64F6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64F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4F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4F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4F6A"/>
    <w:rPr>
      <w:rFonts w:eastAsiaTheme="majorEastAsia" w:cstheme="majorBidi"/>
      <w:color w:val="272727" w:themeColor="text1" w:themeTint="D8"/>
    </w:rPr>
  </w:style>
  <w:style w:type="paragraph" w:styleId="Title">
    <w:name w:val="Title"/>
    <w:basedOn w:val="Normal"/>
    <w:next w:val="Normal"/>
    <w:link w:val="TitleChar"/>
    <w:uiPriority w:val="10"/>
    <w:qFormat/>
    <w:rsid w:val="00C64F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4F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4F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4F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4F6A"/>
    <w:pPr>
      <w:spacing w:before="160"/>
      <w:jc w:val="center"/>
    </w:pPr>
    <w:rPr>
      <w:i/>
      <w:iCs/>
      <w:color w:val="404040" w:themeColor="text1" w:themeTint="BF"/>
    </w:rPr>
  </w:style>
  <w:style w:type="character" w:customStyle="1" w:styleId="QuoteChar">
    <w:name w:val="Quote Char"/>
    <w:basedOn w:val="DefaultParagraphFont"/>
    <w:link w:val="Quote"/>
    <w:uiPriority w:val="29"/>
    <w:rsid w:val="00C64F6A"/>
    <w:rPr>
      <w:i/>
      <w:iCs/>
      <w:color w:val="404040" w:themeColor="text1" w:themeTint="BF"/>
    </w:rPr>
  </w:style>
  <w:style w:type="paragraph" w:styleId="ListParagraph">
    <w:name w:val="List Paragraph"/>
    <w:basedOn w:val="Normal"/>
    <w:uiPriority w:val="34"/>
    <w:qFormat/>
    <w:rsid w:val="00C64F6A"/>
    <w:pPr>
      <w:ind w:left="720"/>
      <w:contextualSpacing/>
    </w:pPr>
  </w:style>
  <w:style w:type="character" w:styleId="IntenseEmphasis">
    <w:name w:val="Intense Emphasis"/>
    <w:basedOn w:val="DefaultParagraphFont"/>
    <w:uiPriority w:val="21"/>
    <w:qFormat/>
    <w:rsid w:val="00C64F6A"/>
    <w:rPr>
      <w:i/>
      <w:iCs/>
      <w:color w:val="2F5496" w:themeColor="accent1" w:themeShade="BF"/>
    </w:rPr>
  </w:style>
  <w:style w:type="paragraph" w:styleId="IntenseQuote">
    <w:name w:val="Intense Quote"/>
    <w:basedOn w:val="Normal"/>
    <w:next w:val="Normal"/>
    <w:link w:val="IntenseQuoteChar"/>
    <w:uiPriority w:val="30"/>
    <w:qFormat/>
    <w:rsid w:val="00C64F6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64F6A"/>
    <w:rPr>
      <w:i/>
      <w:iCs/>
      <w:color w:val="2F5496" w:themeColor="accent1" w:themeShade="BF"/>
    </w:rPr>
  </w:style>
  <w:style w:type="character" w:styleId="IntenseReference">
    <w:name w:val="Intense Reference"/>
    <w:basedOn w:val="DefaultParagraphFont"/>
    <w:uiPriority w:val="32"/>
    <w:qFormat/>
    <w:rsid w:val="00C64F6A"/>
    <w:rPr>
      <w:b/>
      <w:bCs/>
      <w:smallCaps/>
      <w:color w:val="2F5496" w:themeColor="accent1" w:themeShade="BF"/>
      <w:spacing w:val="5"/>
    </w:rPr>
  </w:style>
  <w:style w:type="paragraph" w:styleId="Header">
    <w:name w:val="header"/>
    <w:basedOn w:val="Normal"/>
    <w:link w:val="HeaderChar"/>
    <w:uiPriority w:val="99"/>
    <w:unhideWhenUsed/>
    <w:rsid w:val="00C64F6A"/>
    <w:pPr>
      <w:tabs>
        <w:tab w:val="center" w:pos="4680"/>
        <w:tab w:val="right" w:pos="9360"/>
      </w:tabs>
      <w:spacing w:after="0" w:line="240" w:lineRule="auto"/>
    </w:pPr>
  </w:style>
  <w:style w:type="character" w:customStyle="1" w:styleId="HeaderChar">
    <w:name w:val="Header Char"/>
    <w:basedOn w:val="DefaultParagraphFont"/>
    <w:link w:val="Header"/>
    <w:uiPriority w:val="99"/>
    <w:rsid w:val="00C64F6A"/>
    <w:rPr>
      <w:rFonts w:ascii="Arial" w:hAnsi="Arial"/>
      <w:kern w:val="2"/>
      <w:sz w:val="24"/>
      <w:szCs w:val="24"/>
      <w:lang w:val="en-GB"/>
      <w14:ligatures w14:val="standardContextual"/>
    </w:rPr>
  </w:style>
  <w:style w:type="paragraph" w:styleId="Footer">
    <w:name w:val="footer"/>
    <w:basedOn w:val="Normal"/>
    <w:link w:val="FooterChar"/>
    <w:uiPriority w:val="99"/>
    <w:unhideWhenUsed/>
    <w:rsid w:val="00C64F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C64F6A"/>
    <w:rPr>
      <w:rFonts w:ascii="Arial" w:hAnsi="Arial"/>
      <w:kern w:val="2"/>
      <w:sz w:val="24"/>
      <w:szCs w:val="24"/>
      <w:lang w:val="en-GB"/>
      <w14:ligatures w14:val="standardContextual"/>
    </w:rPr>
  </w:style>
  <w:style w:type="character" w:styleId="Hyperlink">
    <w:name w:val="Hyperlink"/>
    <w:basedOn w:val="DefaultParagraphFont"/>
    <w:uiPriority w:val="99"/>
    <w:unhideWhenUsed/>
    <w:rsid w:val="00C64F6A"/>
    <w:rPr>
      <w:color w:val="0563C1" w:themeColor="hyperlink"/>
      <w:u w:val="single"/>
    </w:rPr>
  </w:style>
  <w:style w:type="character" w:styleId="UnresolvedMention">
    <w:name w:val="Unresolved Mention"/>
    <w:basedOn w:val="DefaultParagraphFont"/>
    <w:uiPriority w:val="99"/>
    <w:semiHidden/>
    <w:unhideWhenUsed/>
    <w:rsid w:val="00C64F6A"/>
    <w:rPr>
      <w:color w:val="605E5C"/>
      <w:shd w:val="clear" w:color="auto" w:fill="E1DFDD"/>
    </w:rPr>
  </w:style>
  <w:style w:type="paragraph" w:styleId="Caption">
    <w:name w:val="caption"/>
    <w:basedOn w:val="Normal"/>
    <w:next w:val="Normal"/>
    <w:uiPriority w:val="35"/>
    <w:unhideWhenUsed/>
    <w:qFormat/>
    <w:rsid w:val="00C64F6A"/>
    <w:pPr>
      <w:spacing w:after="200" w:line="240" w:lineRule="auto"/>
    </w:pPr>
    <w:rPr>
      <w:iCs/>
      <w:color w:val="000000" w:themeColor="text1"/>
      <w:szCs w:val="18"/>
    </w:rPr>
  </w:style>
  <w:style w:type="table" w:styleId="TableGrid">
    <w:name w:val="Table Grid"/>
    <w:basedOn w:val="TableNormal"/>
    <w:uiPriority w:val="39"/>
    <w:rsid w:val="00C64F6A"/>
    <w:pPr>
      <w:spacing w:after="0" w:line="240" w:lineRule="auto"/>
    </w:pPr>
    <w:rPr>
      <w:kern w:val="2"/>
      <w:sz w:val="24"/>
      <w:szCs w:val="24"/>
      <w:lang w:val="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C64F6A"/>
    <w:pPr>
      <w:spacing w:after="0" w:line="240" w:lineRule="auto"/>
    </w:pPr>
    <w:rPr>
      <w:kern w:val="2"/>
      <w:sz w:val="24"/>
      <w:szCs w:val="24"/>
      <w:lang w:val="en-US"/>
      <w14:ligatures w14:val="standardContextual"/>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3">
    <w:name w:val="Grid Table 4 Accent 3"/>
    <w:basedOn w:val="TableNormal"/>
    <w:uiPriority w:val="49"/>
    <w:rsid w:val="00C64F6A"/>
    <w:pPr>
      <w:spacing w:after="0" w:line="240" w:lineRule="auto"/>
    </w:pPr>
    <w:rPr>
      <w:kern w:val="2"/>
      <w:sz w:val="24"/>
      <w:szCs w:val="24"/>
      <w:lang w:val="en-US"/>
      <w14:ligatures w14:val="standardContextual"/>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6">
    <w:name w:val="Grid Table 4 Accent 6"/>
    <w:basedOn w:val="TableNormal"/>
    <w:uiPriority w:val="49"/>
    <w:rsid w:val="00C64F6A"/>
    <w:pPr>
      <w:spacing w:after="0" w:line="240" w:lineRule="auto"/>
    </w:pPr>
    <w:rPr>
      <w:kern w:val="2"/>
      <w:sz w:val="24"/>
      <w:szCs w:val="24"/>
      <w:lang w:val="en-US"/>
      <w14:ligatures w14:val="standardContextual"/>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5">
    <w:name w:val="Grid Table 4 Accent 5"/>
    <w:basedOn w:val="TableNormal"/>
    <w:uiPriority w:val="49"/>
    <w:rsid w:val="00C64F6A"/>
    <w:pPr>
      <w:spacing w:after="0" w:line="240" w:lineRule="auto"/>
    </w:pPr>
    <w:rPr>
      <w:kern w:val="2"/>
      <w:sz w:val="24"/>
      <w:szCs w:val="24"/>
      <w:lang w:val="en-US"/>
      <w14:ligatures w14:val="standardContextual"/>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NormalWeb">
    <w:name w:val="Normal (Web)"/>
    <w:basedOn w:val="Normal"/>
    <w:uiPriority w:val="99"/>
    <w:semiHidden/>
    <w:unhideWhenUsed/>
    <w:rsid w:val="00C64F6A"/>
    <w:rPr>
      <w:rFonts w:ascii="Times New Roman" w:hAnsi="Times New Roman" w:cs="Times New Roman"/>
    </w:rPr>
  </w:style>
  <w:style w:type="table" w:styleId="GridTable4-Accent2">
    <w:name w:val="Grid Table 4 Accent 2"/>
    <w:basedOn w:val="TableNormal"/>
    <w:uiPriority w:val="49"/>
    <w:rsid w:val="00C64F6A"/>
    <w:pPr>
      <w:spacing w:after="0" w:line="240" w:lineRule="auto"/>
    </w:pPr>
    <w:rPr>
      <w:kern w:val="2"/>
      <w:sz w:val="24"/>
      <w:szCs w:val="24"/>
      <w:lang w:val="en-US"/>
      <w14:ligatures w14:val="standardContextual"/>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1">
    <w:name w:val="Grid Table 4 Accent 1"/>
    <w:basedOn w:val="TableNormal"/>
    <w:uiPriority w:val="49"/>
    <w:rsid w:val="00C64F6A"/>
    <w:pPr>
      <w:spacing w:after="0" w:line="240" w:lineRule="auto"/>
    </w:pPr>
    <w:rPr>
      <w:kern w:val="2"/>
      <w:sz w:val="24"/>
      <w:szCs w:val="24"/>
      <w:lang w:val="en-US"/>
      <w14:ligatures w14:val="standardContextual"/>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TOC1">
    <w:name w:val="toc 1"/>
    <w:basedOn w:val="Normal"/>
    <w:next w:val="Normal"/>
    <w:autoRedefine/>
    <w:uiPriority w:val="39"/>
    <w:unhideWhenUsed/>
    <w:rsid w:val="00C64F6A"/>
    <w:pPr>
      <w:spacing w:after="100"/>
    </w:pPr>
  </w:style>
  <w:style w:type="paragraph" w:styleId="TOC2">
    <w:name w:val="toc 2"/>
    <w:basedOn w:val="Normal"/>
    <w:next w:val="Normal"/>
    <w:autoRedefine/>
    <w:uiPriority w:val="39"/>
    <w:unhideWhenUsed/>
    <w:rsid w:val="00C64F6A"/>
    <w:pPr>
      <w:spacing w:after="100"/>
      <w:ind w:left="240"/>
    </w:pPr>
  </w:style>
  <w:style w:type="paragraph" w:styleId="TOC3">
    <w:name w:val="toc 3"/>
    <w:basedOn w:val="Normal"/>
    <w:next w:val="Normal"/>
    <w:autoRedefine/>
    <w:uiPriority w:val="39"/>
    <w:unhideWhenUsed/>
    <w:rsid w:val="00C64F6A"/>
    <w:pPr>
      <w:spacing w:after="100"/>
      <w:ind w:left="480"/>
    </w:pPr>
  </w:style>
  <w:style w:type="paragraph" w:styleId="TableofFigures">
    <w:name w:val="table of figures"/>
    <w:basedOn w:val="Normal"/>
    <w:next w:val="Normal"/>
    <w:uiPriority w:val="99"/>
    <w:unhideWhenUsed/>
    <w:rsid w:val="00C64F6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chart" Target="charts/chart11.xml"/><Relationship Id="rId21" Type="http://schemas.openxmlformats.org/officeDocument/2006/relationships/chart" Target="charts/chart9.xml"/><Relationship Id="rId42" Type="http://schemas.openxmlformats.org/officeDocument/2006/relationships/image" Target="media/image21.png"/><Relationship Id="rId47" Type="http://schemas.openxmlformats.org/officeDocument/2006/relationships/image" Target="media/image26.png"/><Relationship Id="rId63" Type="http://schemas.openxmlformats.org/officeDocument/2006/relationships/hyperlink" Target="https://doi.org/10.1016/j.jeconc.2024.100070" TargetMode="External"/><Relationship Id="rId68" Type="http://schemas.openxmlformats.org/officeDocument/2006/relationships/hyperlink" Target="https://doi.org/10.1080/23322039.2024.2404707" TargetMode="External"/><Relationship Id="rId84" Type="http://schemas.openxmlformats.org/officeDocument/2006/relationships/theme" Target="theme/theme1.xml"/><Relationship Id="rId16" Type="http://schemas.openxmlformats.org/officeDocument/2006/relationships/chart" Target="charts/chart4.xml"/><Relationship Id="rId11" Type="http://schemas.openxmlformats.org/officeDocument/2006/relationships/image" Target="media/image5.png"/><Relationship Id="rId32" Type="http://schemas.openxmlformats.org/officeDocument/2006/relationships/image" Target="media/image11.png"/><Relationship Id="rId37" Type="http://schemas.openxmlformats.org/officeDocument/2006/relationships/image" Target="media/image16.png"/><Relationship Id="rId53" Type="http://schemas.openxmlformats.org/officeDocument/2006/relationships/hyperlink" Target="https://doi.org/10.22495/cbsrv6i3siart4" TargetMode="External"/><Relationship Id="rId58" Type="http://schemas.openxmlformats.org/officeDocument/2006/relationships/hyperlink" Target="https://doi.org/10.31893/multirev.2026101" TargetMode="External"/><Relationship Id="rId74" Type="http://schemas.openxmlformats.org/officeDocument/2006/relationships/hyperlink" Target="https://doi.org/10.30983/icmie.v2i1.57" TargetMode="External"/><Relationship Id="rId79" Type="http://schemas.openxmlformats.org/officeDocument/2006/relationships/image" Target="media/image31.emf"/><Relationship Id="rId5" Type="http://schemas.openxmlformats.org/officeDocument/2006/relationships/footnotes" Target="footnotes.xml"/><Relationship Id="rId61" Type="http://schemas.openxmlformats.org/officeDocument/2006/relationships/hyperlink" Target="https://doi.org/10.1177/21582440251336533" TargetMode="External"/><Relationship Id="rId82" Type="http://schemas.openxmlformats.org/officeDocument/2006/relationships/footer" Target="footer1.xml"/><Relationship Id="rId19" Type="http://schemas.openxmlformats.org/officeDocument/2006/relationships/chart" Target="charts/chart7.xml"/><Relationship Id="rId14" Type="http://schemas.openxmlformats.org/officeDocument/2006/relationships/chart" Target="charts/chart2.xml"/><Relationship Id="rId22" Type="http://schemas.openxmlformats.org/officeDocument/2006/relationships/chart" Target="charts/chart10.xml"/><Relationship Id="rId27" Type="http://schemas.openxmlformats.org/officeDocument/2006/relationships/chart" Target="charts/chart12.xml"/><Relationship Id="rId30" Type="http://schemas.openxmlformats.org/officeDocument/2006/relationships/chart" Target="charts/chart15.xml"/><Relationship Id="rId35" Type="http://schemas.openxmlformats.org/officeDocument/2006/relationships/image" Target="media/image14.png"/><Relationship Id="rId43" Type="http://schemas.openxmlformats.org/officeDocument/2006/relationships/image" Target="media/image22.png"/><Relationship Id="rId48" Type="http://schemas.openxmlformats.org/officeDocument/2006/relationships/hyperlink" Target="https://doi.org/10.3390/economies10070175" TargetMode="External"/><Relationship Id="rId56" Type="http://schemas.openxmlformats.org/officeDocument/2006/relationships/hyperlink" Target="https://doi.org/10.47191/jefms/v8-i8-15" TargetMode="External"/><Relationship Id="rId64" Type="http://schemas.openxmlformats.org/officeDocument/2006/relationships/hyperlink" Target="https://doi.org/10.33301/jed.2025.27.3" TargetMode="External"/><Relationship Id="rId69" Type="http://schemas.openxmlformats.org/officeDocument/2006/relationships/hyperlink" Target="https://doi.org/10.3390/su9030375" TargetMode="External"/><Relationship Id="rId77" Type="http://schemas.openxmlformats.org/officeDocument/2006/relationships/image" Target="media/image29.emf"/><Relationship Id="rId8" Type="http://schemas.openxmlformats.org/officeDocument/2006/relationships/image" Target="media/image2.png"/><Relationship Id="rId51" Type="http://schemas.openxmlformats.org/officeDocument/2006/relationships/hyperlink" Target="https://doi.org/10.58314/UUHYT2" TargetMode="External"/><Relationship Id="rId72" Type="http://schemas.openxmlformats.org/officeDocument/2006/relationships/hyperlink" Target="https://doi.org/10.55643/fcaptp.5.64.2025.4881" TargetMode="External"/><Relationship Id="rId80" Type="http://schemas.openxmlformats.org/officeDocument/2006/relationships/image" Target="media/image32.emf"/><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chart" Target="charts/chart5.xml"/><Relationship Id="rId25" Type="http://schemas.openxmlformats.org/officeDocument/2006/relationships/image" Target="media/image9.png"/><Relationship Id="rId33" Type="http://schemas.openxmlformats.org/officeDocument/2006/relationships/image" Target="media/image12.png"/><Relationship Id="rId38" Type="http://schemas.openxmlformats.org/officeDocument/2006/relationships/image" Target="media/image17.png"/><Relationship Id="rId46" Type="http://schemas.openxmlformats.org/officeDocument/2006/relationships/image" Target="media/image25.png"/><Relationship Id="rId59" Type="http://schemas.openxmlformats.org/officeDocument/2006/relationships/hyperlink" Target="https://doi.org/10.46656/access.2025.6.1(5)" TargetMode="External"/><Relationship Id="rId67" Type="http://schemas.openxmlformats.org/officeDocument/2006/relationships/hyperlink" Target="https://doi.org/10.2139/ssrn.5348941" TargetMode="External"/><Relationship Id="rId20" Type="http://schemas.openxmlformats.org/officeDocument/2006/relationships/chart" Target="charts/chart8.xml"/><Relationship Id="rId41" Type="http://schemas.openxmlformats.org/officeDocument/2006/relationships/image" Target="media/image20.png"/><Relationship Id="rId54" Type="http://schemas.openxmlformats.org/officeDocument/2006/relationships/hyperlink" Target="https://doi.org/10.3390/jrfm18060297" TargetMode="External"/><Relationship Id="rId62" Type="http://schemas.openxmlformats.org/officeDocument/2006/relationships/hyperlink" Target="https://doi.org/10.18778/2082-4440.47.02" TargetMode="External"/><Relationship Id="rId70" Type="http://schemas.openxmlformats.org/officeDocument/2006/relationships/hyperlink" Target="https://doi.org/10.22610/jebs.v17i1(J).4363" TargetMode="External"/><Relationship Id="rId75" Type="http://schemas.openxmlformats.org/officeDocument/2006/relationships/image" Target="media/image27.emf"/><Relationship Id="rId83"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chart" Target="charts/chart3.xml"/><Relationship Id="rId23" Type="http://schemas.openxmlformats.org/officeDocument/2006/relationships/image" Target="media/image7.png"/><Relationship Id="rId28" Type="http://schemas.openxmlformats.org/officeDocument/2006/relationships/chart" Target="charts/chart13.xml"/><Relationship Id="rId36" Type="http://schemas.openxmlformats.org/officeDocument/2006/relationships/image" Target="media/image15.png"/><Relationship Id="rId49" Type="http://schemas.openxmlformats.org/officeDocument/2006/relationships/hyperlink" Target="https://doi.org/10.3390/su17010195" TargetMode="External"/><Relationship Id="rId57" Type="http://schemas.openxmlformats.org/officeDocument/2006/relationships/hyperlink" Target="https://doi.org/10.52783/jisem.v10i40s.7261" TargetMode="External"/><Relationship Id="rId10" Type="http://schemas.openxmlformats.org/officeDocument/2006/relationships/image" Target="media/image4.png"/><Relationship Id="rId31" Type="http://schemas.openxmlformats.org/officeDocument/2006/relationships/image" Target="media/image10.png"/><Relationship Id="rId44" Type="http://schemas.openxmlformats.org/officeDocument/2006/relationships/image" Target="media/image23.png"/><Relationship Id="rId52" Type="http://schemas.openxmlformats.org/officeDocument/2006/relationships/hyperlink" Target="https://doi.org/10.3390/jrfm18080465" TargetMode="External"/><Relationship Id="rId60" Type="http://schemas.openxmlformats.org/officeDocument/2006/relationships/hyperlink" Target="https://doi.org/10.59413/ajocs/v6.i6.17" TargetMode="External"/><Relationship Id="rId65" Type="http://schemas.openxmlformats.org/officeDocument/2006/relationships/hyperlink" Target="https://doi.org/10.5295/cdg.221759fc" TargetMode="External"/><Relationship Id="rId73" Type="http://schemas.openxmlformats.org/officeDocument/2006/relationships/hyperlink" Target="https://doi.org/10.13140/RG.2.2.36808.02568" TargetMode="External"/><Relationship Id="rId78" Type="http://schemas.openxmlformats.org/officeDocument/2006/relationships/image" Target="media/image30.emf"/><Relationship Id="rId81" Type="http://schemas.openxmlformats.org/officeDocument/2006/relationships/package" Target="embeddings/Microsoft_Excel_Worksheet.xlsx"/><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chart" Target="charts/chart1.xml"/><Relationship Id="rId18" Type="http://schemas.openxmlformats.org/officeDocument/2006/relationships/chart" Target="charts/chart6.xml"/><Relationship Id="rId39" Type="http://schemas.openxmlformats.org/officeDocument/2006/relationships/image" Target="media/image18.png"/><Relationship Id="rId34" Type="http://schemas.openxmlformats.org/officeDocument/2006/relationships/image" Target="media/image13.png"/><Relationship Id="rId50" Type="http://schemas.openxmlformats.org/officeDocument/2006/relationships/hyperlink" Target="https://doi.org/10.6007/IJARBSS/v12-i11/15276" TargetMode="External"/><Relationship Id="rId55" Type="http://schemas.openxmlformats.org/officeDocument/2006/relationships/hyperlink" Target="https://doi.org/10.3390/jrfm16050274" TargetMode="External"/><Relationship Id="rId76" Type="http://schemas.openxmlformats.org/officeDocument/2006/relationships/image" Target="media/image28.emf"/><Relationship Id="rId7" Type="http://schemas.openxmlformats.org/officeDocument/2006/relationships/image" Target="media/image1.png"/><Relationship Id="rId71" Type="http://schemas.openxmlformats.org/officeDocument/2006/relationships/hyperlink" Target="https://doi.org/10.30839/2072-7941.2017.124924" TargetMode="External"/><Relationship Id="rId2" Type="http://schemas.openxmlformats.org/officeDocument/2006/relationships/styles" Target="styles.xml"/><Relationship Id="rId29" Type="http://schemas.openxmlformats.org/officeDocument/2006/relationships/chart" Target="charts/chart14.xml"/><Relationship Id="rId24" Type="http://schemas.openxmlformats.org/officeDocument/2006/relationships/image" Target="media/image8.png"/><Relationship Id="rId40" Type="http://schemas.openxmlformats.org/officeDocument/2006/relationships/image" Target="media/image19.png"/><Relationship Id="rId45" Type="http://schemas.openxmlformats.org/officeDocument/2006/relationships/image" Target="media/image24.png"/><Relationship Id="rId66" Type="http://schemas.openxmlformats.org/officeDocument/2006/relationships/hyperlink" Target="https://doi.org/10.33543/140139157161"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D:\MY%20RESEARCH%20HUB\2025.12.19%20Drumil\Book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MY%20RESEARCH%20HUB\2025.12.19%20Drumil\Book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MY%20RESEARCH%20HUB\2025.12.19%20Drumil\Book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D:\MY%20RESEARCH%20HUB\2025.12.19%20Drumil\Book1.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D:\MY%20RESEARCH%20HUB\2025.12.19%20Drumil\Book1.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D:\MY%20RESEARCH%20HUB\2025.12.19%20Drumil\Book1.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D:\MY%20RESEARCH%20HUB\2025.12.19%20Drumil\Book1.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D:\MY%20RESEARCH%20HUB\2025.12.19%20Drumil\Book1.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D:\MY%20RESEARCH%20HUB\2025.12.19%20Drumil\Book1.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D:\MY%20RESEARCH%20HUB\2025.12.19%20Drumil\Book1.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D:\MY%20RESEARCH%20HUB\2025.12.19%20Drumil\Book1.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D:\MY%20RESEARCH%20HUB\2025.12.19%20Drumil\Book1.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D:\MY%20RESEARCH%20HUB\2025.12.19%20Drumil\Book1.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D:\MY%20RESEARCH%20HUB\2025.12.19%20Drumil\Book1.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file:///D:\MY%20RESEARCH%20HUB\2025.12.19%20Drumil\Book1.xlsx" TargetMode="External"/><Relationship Id="rId2" Type="http://schemas.microsoft.com/office/2011/relationships/chartColorStyle" Target="colors15.xml"/><Relationship Id="rId1" Type="http://schemas.microsoft.com/office/2011/relationships/chartStyle" Target="style1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r>
              <a:rPr lang="en-US"/>
              <a:t>Gross Profit, Operating Profit, Net Profit Margins</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tx>
            <c:strRef>
              <c:f>'Ratio Analysis'!$P$2</c:f>
              <c:strCache>
                <c:ptCount val="1"/>
                <c:pt idx="0">
                  <c:v>Gross Profit Margin</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 Analysis'!$Q$1:$U$1</c:f>
              <c:numCache>
                <c:formatCode>General</c:formatCode>
                <c:ptCount val="5"/>
                <c:pt idx="0">
                  <c:v>2020</c:v>
                </c:pt>
                <c:pt idx="1">
                  <c:v>2021</c:v>
                </c:pt>
                <c:pt idx="2">
                  <c:v>2022</c:v>
                </c:pt>
                <c:pt idx="3">
                  <c:v>2023</c:v>
                </c:pt>
                <c:pt idx="4">
                  <c:v>2024</c:v>
                </c:pt>
              </c:numCache>
            </c:numRef>
          </c:cat>
          <c:val>
            <c:numRef>
              <c:f>'Ratio Analysis'!$Q$2:$U$2</c:f>
              <c:numCache>
                <c:formatCode>0.00%</c:formatCode>
                <c:ptCount val="5"/>
                <c:pt idx="0">
                  <c:v>0.28674432224897506</c:v>
                </c:pt>
                <c:pt idx="1">
                  <c:v>0.28759212901552855</c:v>
                </c:pt>
                <c:pt idx="2">
                  <c:v>0.28059275800505207</c:v>
                </c:pt>
                <c:pt idx="3">
                  <c:v>0.23203324002216635</c:v>
                </c:pt>
                <c:pt idx="4">
                  <c:v>0.28868083640811487</c:v>
                </c:pt>
              </c:numCache>
            </c:numRef>
          </c:val>
          <c:smooth val="0"/>
          <c:extLst>
            <c:ext xmlns:c16="http://schemas.microsoft.com/office/drawing/2014/chart" uri="{C3380CC4-5D6E-409C-BE32-E72D297353CC}">
              <c16:uniqueId val="{00000000-751A-46BE-90DA-B542231FA32F}"/>
            </c:ext>
          </c:extLst>
        </c:ser>
        <c:ser>
          <c:idx val="2"/>
          <c:order val="2"/>
          <c:tx>
            <c:strRef>
              <c:f>'Ratio Analysis'!$P$4</c:f>
              <c:strCache>
                <c:ptCount val="1"/>
                <c:pt idx="0">
                  <c:v>Operating Profit Margin</c:v>
                </c:pt>
              </c:strCache>
            </c:strRef>
          </c:tx>
          <c:spPr>
            <a:ln w="22225" cap="rnd">
              <a:solidFill>
                <a:schemeClr val="accent3"/>
              </a:solidFill>
              <a:round/>
            </a:ln>
            <a:effectLst/>
          </c:spPr>
          <c:marker>
            <c:symbol val="triangle"/>
            <c:size val="6"/>
            <c:spPr>
              <a:solidFill>
                <a:schemeClr val="accent3"/>
              </a:solidFill>
              <a:ln w="9525">
                <a:solidFill>
                  <a:schemeClr val="accent3"/>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 Analysis'!$Q$1:$U$1</c:f>
              <c:numCache>
                <c:formatCode>General</c:formatCode>
                <c:ptCount val="5"/>
                <c:pt idx="0">
                  <c:v>2020</c:v>
                </c:pt>
                <c:pt idx="1">
                  <c:v>2021</c:v>
                </c:pt>
                <c:pt idx="2">
                  <c:v>2022</c:v>
                </c:pt>
                <c:pt idx="3">
                  <c:v>2023</c:v>
                </c:pt>
                <c:pt idx="4">
                  <c:v>2024</c:v>
                </c:pt>
              </c:numCache>
            </c:numRef>
          </c:cat>
          <c:val>
            <c:numRef>
              <c:f>'Ratio Analysis'!$Q$4:$U$4</c:f>
              <c:numCache>
                <c:formatCode>0.00%</c:formatCode>
                <c:ptCount val="5"/>
                <c:pt idx="0">
                  <c:v>6.0628294397084663E-2</c:v>
                </c:pt>
                <c:pt idx="1">
                  <c:v>3.8651799694814845E-2</c:v>
                </c:pt>
                <c:pt idx="2">
                  <c:v>2.6804188292605634E-2</c:v>
                </c:pt>
                <c:pt idx="3">
                  <c:v>-0.20287686969178775</c:v>
                </c:pt>
                <c:pt idx="4">
                  <c:v>-3.8738448993235905E-2</c:v>
                </c:pt>
              </c:numCache>
            </c:numRef>
          </c:val>
          <c:smooth val="0"/>
          <c:extLst>
            <c:ext xmlns:c16="http://schemas.microsoft.com/office/drawing/2014/chart" uri="{C3380CC4-5D6E-409C-BE32-E72D297353CC}">
              <c16:uniqueId val="{00000001-751A-46BE-90DA-B542231FA32F}"/>
            </c:ext>
          </c:extLst>
        </c:ser>
        <c:ser>
          <c:idx val="4"/>
          <c:order val="4"/>
          <c:tx>
            <c:strRef>
              <c:f>'Ratio Analysis'!$P$6</c:f>
              <c:strCache>
                <c:ptCount val="1"/>
                <c:pt idx="0">
                  <c:v>Net Profit Margin</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 Analysis'!$Q$1:$U$1</c:f>
              <c:numCache>
                <c:formatCode>General</c:formatCode>
                <c:ptCount val="5"/>
                <c:pt idx="0">
                  <c:v>2020</c:v>
                </c:pt>
                <c:pt idx="1">
                  <c:v>2021</c:v>
                </c:pt>
                <c:pt idx="2">
                  <c:v>2022</c:v>
                </c:pt>
                <c:pt idx="3">
                  <c:v>2023</c:v>
                </c:pt>
                <c:pt idx="4">
                  <c:v>2024</c:v>
                </c:pt>
              </c:numCache>
            </c:numRef>
          </c:cat>
          <c:val>
            <c:numRef>
              <c:f>'Ratio Analysis'!$Q$6:$U$6</c:f>
              <c:numCache>
                <c:formatCode>0.00%</c:formatCode>
                <c:ptCount val="5"/>
                <c:pt idx="0">
                  <c:v>6.2751350296089026E-2</c:v>
                </c:pt>
                <c:pt idx="1">
                  <c:v>8.8114733661124791E-3</c:v>
                </c:pt>
                <c:pt idx="2">
                  <c:v>7.4988346405626153E-4</c:v>
                </c:pt>
                <c:pt idx="3">
                  <c:v>-0.23364577114901167</c:v>
                </c:pt>
                <c:pt idx="4">
                  <c:v>-6.0851551994408414E-2</c:v>
                </c:pt>
              </c:numCache>
            </c:numRef>
          </c:val>
          <c:smooth val="0"/>
          <c:extLst>
            <c:ext xmlns:c16="http://schemas.microsoft.com/office/drawing/2014/chart" uri="{C3380CC4-5D6E-409C-BE32-E72D297353CC}">
              <c16:uniqueId val="{00000002-751A-46BE-90DA-B542231FA32F}"/>
            </c:ext>
          </c:extLst>
        </c:ser>
        <c:dLbls>
          <c:dLblPos val="t"/>
          <c:showLegendKey val="0"/>
          <c:showVal val="1"/>
          <c:showCatName val="0"/>
          <c:showSerName val="0"/>
          <c:showPercent val="0"/>
          <c:showBubbleSize val="0"/>
        </c:dLbls>
        <c:marker val="1"/>
        <c:smooth val="0"/>
        <c:axId val="655509023"/>
        <c:axId val="655506623"/>
        <c:extLst>
          <c:ext xmlns:c15="http://schemas.microsoft.com/office/drawing/2012/chart" uri="{02D57815-91ED-43cb-92C2-25804820EDAC}">
            <c15:filteredLineSeries>
              <c15:ser>
                <c:idx val="1"/>
                <c:order val="1"/>
                <c:tx>
                  <c:strRef>
                    <c:extLst>
                      <c:ext uri="{02D57815-91ED-43cb-92C2-25804820EDAC}">
                        <c15:formulaRef>
                          <c15:sqref>'Ratio Analysis'!$P$3</c15:sqref>
                        </c15:formulaRef>
                      </c:ext>
                    </c:extLst>
                    <c:strCache>
                      <c:ptCount val="1"/>
                    </c:strCache>
                  </c:strRef>
                </c:tx>
                <c:spPr>
                  <a:ln w="2222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cat>
                  <c:numRef>
                    <c:extLst>
                      <c:ext uri="{02D57815-91ED-43cb-92C2-25804820EDAC}">
                        <c15:formulaRef>
                          <c15:sqref>'Ratio Analysis'!$Q$1:$U$1</c15:sqref>
                        </c15:formulaRef>
                      </c:ext>
                    </c:extLst>
                    <c:numCache>
                      <c:formatCode>General</c:formatCode>
                      <c:ptCount val="5"/>
                      <c:pt idx="0">
                        <c:v>2020</c:v>
                      </c:pt>
                      <c:pt idx="1">
                        <c:v>2021</c:v>
                      </c:pt>
                      <c:pt idx="2">
                        <c:v>2022</c:v>
                      </c:pt>
                      <c:pt idx="3">
                        <c:v>2023</c:v>
                      </c:pt>
                      <c:pt idx="4">
                        <c:v>2024</c:v>
                      </c:pt>
                    </c:numCache>
                  </c:numRef>
                </c:cat>
                <c:val>
                  <c:numRef>
                    <c:extLst>
                      <c:ext uri="{02D57815-91ED-43cb-92C2-25804820EDAC}">
                        <c15:formulaRef>
                          <c15:sqref>'Ratio Analysis'!$Q$3:$U$3</c15:sqref>
                        </c15:formulaRef>
                      </c:ext>
                    </c:extLst>
                    <c:numCache>
                      <c:formatCode>General</c:formatCode>
                      <c:ptCount val="5"/>
                    </c:numCache>
                  </c:numRef>
                </c:val>
                <c:smooth val="0"/>
                <c:extLst>
                  <c:ext xmlns:c16="http://schemas.microsoft.com/office/drawing/2014/chart" uri="{C3380CC4-5D6E-409C-BE32-E72D297353CC}">
                    <c16:uniqueId val="{00000003-751A-46BE-90DA-B542231FA32F}"/>
                  </c:ext>
                </c:extLst>
              </c15:ser>
            </c15:filteredLineSeries>
            <c15:filteredLineSeries>
              <c15:ser>
                <c:idx val="3"/>
                <c:order val="3"/>
                <c:tx>
                  <c:strRef>
                    <c:extLst xmlns:c15="http://schemas.microsoft.com/office/drawing/2012/chart">
                      <c:ext xmlns:c15="http://schemas.microsoft.com/office/drawing/2012/chart" uri="{02D57815-91ED-43cb-92C2-25804820EDAC}">
                        <c15:formulaRef>
                          <c15:sqref>'Ratio Analysis'!$P$5</c15:sqref>
                        </c15:formulaRef>
                      </c:ext>
                    </c:extLst>
                    <c:strCache>
                      <c:ptCount val="1"/>
                    </c:strCache>
                  </c:strRef>
                </c:tx>
                <c:spPr>
                  <a:ln w="22225" cap="rnd">
                    <a:solidFill>
                      <a:schemeClr val="accent4"/>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extLst xmlns:c15="http://schemas.microsoft.com/office/drawing/2012/chart">
                      <c:ext xmlns:c15="http://schemas.microsoft.com/office/drawing/2012/chart" uri="{02D57815-91ED-43cb-92C2-25804820EDAC}">
                        <c15:formulaRef>
                          <c15:sqref>'Ratio Analysis'!$Q$1:$U$1</c15:sqref>
                        </c15:formulaRef>
                      </c:ext>
                    </c:extLst>
                    <c:numCache>
                      <c:formatCode>General</c:formatCode>
                      <c:ptCount val="5"/>
                      <c:pt idx="0">
                        <c:v>2020</c:v>
                      </c:pt>
                      <c:pt idx="1">
                        <c:v>2021</c:v>
                      </c:pt>
                      <c:pt idx="2">
                        <c:v>2022</c:v>
                      </c:pt>
                      <c:pt idx="3">
                        <c:v>2023</c:v>
                      </c:pt>
                      <c:pt idx="4">
                        <c:v>2024</c:v>
                      </c:pt>
                    </c:numCache>
                  </c:numRef>
                </c:cat>
                <c:val>
                  <c:numRef>
                    <c:extLst xmlns:c15="http://schemas.microsoft.com/office/drawing/2012/chart">
                      <c:ext xmlns:c15="http://schemas.microsoft.com/office/drawing/2012/chart" uri="{02D57815-91ED-43cb-92C2-25804820EDAC}">
                        <c15:formulaRef>
                          <c15:sqref>'Ratio Analysis'!$Q$5:$U$5</c15:sqref>
                        </c15:formulaRef>
                      </c:ext>
                    </c:extLst>
                    <c:numCache>
                      <c:formatCode>General</c:formatCode>
                      <c:ptCount val="5"/>
                    </c:numCache>
                  </c:numRef>
                </c:val>
                <c:smooth val="0"/>
                <c:extLst xmlns:c15="http://schemas.microsoft.com/office/drawing/2012/chart">
                  <c:ext xmlns:c16="http://schemas.microsoft.com/office/drawing/2014/chart" uri="{C3380CC4-5D6E-409C-BE32-E72D297353CC}">
                    <c16:uniqueId val="{00000004-751A-46BE-90DA-B542231FA32F}"/>
                  </c:ext>
                </c:extLst>
              </c15:ser>
            </c15:filteredLineSeries>
            <c15:filteredLineSeries>
              <c15:ser>
                <c:idx val="5"/>
                <c:order val="5"/>
                <c:tx>
                  <c:strRef>
                    <c:extLst xmlns:c15="http://schemas.microsoft.com/office/drawing/2012/chart">
                      <c:ext xmlns:c15="http://schemas.microsoft.com/office/drawing/2012/chart" uri="{02D57815-91ED-43cb-92C2-25804820EDAC}">
                        <c15:formulaRef>
                          <c15:sqref>'Ratio Analysis'!$P$7</c15:sqref>
                        </c15:formulaRef>
                      </c:ext>
                    </c:extLst>
                    <c:strCache>
                      <c:ptCount val="1"/>
                    </c:strCache>
                  </c:strRef>
                </c:tx>
                <c:spPr>
                  <a:ln w="22225" cap="rnd">
                    <a:solidFill>
                      <a:schemeClr val="accent6"/>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extLst xmlns:c15="http://schemas.microsoft.com/office/drawing/2012/chart">
                      <c:ext xmlns:c15="http://schemas.microsoft.com/office/drawing/2012/chart" uri="{02D57815-91ED-43cb-92C2-25804820EDAC}">
                        <c15:formulaRef>
                          <c15:sqref>'Ratio Analysis'!$Q$1:$U$1</c15:sqref>
                        </c15:formulaRef>
                      </c:ext>
                    </c:extLst>
                    <c:numCache>
                      <c:formatCode>General</c:formatCode>
                      <c:ptCount val="5"/>
                      <c:pt idx="0">
                        <c:v>2020</c:v>
                      </c:pt>
                      <c:pt idx="1">
                        <c:v>2021</c:v>
                      </c:pt>
                      <c:pt idx="2">
                        <c:v>2022</c:v>
                      </c:pt>
                      <c:pt idx="3">
                        <c:v>2023</c:v>
                      </c:pt>
                      <c:pt idx="4">
                        <c:v>2024</c:v>
                      </c:pt>
                    </c:numCache>
                  </c:numRef>
                </c:cat>
                <c:val>
                  <c:numRef>
                    <c:extLst xmlns:c15="http://schemas.microsoft.com/office/drawing/2012/chart">
                      <c:ext xmlns:c15="http://schemas.microsoft.com/office/drawing/2012/chart" uri="{02D57815-91ED-43cb-92C2-25804820EDAC}">
                        <c15:formulaRef>
                          <c15:sqref>'Ratio Analysis'!$Q$7:$U$7</c15:sqref>
                        </c15:formulaRef>
                      </c:ext>
                    </c:extLst>
                    <c:numCache>
                      <c:formatCode>General</c:formatCode>
                      <c:ptCount val="5"/>
                    </c:numCache>
                  </c:numRef>
                </c:val>
                <c:smooth val="0"/>
                <c:extLst xmlns:c15="http://schemas.microsoft.com/office/drawing/2012/chart">
                  <c:ext xmlns:c16="http://schemas.microsoft.com/office/drawing/2014/chart" uri="{C3380CC4-5D6E-409C-BE32-E72D297353CC}">
                    <c16:uniqueId val="{00000005-751A-46BE-90DA-B542231FA32F}"/>
                  </c:ext>
                </c:extLst>
              </c15:ser>
            </c15:filteredLineSeries>
          </c:ext>
        </c:extLst>
      </c:lineChart>
      <c:catAx>
        <c:axId val="65550902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655506623"/>
        <c:crosses val="autoZero"/>
        <c:auto val="1"/>
        <c:lblAlgn val="ctr"/>
        <c:lblOffset val="100"/>
        <c:noMultiLvlLbl val="0"/>
      </c:catAx>
      <c:valAx>
        <c:axId val="655506623"/>
        <c:scaling>
          <c:orientation val="minMax"/>
        </c:scaling>
        <c:delete val="0"/>
        <c:axPos val="l"/>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655509023"/>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r>
              <a:rPr lang="en-US"/>
              <a:t>ROA and ROE</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tx>
            <c:strRef>
              <c:f>'Ratio Analysis'!$P$8</c:f>
              <c:strCache>
                <c:ptCount val="1"/>
                <c:pt idx="0">
                  <c:v>Return on Assets (ROA)</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 Analysis'!$Q$1:$U$1</c:f>
              <c:numCache>
                <c:formatCode>General</c:formatCode>
                <c:ptCount val="5"/>
                <c:pt idx="0">
                  <c:v>2020</c:v>
                </c:pt>
                <c:pt idx="1">
                  <c:v>2021</c:v>
                </c:pt>
                <c:pt idx="2">
                  <c:v>2022</c:v>
                </c:pt>
                <c:pt idx="3">
                  <c:v>2023</c:v>
                </c:pt>
                <c:pt idx="4">
                  <c:v>2024</c:v>
                </c:pt>
              </c:numCache>
            </c:numRef>
          </c:cat>
          <c:val>
            <c:numRef>
              <c:f>'Ratio Analysis'!$Q$8:$U$8</c:f>
              <c:numCache>
                <c:formatCode>0.00%</c:formatCode>
                <c:ptCount val="5"/>
                <c:pt idx="0">
                  <c:v>7.5588390914969925E-2</c:v>
                </c:pt>
                <c:pt idx="1">
                  <c:v>1.0387030026570106E-2</c:v>
                </c:pt>
                <c:pt idx="2">
                  <c:v>8.0727859838980649E-4</c:v>
                </c:pt>
                <c:pt idx="3">
                  <c:v>-0.27604869166441864</c:v>
                </c:pt>
                <c:pt idx="4">
                  <c:v>-7.4311745022483097E-2</c:v>
                </c:pt>
              </c:numCache>
            </c:numRef>
          </c:val>
          <c:smooth val="0"/>
          <c:extLst>
            <c:ext xmlns:c16="http://schemas.microsoft.com/office/drawing/2014/chart" uri="{C3380CC4-5D6E-409C-BE32-E72D297353CC}">
              <c16:uniqueId val="{00000000-BF14-4D5B-8E07-F6BD7E4A28C3}"/>
            </c:ext>
          </c:extLst>
        </c:ser>
        <c:ser>
          <c:idx val="2"/>
          <c:order val="2"/>
          <c:tx>
            <c:strRef>
              <c:f>'Ratio Analysis'!$P$10</c:f>
              <c:strCache>
                <c:ptCount val="1"/>
                <c:pt idx="0">
                  <c:v>Return on Equity (ROE)</c:v>
                </c:pt>
              </c:strCache>
            </c:strRef>
          </c:tx>
          <c:spPr>
            <a:ln w="22225" cap="rnd">
              <a:solidFill>
                <a:schemeClr val="accent3"/>
              </a:solidFill>
              <a:round/>
            </a:ln>
            <a:effectLst/>
          </c:spPr>
          <c:marker>
            <c:symbol val="triangle"/>
            <c:size val="6"/>
            <c:spPr>
              <a:solidFill>
                <a:schemeClr val="accent3"/>
              </a:solidFill>
              <a:ln w="9525">
                <a:solidFill>
                  <a:schemeClr val="accent3"/>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 Analysis'!$Q$1:$U$1</c:f>
              <c:numCache>
                <c:formatCode>General</c:formatCode>
                <c:ptCount val="5"/>
                <c:pt idx="0">
                  <c:v>2020</c:v>
                </c:pt>
                <c:pt idx="1">
                  <c:v>2021</c:v>
                </c:pt>
                <c:pt idx="2">
                  <c:v>2022</c:v>
                </c:pt>
                <c:pt idx="3">
                  <c:v>2023</c:v>
                </c:pt>
                <c:pt idx="4">
                  <c:v>2024</c:v>
                </c:pt>
              </c:numCache>
            </c:numRef>
          </c:cat>
          <c:val>
            <c:numRef>
              <c:f>'Ratio Analysis'!$Q$10:$U$10</c:f>
              <c:numCache>
                <c:formatCode>0.00%</c:formatCode>
                <c:ptCount val="5"/>
                <c:pt idx="0">
                  <c:v>0.1231148320624575</c:v>
                </c:pt>
                <c:pt idx="1">
                  <c:v>1.9210071426241804E-2</c:v>
                </c:pt>
                <c:pt idx="2">
                  <c:v>1.5163595448685946E-3</c:v>
                </c:pt>
                <c:pt idx="3">
                  <c:v>-0.54906103286384977</c:v>
                </c:pt>
                <c:pt idx="4">
                  <c:v>-0.1569445805166389</c:v>
                </c:pt>
              </c:numCache>
            </c:numRef>
          </c:val>
          <c:smooth val="0"/>
          <c:extLst>
            <c:ext xmlns:c16="http://schemas.microsoft.com/office/drawing/2014/chart" uri="{C3380CC4-5D6E-409C-BE32-E72D297353CC}">
              <c16:uniqueId val="{00000001-BF14-4D5B-8E07-F6BD7E4A28C3}"/>
            </c:ext>
          </c:extLst>
        </c:ser>
        <c:dLbls>
          <c:dLblPos val="t"/>
          <c:showLegendKey val="0"/>
          <c:showVal val="1"/>
          <c:showCatName val="0"/>
          <c:showSerName val="0"/>
          <c:showPercent val="0"/>
          <c:showBubbleSize val="0"/>
        </c:dLbls>
        <c:marker val="1"/>
        <c:smooth val="0"/>
        <c:axId val="655503743"/>
        <c:axId val="655504223"/>
        <c:extLst>
          <c:ext xmlns:c15="http://schemas.microsoft.com/office/drawing/2012/chart" uri="{02D57815-91ED-43cb-92C2-25804820EDAC}">
            <c15:filteredLineSeries>
              <c15:ser>
                <c:idx val="1"/>
                <c:order val="1"/>
                <c:tx>
                  <c:strRef>
                    <c:extLst>
                      <c:ext uri="{02D57815-91ED-43cb-92C2-25804820EDAC}">
                        <c15:formulaRef>
                          <c15:sqref>'Ratio Analysis'!$P$9</c15:sqref>
                        </c15:formulaRef>
                      </c:ext>
                    </c:extLst>
                    <c:strCache>
                      <c:ptCount val="1"/>
                    </c:strCache>
                  </c:strRef>
                </c:tx>
                <c:spPr>
                  <a:ln w="2222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cat>
                  <c:numRef>
                    <c:extLst>
                      <c:ext uri="{02D57815-91ED-43cb-92C2-25804820EDAC}">
                        <c15:formulaRef>
                          <c15:sqref>'Ratio Analysis'!$Q$1:$U$1</c15:sqref>
                        </c15:formulaRef>
                      </c:ext>
                    </c:extLst>
                    <c:numCache>
                      <c:formatCode>General</c:formatCode>
                      <c:ptCount val="5"/>
                      <c:pt idx="0">
                        <c:v>2020</c:v>
                      </c:pt>
                      <c:pt idx="1">
                        <c:v>2021</c:v>
                      </c:pt>
                      <c:pt idx="2">
                        <c:v>2022</c:v>
                      </c:pt>
                      <c:pt idx="3">
                        <c:v>2023</c:v>
                      </c:pt>
                      <c:pt idx="4">
                        <c:v>2024</c:v>
                      </c:pt>
                    </c:numCache>
                  </c:numRef>
                </c:cat>
                <c:val>
                  <c:numRef>
                    <c:extLst>
                      <c:ext uri="{02D57815-91ED-43cb-92C2-25804820EDAC}">
                        <c15:formulaRef>
                          <c15:sqref>'Ratio Analysis'!$Q$9:$U$9</c15:sqref>
                        </c15:formulaRef>
                      </c:ext>
                    </c:extLst>
                    <c:numCache>
                      <c:formatCode>General</c:formatCode>
                      <c:ptCount val="5"/>
                    </c:numCache>
                  </c:numRef>
                </c:val>
                <c:smooth val="0"/>
                <c:extLst>
                  <c:ext xmlns:c16="http://schemas.microsoft.com/office/drawing/2014/chart" uri="{C3380CC4-5D6E-409C-BE32-E72D297353CC}">
                    <c16:uniqueId val="{00000002-BF14-4D5B-8E07-F6BD7E4A28C3}"/>
                  </c:ext>
                </c:extLst>
              </c15:ser>
            </c15:filteredLineSeries>
            <c15:filteredLineSeries>
              <c15:ser>
                <c:idx val="3"/>
                <c:order val="3"/>
                <c:tx>
                  <c:strRef>
                    <c:extLst xmlns:c15="http://schemas.microsoft.com/office/drawing/2012/chart">
                      <c:ext xmlns:c15="http://schemas.microsoft.com/office/drawing/2012/chart" uri="{02D57815-91ED-43cb-92C2-25804820EDAC}">
                        <c15:formulaRef>
                          <c15:sqref>'Ratio Analysis'!$P$11</c15:sqref>
                        </c15:formulaRef>
                      </c:ext>
                    </c:extLst>
                    <c:strCache>
                      <c:ptCount val="1"/>
                    </c:strCache>
                  </c:strRef>
                </c:tx>
                <c:spPr>
                  <a:ln w="22225" cap="rnd">
                    <a:solidFill>
                      <a:schemeClr val="accent4"/>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extLst xmlns:c15="http://schemas.microsoft.com/office/drawing/2012/chart">
                      <c:ext xmlns:c15="http://schemas.microsoft.com/office/drawing/2012/chart" uri="{02D57815-91ED-43cb-92C2-25804820EDAC}">
                        <c15:formulaRef>
                          <c15:sqref>'Ratio Analysis'!$Q$1:$U$1</c15:sqref>
                        </c15:formulaRef>
                      </c:ext>
                    </c:extLst>
                    <c:numCache>
                      <c:formatCode>General</c:formatCode>
                      <c:ptCount val="5"/>
                      <c:pt idx="0">
                        <c:v>2020</c:v>
                      </c:pt>
                      <c:pt idx="1">
                        <c:v>2021</c:v>
                      </c:pt>
                      <c:pt idx="2">
                        <c:v>2022</c:v>
                      </c:pt>
                      <c:pt idx="3">
                        <c:v>2023</c:v>
                      </c:pt>
                      <c:pt idx="4">
                        <c:v>2024</c:v>
                      </c:pt>
                    </c:numCache>
                  </c:numRef>
                </c:cat>
                <c:val>
                  <c:numRef>
                    <c:extLst xmlns:c15="http://schemas.microsoft.com/office/drawing/2012/chart">
                      <c:ext xmlns:c15="http://schemas.microsoft.com/office/drawing/2012/chart" uri="{02D57815-91ED-43cb-92C2-25804820EDAC}">
                        <c15:formulaRef>
                          <c15:sqref>'Ratio Analysis'!$Q$11:$U$11</c15:sqref>
                        </c15:formulaRef>
                      </c:ext>
                    </c:extLst>
                    <c:numCache>
                      <c:formatCode>General</c:formatCode>
                      <c:ptCount val="5"/>
                    </c:numCache>
                  </c:numRef>
                </c:val>
                <c:smooth val="0"/>
                <c:extLst xmlns:c15="http://schemas.microsoft.com/office/drawing/2012/chart">
                  <c:ext xmlns:c16="http://schemas.microsoft.com/office/drawing/2014/chart" uri="{C3380CC4-5D6E-409C-BE32-E72D297353CC}">
                    <c16:uniqueId val="{00000003-BF14-4D5B-8E07-F6BD7E4A28C3}"/>
                  </c:ext>
                </c:extLst>
              </c15:ser>
            </c15:filteredLineSeries>
          </c:ext>
        </c:extLst>
      </c:lineChart>
      <c:catAx>
        <c:axId val="65550374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655504223"/>
        <c:crosses val="autoZero"/>
        <c:auto val="1"/>
        <c:lblAlgn val="ctr"/>
        <c:lblOffset val="100"/>
        <c:noMultiLvlLbl val="0"/>
      </c:catAx>
      <c:valAx>
        <c:axId val="655504223"/>
        <c:scaling>
          <c:orientation val="minMax"/>
        </c:scaling>
        <c:delete val="0"/>
        <c:axPos val="l"/>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655503743"/>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r>
              <a:rPr lang="en-US"/>
              <a:t>Liquidity Ratios</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tx>
            <c:strRef>
              <c:f>'Ratio Analysis'!$P$13</c:f>
              <c:strCache>
                <c:ptCount val="1"/>
                <c:pt idx="0">
                  <c:v>Current Ratio</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 Analysis'!$Q$12:$U$12</c:f>
              <c:numCache>
                <c:formatCode>General</c:formatCode>
                <c:ptCount val="5"/>
                <c:pt idx="0">
                  <c:v>2020</c:v>
                </c:pt>
                <c:pt idx="1">
                  <c:v>2021</c:v>
                </c:pt>
                <c:pt idx="2">
                  <c:v>2022</c:v>
                </c:pt>
                <c:pt idx="3">
                  <c:v>2023</c:v>
                </c:pt>
                <c:pt idx="4">
                  <c:v>2024</c:v>
                </c:pt>
              </c:numCache>
            </c:numRef>
          </c:cat>
          <c:val>
            <c:numRef>
              <c:f>'Ratio Analysis'!$Q$13:$U$13</c:f>
              <c:numCache>
                <c:formatCode>0.00</c:formatCode>
                <c:ptCount val="5"/>
                <c:pt idx="0">
                  <c:v>1.8207509330956493</c:v>
                </c:pt>
                <c:pt idx="1">
                  <c:v>1.5551947303113194</c:v>
                </c:pt>
                <c:pt idx="2">
                  <c:v>1.5615804280441441</c:v>
                </c:pt>
                <c:pt idx="3">
                  <c:v>1.6062935934668752</c:v>
                </c:pt>
                <c:pt idx="4">
                  <c:v>1.5319506478574272</c:v>
                </c:pt>
              </c:numCache>
            </c:numRef>
          </c:val>
          <c:smooth val="0"/>
          <c:extLst>
            <c:ext xmlns:c16="http://schemas.microsoft.com/office/drawing/2014/chart" uri="{C3380CC4-5D6E-409C-BE32-E72D297353CC}">
              <c16:uniqueId val="{00000000-5EB2-44E4-9F1D-7B3068C697E3}"/>
            </c:ext>
          </c:extLst>
        </c:ser>
        <c:ser>
          <c:idx val="1"/>
          <c:order val="1"/>
          <c:tx>
            <c:strRef>
              <c:f>'Ratio Analysis'!$P$14</c:f>
              <c:strCache>
                <c:ptCount val="1"/>
                <c:pt idx="0">
                  <c:v>Quick Ratio</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 Analysis'!$Q$12:$U$12</c:f>
              <c:numCache>
                <c:formatCode>General</c:formatCode>
                <c:ptCount val="5"/>
                <c:pt idx="0">
                  <c:v>2020</c:v>
                </c:pt>
                <c:pt idx="1">
                  <c:v>2021</c:v>
                </c:pt>
                <c:pt idx="2">
                  <c:v>2022</c:v>
                </c:pt>
                <c:pt idx="3">
                  <c:v>2023</c:v>
                </c:pt>
                <c:pt idx="4">
                  <c:v>2024</c:v>
                </c:pt>
              </c:numCache>
            </c:numRef>
          </c:cat>
          <c:val>
            <c:numRef>
              <c:f>'Ratio Analysis'!$Q$14:$U$14</c:f>
              <c:numCache>
                <c:formatCode>0.00</c:formatCode>
                <c:ptCount val="5"/>
                <c:pt idx="0">
                  <c:v>2.4916327781182108</c:v>
                </c:pt>
                <c:pt idx="1">
                  <c:v>2.1754763892668842</c:v>
                </c:pt>
                <c:pt idx="2">
                  <c:v>2.2091484850304659</c:v>
                </c:pt>
                <c:pt idx="3">
                  <c:v>2.1540695509717773</c:v>
                </c:pt>
                <c:pt idx="4">
                  <c:v>2.0332741596174135</c:v>
                </c:pt>
              </c:numCache>
            </c:numRef>
          </c:val>
          <c:smooth val="0"/>
          <c:extLst>
            <c:ext xmlns:c16="http://schemas.microsoft.com/office/drawing/2014/chart" uri="{C3380CC4-5D6E-409C-BE32-E72D297353CC}">
              <c16:uniqueId val="{00000001-5EB2-44E4-9F1D-7B3068C697E3}"/>
            </c:ext>
          </c:extLst>
        </c:ser>
        <c:ser>
          <c:idx val="2"/>
          <c:order val="2"/>
          <c:tx>
            <c:strRef>
              <c:f>'Ratio Analysis'!$P$15</c:f>
              <c:strCache>
                <c:ptCount val="1"/>
                <c:pt idx="0">
                  <c:v>Cash Ratio</c:v>
                </c:pt>
              </c:strCache>
            </c:strRef>
          </c:tx>
          <c:spPr>
            <a:ln w="22225" cap="rnd">
              <a:solidFill>
                <a:schemeClr val="accent3"/>
              </a:solidFill>
              <a:round/>
            </a:ln>
            <a:effectLst/>
          </c:spPr>
          <c:marker>
            <c:symbol val="triangle"/>
            <c:size val="6"/>
            <c:spPr>
              <a:solidFill>
                <a:schemeClr val="accent3"/>
              </a:solid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 Analysis'!$Q$12:$U$12</c:f>
              <c:numCache>
                <c:formatCode>General</c:formatCode>
                <c:ptCount val="5"/>
                <c:pt idx="0">
                  <c:v>2020</c:v>
                </c:pt>
                <c:pt idx="1">
                  <c:v>2021</c:v>
                </c:pt>
                <c:pt idx="2">
                  <c:v>2022</c:v>
                </c:pt>
                <c:pt idx="3">
                  <c:v>2023</c:v>
                </c:pt>
                <c:pt idx="4">
                  <c:v>2024</c:v>
                </c:pt>
              </c:numCache>
            </c:numRef>
          </c:cat>
          <c:val>
            <c:numRef>
              <c:f>'Ratio Analysis'!$Q$15:$U$15</c:f>
              <c:numCache>
                <c:formatCode>0.00</c:formatCode>
                <c:ptCount val="5"/>
                <c:pt idx="0">
                  <c:v>0.31838337697064228</c:v>
                </c:pt>
                <c:pt idx="1">
                  <c:v>0.28051958835170004</c:v>
                </c:pt>
                <c:pt idx="2">
                  <c:v>0.30830634767384385</c:v>
                </c:pt>
                <c:pt idx="3">
                  <c:v>0.26529029215379651</c:v>
                </c:pt>
                <c:pt idx="4">
                  <c:v>0.16920102848551086</c:v>
                </c:pt>
              </c:numCache>
            </c:numRef>
          </c:val>
          <c:smooth val="0"/>
          <c:extLst>
            <c:ext xmlns:c16="http://schemas.microsoft.com/office/drawing/2014/chart" uri="{C3380CC4-5D6E-409C-BE32-E72D297353CC}">
              <c16:uniqueId val="{00000002-5EB2-44E4-9F1D-7B3068C697E3}"/>
            </c:ext>
          </c:extLst>
        </c:ser>
        <c:dLbls>
          <c:dLblPos val="t"/>
          <c:showLegendKey val="0"/>
          <c:showVal val="1"/>
          <c:showCatName val="0"/>
          <c:showSerName val="0"/>
          <c:showPercent val="0"/>
          <c:showBubbleSize val="0"/>
        </c:dLbls>
        <c:marker val="1"/>
        <c:smooth val="0"/>
        <c:axId val="1703169855"/>
        <c:axId val="1703170335"/>
      </c:lineChart>
      <c:catAx>
        <c:axId val="170316985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1703170335"/>
        <c:crosses val="autoZero"/>
        <c:auto val="1"/>
        <c:lblAlgn val="ctr"/>
        <c:lblOffset val="100"/>
        <c:noMultiLvlLbl val="0"/>
      </c:catAx>
      <c:valAx>
        <c:axId val="1703170335"/>
        <c:scaling>
          <c:orientation val="minMax"/>
        </c:scaling>
        <c:delete val="0"/>
        <c:axPos val="l"/>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703169855"/>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r>
              <a:rPr lang="en-US"/>
              <a:t>Efficiency Ratios</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tx>
            <c:strRef>
              <c:f>'Ratio Analysis'!$P$17</c:f>
              <c:strCache>
                <c:ptCount val="1"/>
                <c:pt idx="0">
                  <c:v>Inventory Turnover</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 Analysis'!$Q$16:$U$16</c:f>
              <c:numCache>
                <c:formatCode>General</c:formatCode>
                <c:ptCount val="5"/>
                <c:pt idx="0">
                  <c:v>2020</c:v>
                </c:pt>
                <c:pt idx="1">
                  <c:v>2021</c:v>
                </c:pt>
                <c:pt idx="2">
                  <c:v>2022</c:v>
                </c:pt>
                <c:pt idx="3">
                  <c:v>2023</c:v>
                </c:pt>
                <c:pt idx="4">
                  <c:v>2024</c:v>
                </c:pt>
              </c:numCache>
            </c:numRef>
          </c:cat>
          <c:val>
            <c:numRef>
              <c:f>'Ratio Analysis'!$Q$17:$U$17</c:f>
              <c:numCache>
                <c:formatCode>0.00</c:formatCode>
                <c:ptCount val="5"/>
                <c:pt idx="0">
                  <c:v>3.6404882504359377</c:v>
                </c:pt>
                <c:pt idx="1">
                  <c:v>3.1872476184101912</c:v>
                </c:pt>
                <c:pt idx="2">
                  <c:v>2.7853917435315769</c:v>
                </c:pt>
                <c:pt idx="3">
                  <c:v>3.6579361752744326</c:v>
                </c:pt>
                <c:pt idx="4">
                  <c:v>3.5396005292672168</c:v>
                </c:pt>
              </c:numCache>
            </c:numRef>
          </c:val>
          <c:smooth val="0"/>
          <c:extLst>
            <c:ext xmlns:c16="http://schemas.microsoft.com/office/drawing/2014/chart" uri="{C3380CC4-5D6E-409C-BE32-E72D297353CC}">
              <c16:uniqueId val="{00000000-5B97-4B82-800B-6BE1BF4E09CC}"/>
            </c:ext>
          </c:extLst>
        </c:ser>
        <c:ser>
          <c:idx val="1"/>
          <c:order val="1"/>
          <c:tx>
            <c:strRef>
              <c:f>'Ratio Analysis'!$P$18</c:f>
              <c:strCache>
                <c:ptCount val="1"/>
                <c:pt idx="0">
                  <c:v>Receivables Turnover</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 Analysis'!$Q$16:$U$16</c:f>
              <c:numCache>
                <c:formatCode>General</c:formatCode>
                <c:ptCount val="5"/>
                <c:pt idx="0">
                  <c:v>2020</c:v>
                </c:pt>
                <c:pt idx="1">
                  <c:v>2021</c:v>
                </c:pt>
                <c:pt idx="2">
                  <c:v>2022</c:v>
                </c:pt>
                <c:pt idx="3">
                  <c:v>2023</c:v>
                </c:pt>
                <c:pt idx="4">
                  <c:v>2024</c:v>
                </c:pt>
              </c:numCache>
            </c:numRef>
          </c:cat>
          <c:val>
            <c:numRef>
              <c:f>'Ratio Analysis'!$Q$18:$U$18</c:f>
              <c:numCache>
                <c:formatCode>0.00</c:formatCode>
                <c:ptCount val="5"/>
                <c:pt idx="0">
                  <c:v>4.749020728871308</c:v>
                </c:pt>
                <c:pt idx="1">
                  <c:v>4.6558216925279572</c:v>
                </c:pt>
                <c:pt idx="2">
                  <c:v>4.8310665266231103</c:v>
                </c:pt>
                <c:pt idx="3">
                  <c:v>3.7342090305161819</c:v>
                </c:pt>
                <c:pt idx="4">
                  <c:v>3.458329684188401</c:v>
                </c:pt>
              </c:numCache>
            </c:numRef>
          </c:val>
          <c:smooth val="0"/>
          <c:extLst>
            <c:ext xmlns:c16="http://schemas.microsoft.com/office/drawing/2014/chart" uri="{C3380CC4-5D6E-409C-BE32-E72D297353CC}">
              <c16:uniqueId val="{00000001-5B97-4B82-800B-6BE1BF4E09CC}"/>
            </c:ext>
          </c:extLst>
        </c:ser>
        <c:ser>
          <c:idx val="2"/>
          <c:order val="2"/>
          <c:tx>
            <c:strRef>
              <c:f>'Ratio Analysis'!$P$19</c:f>
              <c:strCache>
                <c:ptCount val="1"/>
                <c:pt idx="0">
                  <c:v>Total Asset Turnover</c:v>
                </c:pt>
              </c:strCache>
            </c:strRef>
          </c:tx>
          <c:spPr>
            <a:ln w="22225" cap="rnd">
              <a:solidFill>
                <a:schemeClr val="accent3"/>
              </a:solidFill>
              <a:round/>
            </a:ln>
            <a:effectLst/>
          </c:spPr>
          <c:marker>
            <c:symbol val="triangle"/>
            <c:size val="6"/>
            <c:spPr>
              <a:solidFill>
                <a:schemeClr val="accent3"/>
              </a:solidFill>
              <a:ln w="9525">
                <a:solidFill>
                  <a:schemeClr val="accent3"/>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 Analysis'!$Q$16:$U$16</c:f>
              <c:numCache>
                <c:formatCode>General</c:formatCode>
                <c:ptCount val="5"/>
                <c:pt idx="0">
                  <c:v>2020</c:v>
                </c:pt>
                <c:pt idx="1">
                  <c:v>2021</c:v>
                </c:pt>
                <c:pt idx="2">
                  <c:v>2022</c:v>
                </c:pt>
                <c:pt idx="3">
                  <c:v>2023</c:v>
                </c:pt>
                <c:pt idx="4">
                  <c:v>2024</c:v>
                </c:pt>
              </c:numCache>
            </c:numRef>
          </c:cat>
          <c:val>
            <c:numRef>
              <c:f>'Ratio Analysis'!$Q$19:$U$19</c:f>
              <c:numCache>
                <c:formatCode>0.00</c:formatCode>
                <c:ptCount val="5"/>
                <c:pt idx="0">
                  <c:v>1.2045699504203493</c:v>
                </c:pt>
                <c:pt idx="1">
                  <c:v>1.1788074020080415</c:v>
                </c:pt>
                <c:pt idx="2">
                  <c:v>1.0765387384635525</c:v>
                </c:pt>
                <c:pt idx="3">
                  <c:v>1.1814837919251866</c:v>
                </c:pt>
                <c:pt idx="4">
                  <c:v>1.2211972018283368</c:v>
                </c:pt>
              </c:numCache>
            </c:numRef>
          </c:val>
          <c:smooth val="0"/>
          <c:extLst>
            <c:ext xmlns:c16="http://schemas.microsoft.com/office/drawing/2014/chart" uri="{C3380CC4-5D6E-409C-BE32-E72D297353CC}">
              <c16:uniqueId val="{00000002-5B97-4B82-800B-6BE1BF4E09CC}"/>
            </c:ext>
          </c:extLst>
        </c:ser>
        <c:dLbls>
          <c:dLblPos val="t"/>
          <c:showLegendKey val="0"/>
          <c:showVal val="1"/>
          <c:showCatName val="0"/>
          <c:showSerName val="0"/>
          <c:showPercent val="0"/>
          <c:showBubbleSize val="0"/>
        </c:dLbls>
        <c:marker val="1"/>
        <c:smooth val="0"/>
        <c:axId val="515276959"/>
        <c:axId val="515277439"/>
      </c:lineChart>
      <c:catAx>
        <c:axId val="515276959"/>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515277439"/>
        <c:crosses val="autoZero"/>
        <c:auto val="1"/>
        <c:lblAlgn val="ctr"/>
        <c:lblOffset val="100"/>
        <c:noMultiLvlLbl val="0"/>
      </c:catAx>
      <c:valAx>
        <c:axId val="515277439"/>
        <c:scaling>
          <c:orientation val="minMax"/>
        </c:scaling>
        <c:delete val="0"/>
        <c:axPos val="l"/>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515276959"/>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r>
              <a:rPr lang="en-US"/>
              <a:t>debt, equity ratios</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tx>
            <c:strRef>
              <c:f>'Ratio Analysis'!$P$22</c:f>
              <c:strCache>
                <c:ptCount val="1"/>
                <c:pt idx="0">
                  <c:v>Debt Ratio</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 Analysis'!$Q$20:$U$20</c:f>
              <c:numCache>
                <c:formatCode>General</c:formatCode>
                <c:ptCount val="5"/>
                <c:pt idx="0">
                  <c:v>2020</c:v>
                </c:pt>
                <c:pt idx="1">
                  <c:v>2021</c:v>
                </c:pt>
                <c:pt idx="2">
                  <c:v>2022</c:v>
                </c:pt>
                <c:pt idx="3">
                  <c:v>2023</c:v>
                </c:pt>
                <c:pt idx="4">
                  <c:v>2024</c:v>
                </c:pt>
              </c:numCache>
            </c:numRef>
          </c:cat>
          <c:val>
            <c:numRef>
              <c:f>'Ratio Analysis'!$Q$22:$U$22</c:f>
              <c:numCache>
                <c:formatCode>0.00</c:formatCode>
                <c:ptCount val="5"/>
                <c:pt idx="0">
                  <c:v>0.38603343197005624</c:v>
                </c:pt>
                <c:pt idx="1">
                  <c:v>0.4592924827764584</c:v>
                </c:pt>
                <c:pt idx="2">
                  <c:v>0.46762059095966979</c:v>
                </c:pt>
                <c:pt idx="3">
                  <c:v>0.4972349608848125</c:v>
                </c:pt>
                <c:pt idx="4">
                  <c:v>0.52650964577521853</c:v>
                </c:pt>
              </c:numCache>
            </c:numRef>
          </c:val>
          <c:smooth val="0"/>
          <c:extLst>
            <c:ext xmlns:c16="http://schemas.microsoft.com/office/drawing/2014/chart" uri="{C3380CC4-5D6E-409C-BE32-E72D297353CC}">
              <c16:uniqueId val="{00000000-1255-4B3E-8639-E8898E73044B}"/>
            </c:ext>
          </c:extLst>
        </c:ser>
        <c:ser>
          <c:idx val="1"/>
          <c:order val="1"/>
          <c:tx>
            <c:strRef>
              <c:f>'Ratio Analysis'!$P$23</c:f>
              <c:strCache>
                <c:ptCount val="1"/>
                <c:pt idx="0">
                  <c:v>Equity Ratio</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 Analysis'!$Q$20:$U$20</c:f>
              <c:numCache>
                <c:formatCode>General</c:formatCode>
                <c:ptCount val="5"/>
                <c:pt idx="0">
                  <c:v>2020</c:v>
                </c:pt>
                <c:pt idx="1">
                  <c:v>2021</c:v>
                </c:pt>
                <c:pt idx="2">
                  <c:v>2022</c:v>
                </c:pt>
                <c:pt idx="3">
                  <c:v>2023</c:v>
                </c:pt>
                <c:pt idx="4">
                  <c:v>2024</c:v>
                </c:pt>
              </c:numCache>
            </c:numRef>
          </c:cat>
          <c:val>
            <c:numRef>
              <c:f>'Ratio Analysis'!$Q$23:$U$23</c:f>
              <c:numCache>
                <c:formatCode>0.00</c:formatCode>
                <c:ptCount val="5"/>
                <c:pt idx="0">
                  <c:v>0.61396656802994376</c:v>
                </c:pt>
                <c:pt idx="1">
                  <c:v>0.5407075172235416</c:v>
                </c:pt>
                <c:pt idx="2">
                  <c:v>0.53237940904033021</c:v>
                </c:pt>
                <c:pt idx="3">
                  <c:v>0.50276503911518744</c:v>
                </c:pt>
                <c:pt idx="4">
                  <c:v>0.47349035422478153</c:v>
                </c:pt>
              </c:numCache>
            </c:numRef>
          </c:val>
          <c:smooth val="0"/>
          <c:extLst>
            <c:ext xmlns:c16="http://schemas.microsoft.com/office/drawing/2014/chart" uri="{C3380CC4-5D6E-409C-BE32-E72D297353CC}">
              <c16:uniqueId val="{00000001-1255-4B3E-8639-E8898E73044B}"/>
            </c:ext>
          </c:extLst>
        </c:ser>
        <c:dLbls>
          <c:dLblPos val="t"/>
          <c:showLegendKey val="0"/>
          <c:showVal val="1"/>
          <c:showCatName val="0"/>
          <c:showSerName val="0"/>
          <c:showPercent val="0"/>
          <c:showBubbleSize val="0"/>
        </c:dLbls>
        <c:marker val="1"/>
        <c:smooth val="0"/>
        <c:axId val="659550511"/>
        <c:axId val="659539951"/>
      </c:lineChart>
      <c:catAx>
        <c:axId val="65955051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659539951"/>
        <c:crosses val="autoZero"/>
        <c:auto val="1"/>
        <c:lblAlgn val="ctr"/>
        <c:lblOffset val="100"/>
        <c:noMultiLvlLbl val="0"/>
      </c:catAx>
      <c:valAx>
        <c:axId val="659539951"/>
        <c:scaling>
          <c:orientation val="minMax"/>
        </c:scaling>
        <c:delete val="0"/>
        <c:axPos val="l"/>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659550511"/>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r>
              <a:rPr lang="en-US"/>
              <a:t>Debt to Equity Ratio and Interest Coverage Ratio </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tx>
            <c:strRef>
              <c:f>'Ratio Analysis'!$P$21</c:f>
              <c:strCache>
                <c:ptCount val="1"/>
                <c:pt idx="0">
                  <c:v>Debt to Equity Ratio</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 Analysis'!$Q$20:$U$20</c:f>
              <c:numCache>
                <c:formatCode>General</c:formatCode>
                <c:ptCount val="5"/>
                <c:pt idx="0">
                  <c:v>2020</c:v>
                </c:pt>
                <c:pt idx="1">
                  <c:v>2021</c:v>
                </c:pt>
                <c:pt idx="2">
                  <c:v>2022</c:v>
                </c:pt>
                <c:pt idx="3">
                  <c:v>2023</c:v>
                </c:pt>
                <c:pt idx="4">
                  <c:v>2024</c:v>
                </c:pt>
              </c:numCache>
            </c:numRef>
          </c:cat>
          <c:val>
            <c:numRef>
              <c:f>'Ratio Analysis'!$Q$21:$U$21</c:f>
              <c:numCache>
                <c:formatCode>0.00</c:formatCode>
                <c:ptCount val="5"/>
                <c:pt idx="0">
                  <c:v>0.62875317984941004</c:v>
                </c:pt>
                <c:pt idx="1">
                  <c:v>0.84942869878129657</c:v>
                </c:pt>
                <c:pt idx="2">
                  <c:v>0.87835964918817011</c:v>
                </c:pt>
                <c:pt idx="3">
                  <c:v>0.98900067069081155</c:v>
                </c:pt>
                <c:pt idx="4">
                  <c:v>1.1119754416903431</c:v>
                </c:pt>
              </c:numCache>
            </c:numRef>
          </c:val>
          <c:smooth val="0"/>
          <c:extLst>
            <c:ext xmlns:c16="http://schemas.microsoft.com/office/drawing/2014/chart" uri="{C3380CC4-5D6E-409C-BE32-E72D297353CC}">
              <c16:uniqueId val="{00000000-D9B2-48FF-BA1E-E5E92EBD520D}"/>
            </c:ext>
          </c:extLst>
        </c:ser>
        <c:ser>
          <c:idx val="1"/>
          <c:order val="1"/>
          <c:tx>
            <c:strRef>
              <c:f>'Ratio Analysis'!$P$24</c:f>
              <c:strCache>
                <c:ptCount val="1"/>
                <c:pt idx="0">
                  <c:v>Interest Coverage Ratio</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 Analysis'!$Q$20:$U$20</c:f>
              <c:numCache>
                <c:formatCode>General</c:formatCode>
                <c:ptCount val="5"/>
                <c:pt idx="0">
                  <c:v>2020</c:v>
                </c:pt>
                <c:pt idx="1">
                  <c:v>2021</c:v>
                </c:pt>
                <c:pt idx="2">
                  <c:v>2022</c:v>
                </c:pt>
                <c:pt idx="3">
                  <c:v>2023</c:v>
                </c:pt>
                <c:pt idx="4">
                  <c:v>2024</c:v>
                </c:pt>
              </c:numCache>
            </c:numRef>
          </c:cat>
          <c:val>
            <c:numRef>
              <c:f>'Ratio Analysis'!$Q$24:$U$24</c:f>
              <c:numCache>
                <c:formatCode>0.00</c:formatCode>
                <c:ptCount val="5"/>
                <c:pt idx="0">
                  <c:v>26.20745428973277</c:v>
                </c:pt>
                <c:pt idx="1">
                  <c:v>41.083038869257948</c:v>
                </c:pt>
                <c:pt idx="2">
                  <c:v>6.6127272727272723</c:v>
                </c:pt>
                <c:pt idx="3">
                  <c:v>-19.690904893813482</c:v>
                </c:pt>
                <c:pt idx="4">
                  <c:v>-4.5513240107110979</c:v>
                </c:pt>
              </c:numCache>
            </c:numRef>
          </c:val>
          <c:smooth val="0"/>
          <c:extLst>
            <c:ext xmlns:c16="http://schemas.microsoft.com/office/drawing/2014/chart" uri="{C3380CC4-5D6E-409C-BE32-E72D297353CC}">
              <c16:uniqueId val="{00000001-D9B2-48FF-BA1E-E5E92EBD520D}"/>
            </c:ext>
          </c:extLst>
        </c:ser>
        <c:dLbls>
          <c:dLblPos val="t"/>
          <c:showLegendKey val="0"/>
          <c:showVal val="1"/>
          <c:showCatName val="0"/>
          <c:showSerName val="0"/>
          <c:showPercent val="0"/>
          <c:showBubbleSize val="0"/>
        </c:dLbls>
        <c:marker val="1"/>
        <c:smooth val="0"/>
        <c:axId val="666942143"/>
        <c:axId val="666943103"/>
      </c:lineChart>
      <c:catAx>
        <c:axId val="66694214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666943103"/>
        <c:crosses val="autoZero"/>
        <c:auto val="1"/>
        <c:lblAlgn val="ctr"/>
        <c:lblOffset val="100"/>
        <c:noMultiLvlLbl val="0"/>
      </c:catAx>
      <c:valAx>
        <c:axId val="666943103"/>
        <c:scaling>
          <c:orientation val="minMax"/>
        </c:scaling>
        <c:delete val="0"/>
        <c:axPos val="l"/>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666942143"/>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tx>
            <c:strRef>
              <c:f>'Ratio Analysis'!$P$26</c:f>
              <c:strCache>
                <c:ptCount val="1"/>
                <c:pt idx="0">
                  <c:v>Earnings per Share (£)</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 Analysis'!$Q$25:$U$25</c:f>
              <c:numCache>
                <c:formatCode>General</c:formatCode>
                <c:ptCount val="5"/>
                <c:pt idx="0">
                  <c:v>2020</c:v>
                </c:pt>
                <c:pt idx="1">
                  <c:v>2021</c:v>
                </c:pt>
                <c:pt idx="2">
                  <c:v>2022</c:v>
                </c:pt>
                <c:pt idx="3">
                  <c:v>2023</c:v>
                </c:pt>
                <c:pt idx="4">
                  <c:v>2024</c:v>
                </c:pt>
              </c:numCache>
            </c:numRef>
          </c:cat>
          <c:val>
            <c:numRef>
              <c:f>'Ratio Analysis'!$Q$26:$U$26</c:f>
              <c:numCache>
                <c:formatCode>General</c:formatCode>
                <c:ptCount val="5"/>
                <c:pt idx="0">
                  <c:v>-1.85</c:v>
                </c:pt>
                <c:pt idx="1">
                  <c:v>-7.64</c:v>
                </c:pt>
                <c:pt idx="2">
                  <c:v>0.03</c:v>
                </c:pt>
                <c:pt idx="3">
                  <c:v>0.39</c:v>
                </c:pt>
                <c:pt idx="4">
                  <c:v>2.78</c:v>
                </c:pt>
              </c:numCache>
            </c:numRef>
          </c:val>
          <c:smooth val="0"/>
          <c:extLst>
            <c:ext xmlns:c16="http://schemas.microsoft.com/office/drawing/2014/chart" uri="{C3380CC4-5D6E-409C-BE32-E72D297353CC}">
              <c16:uniqueId val="{00000000-D846-4F6E-A590-971189B33346}"/>
            </c:ext>
          </c:extLst>
        </c:ser>
        <c:dLbls>
          <c:dLblPos val="t"/>
          <c:showLegendKey val="0"/>
          <c:showVal val="1"/>
          <c:showCatName val="0"/>
          <c:showSerName val="0"/>
          <c:showPercent val="0"/>
          <c:showBubbleSize val="0"/>
        </c:dLbls>
        <c:marker val="1"/>
        <c:smooth val="0"/>
        <c:axId val="527830575"/>
        <c:axId val="527831055"/>
      </c:lineChart>
      <c:catAx>
        <c:axId val="52783057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527831055"/>
        <c:crosses val="autoZero"/>
        <c:auto val="1"/>
        <c:lblAlgn val="ctr"/>
        <c:lblOffset val="100"/>
        <c:noMultiLvlLbl val="0"/>
      </c:catAx>
      <c:valAx>
        <c:axId val="527831055"/>
        <c:scaling>
          <c:orientation val="minMax"/>
        </c:scaling>
        <c:delete val="0"/>
        <c:axPos val="l"/>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527830575"/>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r>
              <a:rPr lang="en-US"/>
              <a:t>Operating Cash Flow Ratio and Cash Flow to Debt Ratio </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tx>
            <c:strRef>
              <c:f>'Ratio Analysis'!$P$28</c:f>
              <c:strCache>
                <c:ptCount val="1"/>
                <c:pt idx="0">
                  <c:v>Operating Cash Flow Ratio</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dLbl>
              <c:idx val="0"/>
              <c:layout>
                <c:manualLayout>
                  <c:x val="-4.781577347714841E-2"/>
                  <c:y val="-8.2410464820929674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D7B4-4E34-B487-C50A82BA93BB}"/>
                </c:ext>
              </c:extLst>
            </c:dLbl>
            <c:dLbl>
              <c:idx val="1"/>
              <c:layout>
                <c:manualLayout>
                  <c:x val="-0.10766017802532318"/>
                  <c:y val="4.3037563852905351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D7B4-4E34-B487-C50A82BA93BB}"/>
                </c:ext>
              </c:extLst>
            </c:dLbl>
            <c:dLbl>
              <c:idx val="3"/>
              <c:layout>
                <c:manualLayout>
                  <c:x val="-4.3028221113294497E-2"/>
                  <c:y val="-0.11825275872773974"/>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D7B4-4E34-B487-C50A82BA93B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 Analysis'!$Q$27:$U$27</c:f>
              <c:numCache>
                <c:formatCode>General</c:formatCode>
                <c:ptCount val="5"/>
                <c:pt idx="0">
                  <c:v>2020</c:v>
                </c:pt>
                <c:pt idx="1">
                  <c:v>2021</c:v>
                </c:pt>
                <c:pt idx="2">
                  <c:v>2022</c:v>
                </c:pt>
                <c:pt idx="3">
                  <c:v>2023</c:v>
                </c:pt>
                <c:pt idx="4">
                  <c:v>2024</c:v>
                </c:pt>
              </c:numCache>
            </c:numRef>
          </c:cat>
          <c:val>
            <c:numRef>
              <c:f>'Ratio Analysis'!$Q$28:$U$28</c:f>
              <c:numCache>
                <c:formatCode>0.00</c:formatCode>
                <c:ptCount val="5"/>
                <c:pt idx="0">
                  <c:v>0.40884630382708487</c:v>
                </c:pt>
                <c:pt idx="1">
                  <c:v>0.18581833781545942</c:v>
                </c:pt>
                <c:pt idx="2">
                  <c:v>5.0472807232310728E-2</c:v>
                </c:pt>
                <c:pt idx="3">
                  <c:v>0.15631593317943754</c:v>
                </c:pt>
                <c:pt idx="4">
                  <c:v>9.3637667334213567E-2</c:v>
                </c:pt>
              </c:numCache>
            </c:numRef>
          </c:val>
          <c:smooth val="0"/>
          <c:extLst>
            <c:ext xmlns:c16="http://schemas.microsoft.com/office/drawing/2014/chart" uri="{C3380CC4-5D6E-409C-BE32-E72D297353CC}">
              <c16:uniqueId val="{00000003-D7B4-4E34-B487-C50A82BA93BB}"/>
            </c:ext>
          </c:extLst>
        </c:ser>
        <c:ser>
          <c:idx val="1"/>
          <c:order val="1"/>
          <c:tx>
            <c:strRef>
              <c:f>'Ratio Analysis'!$P$31</c:f>
              <c:strCache>
                <c:ptCount val="1"/>
                <c:pt idx="0">
                  <c:v>Cash Flow to Debt</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dLbls>
            <c:dLbl>
              <c:idx val="2"/>
              <c:layout>
                <c:manualLayout>
                  <c:x val="-3.345311638558645E-2"/>
                  <c:y val="-0.11825275872773981"/>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D7B4-4E34-B487-C50A82BA93BB}"/>
                </c:ext>
              </c:extLst>
            </c:dLbl>
            <c:dLbl>
              <c:idx val="4"/>
              <c:layout>
                <c:manualLayout>
                  <c:x val="-4.06344449313676E-2"/>
                  <c:y val="-0.12542121750910168"/>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D7B4-4E34-B487-C50A82BA93B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 Analysis'!$Q$27:$U$27</c:f>
              <c:numCache>
                <c:formatCode>General</c:formatCode>
                <c:ptCount val="5"/>
                <c:pt idx="0">
                  <c:v>2020</c:v>
                </c:pt>
                <c:pt idx="1">
                  <c:v>2021</c:v>
                </c:pt>
                <c:pt idx="2">
                  <c:v>2022</c:v>
                </c:pt>
                <c:pt idx="3">
                  <c:v>2023</c:v>
                </c:pt>
                <c:pt idx="4">
                  <c:v>2024</c:v>
                </c:pt>
              </c:numCache>
            </c:numRef>
          </c:cat>
          <c:val>
            <c:numRef>
              <c:f>'Ratio Analysis'!$Q$31:$U$31</c:f>
              <c:numCache>
                <c:formatCode>0.00</c:formatCode>
                <c:ptCount val="5"/>
                <c:pt idx="0">
                  <c:v>0.37256902669692216</c:v>
                </c:pt>
                <c:pt idx="1">
                  <c:v>0.17185653522412639</c:v>
                </c:pt>
                <c:pt idx="2">
                  <c:v>4.6344329118541548E-2</c:v>
                </c:pt>
                <c:pt idx="3">
                  <c:v>0.14235498892354989</c:v>
                </c:pt>
                <c:pt idx="4">
                  <c:v>8.7060716949879297E-2</c:v>
                </c:pt>
              </c:numCache>
            </c:numRef>
          </c:val>
          <c:smooth val="0"/>
          <c:extLst>
            <c:ext xmlns:c16="http://schemas.microsoft.com/office/drawing/2014/chart" uri="{C3380CC4-5D6E-409C-BE32-E72D297353CC}">
              <c16:uniqueId val="{00000006-D7B4-4E34-B487-C50A82BA93BB}"/>
            </c:ext>
          </c:extLst>
        </c:ser>
        <c:dLbls>
          <c:dLblPos val="t"/>
          <c:showLegendKey val="0"/>
          <c:showVal val="1"/>
          <c:showCatName val="0"/>
          <c:showSerName val="0"/>
          <c:showPercent val="0"/>
          <c:showBubbleSize val="0"/>
        </c:dLbls>
        <c:marker val="1"/>
        <c:smooth val="0"/>
        <c:axId val="527826735"/>
        <c:axId val="527828655"/>
      </c:lineChart>
      <c:catAx>
        <c:axId val="52782673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527828655"/>
        <c:crosses val="autoZero"/>
        <c:auto val="1"/>
        <c:lblAlgn val="ctr"/>
        <c:lblOffset val="100"/>
        <c:noMultiLvlLbl val="0"/>
      </c:catAx>
      <c:valAx>
        <c:axId val="527828655"/>
        <c:scaling>
          <c:orientation val="minMax"/>
        </c:scaling>
        <c:delete val="0"/>
        <c:axPos val="l"/>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527826735"/>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tx>
            <c:strRef>
              <c:f>'Ratio Analysis'!$P$29</c:f>
              <c:strCache>
                <c:ptCount val="1"/>
                <c:pt idx="0">
                  <c:v>Free Cash Flow (FCF)</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 Analysis'!$Q$27:$U$27</c:f>
              <c:numCache>
                <c:formatCode>General</c:formatCode>
                <c:ptCount val="5"/>
                <c:pt idx="0">
                  <c:v>2020</c:v>
                </c:pt>
                <c:pt idx="1">
                  <c:v>2021</c:v>
                </c:pt>
                <c:pt idx="2">
                  <c:v>2022</c:v>
                </c:pt>
                <c:pt idx="3">
                  <c:v>2023</c:v>
                </c:pt>
                <c:pt idx="4">
                  <c:v>2024</c:v>
                </c:pt>
              </c:numCache>
            </c:numRef>
          </c:cat>
          <c:val>
            <c:numRef>
              <c:f>'Ratio Analysis'!$Q$29:$U$29</c:f>
              <c:numCache>
                <c:formatCode>#,##0</c:formatCode>
                <c:ptCount val="5"/>
                <c:pt idx="0">
                  <c:v>50158</c:v>
                </c:pt>
                <c:pt idx="1">
                  <c:v>23242</c:v>
                </c:pt>
                <c:pt idx="2">
                  <c:v>-9659</c:v>
                </c:pt>
                <c:pt idx="3">
                  <c:v>11313</c:v>
                </c:pt>
                <c:pt idx="4">
                  <c:v>6394</c:v>
                </c:pt>
              </c:numCache>
            </c:numRef>
          </c:val>
          <c:smooth val="0"/>
          <c:extLst>
            <c:ext xmlns:c16="http://schemas.microsoft.com/office/drawing/2014/chart" uri="{C3380CC4-5D6E-409C-BE32-E72D297353CC}">
              <c16:uniqueId val="{00000000-1A71-4EC4-9A92-9DCEAECF37B1}"/>
            </c:ext>
          </c:extLst>
        </c:ser>
        <c:dLbls>
          <c:dLblPos val="t"/>
          <c:showLegendKey val="0"/>
          <c:showVal val="1"/>
          <c:showCatName val="0"/>
          <c:showSerName val="0"/>
          <c:showPercent val="0"/>
          <c:showBubbleSize val="0"/>
        </c:dLbls>
        <c:marker val="1"/>
        <c:smooth val="0"/>
        <c:axId val="1424225919"/>
        <c:axId val="1424213439"/>
      </c:lineChart>
      <c:catAx>
        <c:axId val="1424225919"/>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1424213439"/>
        <c:crosses val="autoZero"/>
        <c:auto val="1"/>
        <c:lblAlgn val="ctr"/>
        <c:lblOffset val="100"/>
        <c:noMultiLvlLbl val="0"/>
      </c:catAx>
      <c:valAx>
        <c:axId val="1424213439"/>
        <c:scaling>
          <c:orientation val="minMax"/>
        </c:scaling>
        <c:delete val="0"/>
        <c:axPos val="l"/>
        <c:numFmt formatCode="#,##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424225919"/>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tx>
            <c:strRef>
              <c:f>'Ratio Analysis'!$P$30</c:f>
              <c:strCache>
                <c:ptCount val="1"/>
                <c:pt idx="0">
                  <c:v>OCF to Net Income</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 Analysis'!$Q$27:$U$27</c:f>
              <c:numCache>
                <c:formatCode>General</c:formatCode>
                <c:ptCount val="5"/>
                <c:pt idx="0">
                  <c:v>2020</c:v>
                </c:pt>
                <c:pt idx="1">
                  <c:v>2021</c:v>
                </c:pt>
                <c:pt idx="2">
                  <c:v>2022</c:v>
                </c:pt>
                <c:pt idx="3">
                  <c:v>2023</c:v>
                </c:pt>
                <c:pt idx="4">
                  <c:v>2024</c:v>
                </c:pt>
              </c:numCache>
            </c:numRef>
          </c:cat>
          <c:val>
            <c:numRef>
              <c:f>'Ratio Analysis'!$Q$30:$U$30</c:f>
              <c:numCache>
                <c:formatCode>0.00</c:formatCode>
                <c:ptCount val="5"/>
                <c:pt idx="0">
                  <c:v>1.9027273670019704</c:v>
                </c:pt>
                <c:pt idx="1">
                  <c:v>7.5991322392001512</c:v>
                </c:pt>
                <c:pt idx="2">
                  <c:v>26.845208845208845</c:v>
                </c:pt>
                <c:pt idx="3">
                  <c:v>-0.25641808668743254</c:v>
                </c:pt>
                <c:pt idx="4">
                  <c:v>-0.61683798743185314</c:v>
                </c:pt>
              </c:numCache>
            </c:numRef>
          </c:val>
          <c:smooth val="0"/>
          <c:extLst>
            <c:ext xmlns:c16="http://schemas.microsoft.com/office/drawing/2014/chart" uri="{C3380CC4-5D6E-409C-BE32-E72D297353CC}">
              <c16:uniqueId val="{00000000-DE7B-4C8B-B1CC-864FF675914B}"/>
            </c:ext>
          </c:extLst>
        </c:ser>
        <c:dLbls>
          <c:dLblPos val="t"/>
          <c:showLegendKey val="0"/>
          <c:showVal val="1"/>
          <c:showCatName val="0"/>
          <c:showSerName val="0"/>
          <c:showPercent val="0"/>
          <c:showBubbleSize val="0"/>
        </c:dLbls>
        <c:marker val="1"/>
        <c:smooth val="0"/>
        <c:axId val="666956063"/>
        <c:axId val="666947423"/>
      </c:lineChart>
      <c:catAx>
        <c:axId val="66695606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666947423"/>
        <c:crosses val="autoZero"/>
        <c:auto val="1"/>
        <c:lblAlgn val="ctr"/>
        <c:lblOffset val="100"/>
        <c:noMultiLvlLbl val="0"/>
      </c:catAx>
      <c:valAx>
        <c:axId val="666947423"/>
        <c:scaling>
          <c:orientation val="minMax"/>
        </c:scaling>
        <c:delete val="0"/>
        <c:axPos val="l"/>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666956063"/>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r>
              <a:rPr lang="en-US"/>
              <a:t>Cash Operating Cycle (Cash Conversion Cycle – CCC)</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tx>
            <c:strRef>
              <c:f>'Cash Operating Cycle'!$B$13</c:f>
              <c:strCache>
                <c:ptCount val="1"/>
                <c:pt idx="0">
                  <c:v>DSO (days)</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'Cash Operating Cycle'!$C$10:$G$10</c:f>
              <c:numCache>
                <c:formatCode>General</c:formatCode>
                <c:ptCount val="5"/>
                <c:pt idx="0">
                  <c:v>2020</c:v>
                </c:pt>
                <c:pt idx="1">
                  <c:v>2021</c:v>
                </c:pt>
                <c:pt idx="2">
                  <c:v>2022</c:v>
                </c:pt>
                <c:pt idx="3">
                  <c:v>2023</c:v>
                </c:pt>
                <c:pt idx="4">
                  <c:v>2024</c:v>
                </c:pt>
              </c:numCache>
            </c:numRef>
          </c:cat>
          <c:val>
            <c:numRef>
              <c:f>'Cash Operating Cycle'!$C$13:$G$13</c:f>
              <c:numCache>
                <c:formatCode>0.00</c:formatCode>
                <c:ptCount val="5"/>
                <c:pt idx="0">
                  <c:v>76.857950478297653</c:v>
                </c:pt>
                <c:pt idx="1">
                  <c:v>78.396473083533635</c:v>
                </c:pt>
                <c:pt idx="2">
                  <c:v>75.552675167802548</c:v>
                </c:pt>
                <c:pt idx="3">
                  <c:v>97.744929921490183</c:v>
                </c:pt>
                <c:pt idx="4">
                  <c:v>105.54228004021485</c:v>
                </c:pt>
              </c:numCache>
            </c:numRef>
          </c:val>
          <c:smooth val="0"/>
          <c:extLst>
            <c:ext xmlns:c16="http://schemas.microsoft.com/office/drawing/2014/chart" uri="{C3380CC4-5D6E-409C-BE32-E72D297353CC}">
              <c16:uniqueId val="{00000000-EC3F-4334-AF68-AF49F2E7C5CD}"/>
            </c:ext>
          </c:extLst>
        </c:ser>
        <c:ser>
          <c:idx val="1"/>
          <c:order val="1"/>
          <c:tx>
            <c:strRef>
              <c:f>'Cash Operating Cycle'!$B$20</c:f>
              <c:strCache>
                <c:ptCount val="1"/>
                <c:pt idx="0">
                  <c:v>DIO (days)</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dLbls>
            <c:dLbl>
              <c:idx val="0"/>
              <c:layout>
                <c:manualLayout>
                  <c:x val="-0.10852777777777778"/>
                  <c:y val="-1.5958513477864567E-3"/>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EC3F-4334-AF68-AF49F2E7C5CD}"/>
                </c:ext>
              </c:extLst>
            </c:dLbl>
            <c:dLbl>
              <c:idx val="2"/>
              <c:layout>
                <c:manualLayout>
                  <c:x val="-6.9638888888888889E-2"/>
                  <c:y val="6.6447882377974138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EC3F-4334-AF68-AF49F2E7C5CD}"/>
                </c:ext>
              </c:extLst>
            </c:dLbl>
            <c:dLbl>
              <c:idx val="3"/>
              <c:layout>
                <c:manualLayout>
                  <c:x val="-3.5527777777777776E-2"/>
                  <c:y val="5.6727348988579777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EC3F-4334-AF68-AF49F2E7C5CD}"/>
                </c:ext>
              </c:extLst>
            </c:dLbl>
            <c:dLbl>
              <c:idx val="4"/>
              <c:layout>
                <c:manualLayout>
                  <c:x val="-3.6305555555555452E-2"/>
                  <c:y val="1.7845215431002329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EC3F-4334-AF68-AF49F2E7C5CD}"/>
                </c:ext>
              </c:extLst>
            </c:dLbl>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'Cash Operating Cycle'!$C$10:$G$10</c:f>
              <c:numCache>
                <c:formatCode>General</c:formatCode>
                <c:ptCount val="5"/>
                <c:pt idx="0">
                  <c:v>2020</c:v>
                </c:pt>
                <c:pt idx="1">
                  <c:v>2021</c:v>
                </c:pt>
                <c:pt idx="2">
                  <c:v>2022</c:v>
                </c:pt>
                <c:pt idx="3">
                  <c:v>2023</c:v>
                </c:pt>
                <c:pt idx="4">
                  <c:v>2024</c:v>
                </c:pt>
              </c:numCache>
            </c:numRef>
          </c:cat>
          <c:val>
            <c:numRef>
              <c:f>'Cash Operating Cycle'!$C$20:$G$20</c:f>
              <c:numCache>
                <c:formatCode>0.00</c:formatCode>
                <c:ptCount val="5"/>
                <c:pt idx="0">
                  <c:v>100.26127675492218</c:v>
                </c:pt>
                <c:pt idx="1">
                  <c:v>114.51887135837381</c:v>
                </c:pt>
                <c:pt idx="2">
                  <c:v>131.04081350410669</c:v>
                </c:pt>
                <c:pt idx="3">
                  <c:v>99.783042270445378</c:v>
                </c:pt>
                <c:pt idx="4">
                  <c:v>103.11898107766524</c:v>
                </c:pt>
              </c:numCache>
            </c:numRef>
          </c:val>
          <c:smooth val="0"/>
          <c:extLst>
            <c:ext xmlns:c16="http://schemas.microsoft.com/office/drawing/2014/chart" uri="{C3380CC4-5D6E-409C-BE32-E72D297353CC}">
              <c16:uniqueId val="{00000005-EC3F-4334-AF68-AF49F2E7C5CD}"/>
            </c:ext>
          </c:extLst>
        </c:ser>
        <c:ser>
          <c:idx val="2"/>
          <c:order val="2"/>
          <c:tx>
            <c:strRef>
              <c:f>'Cash Operating Cycle'!$B$27</c:f>
              <c:strCache>
                <c:ptCount val="1"/>
                <c:pt idx="0">
                  <c:v>DPO (days)</c:v>
                </c:pt>
              </c:strCache>
            </c:strRef>
          </c:tx>
          <c:spPr>
            <a:ln w="22225" cap="rnd">
              <a:solidFill>
                <a:schemeClr val="accent3"/>
              </a:solidFill>
              <a:round/>
            </a:ln>
            <a:effectLst/>
          </c:spPr>
          <c:marker>
            <c:symbol val="triangle"/>
            <c:size val="6"/>
            <c:spPr>
              <a:solidFill>
                <a:schemeClr val="accent3"/>
              </a:solidFill>
              <a:ln w="9525">
                <a:solidFill>
                  <a:schemeClr val="accent3"/>
                </a:solidFill>
                <a:round/>
              </a:ln>
              <a:effectLst/>
            </c:spPr>
          </c:marker>
          <c:dLbls>
            <c:dLbl>
              <c:idx val="0"/>
              <c:layout>
                <c:manualLayout>
                  <c:x val="-6.8861111111111137E-2"/>
                  <c:y val="6.6447882377974027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6-EC3F-4334-AF68-AF49F2E7C5CD}"/>
                </c:ext>
              </c:extLst>
            </c:dLbl>
            <c:dLbl>
              <c:idx val="1"/>
              <c:layout>
                <c:manualLayout>
                  <c:x val="-5.2194444444444446E-2"/>
                  <c:y val="8.2648771360297954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EC3F-4334-AF68-AF49F2E7C5CD}"/>
                </c:ext>
              </c:extLst>
            </c:dLbl>
            <c:dLbl>
              <c:idx val="2"/>
              <c:layout>
                <c:manualLayout>
                  <c:x val="-4.6638888888888994E-2"/>
                  <c:y val="6.3207704581509358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8-EC3F-4334-AF68-AF49F2E7C5CD}"/>
                </c:ext>
              </c:extLst>
            </c:dLbl>
            <c:dLbl>
              <c:idx val="4"/>
              <c:layout>
                <c:manualLayout>
                  <c:x val="-5.2194444444444543E-2"/>
                  <c:y val="8.2648771360298079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9-EC3F-4334-AF68-AF49F2E7C5CD}"/>
                </c:ext>
              </c:extLst>
            </c:dLbl>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'Cash Operating Cycle'!$C$10:$G$10</c:f>
              <c:numCache>
                <c:formatCode>General</c:formatCode>
                <c:ptCount val="5"/>
                <c:pt idx="0">
                  <c:v>2020</c:v>
                </c:pt>
                <c:pt idx="1">
                  <c:v>2021</c:v>
                </c:pt>
                <c:pt idx="2">
                  <c:v>2022</c:v>
                </c:pt>
                <c:pt idx="3">
                  <c:v>2023</c:v>
                </c:pt>
                <c:pt idx="4">
                  <c:v>2024</c:v>
                </c:pt>
              </c:numCache>
            </c:numRef>
          </c:cat>
          <c:val>
            <c:numRef>
              <c:f>'Cash Operating Cycle'!$C$27:$G$27</c:f>
              <c:numCache>
                <c:formatCode>0.00</c:formatCode>
                <c:ptCount val="5"/>
                <c:pt idx="0">
                  <c:v>69.290424338083682</c:v>
                </c:pt>
                <c:pt idx="1">
                  <c:v>78.952777272239402</c:v>
                </c:pt>
                <c:pt idx="2">
                  <c:v>66.719284227025113</c:v>
                </c:pt>
                <c:pt idx="3">
                  <c:v>64.469614149403682</c:v>
                </c:pt>
                <c:pt idx="4">
                  <c:v>93.601705324243014</c:v>
                </c:pt>
              </c:numCache>
            </c:numRef>
          </c:val>
          <c:smooth val="0"/>
          <c:extLst>
            <c:ext xmlns:c16="http://schemas.microsoft.com/office/drawing/2014/chart" uri="{C3380CC4-5D6E-409C-BE32-E72D297353CC}">
              <c16:uniqueId val="{0000000A-EC3F-4334-AF68-AF49F2E7C5CD}"/>
            </c:ext>
          </c:extLst>
        </c:ser>
        <c:ser>
          <c:idx val="3"/>
          <c:order val="3"/>
          <c:tx>
            <c:strRef>
              <c:f>'Cash Operating Cycle'!$B$35</c:f>
              <c:strCache>
                <c:ptCount val="1"/>
                <c:pt idx="0">
                  <c:v>Cash Conversion Cycle (days)</c:v>
                </c:pt>
              </c:strCache>
            </c:strRef>
          </c:tx>
          <c:spPr>
            <a:ln w="22225" cap="rnd">
              <a:solidFill>
                <a:schemeClr val="accent4"/>
              </a:solidFill>
              <a:round/>
            </a:ln>
            <a:effectLst/>
          </c:spPr>
          <c:marker>
            <c:symbol val="x"/>
            <c:size val="6"/>
            <c:spPr>
              <a:noFill/>
              <a:ln w="9525">
                <a:solidFill>
                  <a:schemeClr val="accent4"/>
                </a:solidFill>
                <a:round/>
              </a:ln>
              <a:effectLst/>
            </c:spPr>
          </c:marker>
          <c:dLbls>
            <c:dLbl>
              <c:idx val="1"/>
              <c:layout>
                <c:manualLayout>
                  <c:x val="-2.5194444444444394E-2"/>
                  <c:y val="4.0526460006255836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B-EC3F-4334-AF68-AF49F2E7C5CD}"/>
                </c:ext>
              </c:extLst>
            </c:dLbl>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'Cash Operating Cycle'!$C$10:$G$10</c:f>
              <c:numCache>
                <c:formatCode>General</c:formatCode>
                <c:ptCount val="5"/>
                <c:pt idx="0">
                  <c:v>2020</c:v>
                </c:pt>
                <c:pt idx="1">
                  <c:v>2021</c:v>
                </c:pt>
                <c:pt idx="2">
                  <c:v>2022</c:v>
                </c:pt>
                <c:pt idx="3">
                  <c:v>2023</c:v>
                </c:pt>
                <c:pt idx="4">
                  <c:v>2024</c:v>
                </c:pt>
              </c:numCache>
            </c:numRef>
          </c:cat>
          <c:val>
            <c:numRef>
              <c:f>'Cash Operating Cycle'!$C$35:$G$35</c:f>
              <c:numCache>
                <c:formatCode>0.00</c:formatCode>
                <c:ptCount val="5"/>
                <c:pt idx="0">
                  <c:v>107.82880289513614</c:v>
                </c:pt>
                <c:pt idx="1">
                  <c:v>113.96256716966805</c:v>
                </c:pt>
                <c:pt idx="2">
                  <c:v>139.87420444488413</c:v>
                </c:pt>
                <c:pt idx="3">
                  <c:v>133.05835804253189</c:v>
                </c:pt>
                <c:pt idx="4">
                  <c:v>115.05955579363707</c:v>
                </c:pt>
              </c:numCache>
            </c:numRef>
          </c:val>
          <c:smooth val="0"/>
          <c:extLst>
            <c:ext xmlns:c16="http://schemas.microsoft.com/office/drawing/2014/chart" uri="{C3380CC4-5D6E-409C-BE32-E72D297353CC}">
              <c16:uniqueId val="{0000000C-EC3F-4334-AF68-AF49F2E7C5CD}"/>
            </c:ext>
          </c:extLst>
        </c:ser>
        <c:dLbls>
          <c:dLblPos val="t"/>
          <c:showLegendKey val="0"/>
          <c:showVal val="1"/>
          <c:showCatName val="0"/>
          <c:showSerName val="0"/>
          <c:showPercent val="0"/>
          <c:showBubbleSize val="0"/>
        </c:dLbls>
        <c:marker val="1"/>
        <c:smooth val="0"/>
        <c:axId val="666957023"/>
        <c:axId val="666957503"/>
      </c:lineChart>
      <c:catAx>
        <c:axId val="66695702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666957503"/>
        <c:crosses val="autoZero"/>
        <c:auto val="1"/>
        <c:lblAlgn val="ctr"/>
        <c:lblOffset val="100"/>
        <c:noMultiLvlLbl val="0"/>
      </c:catAx>
      <c:valAx>
        <c:axId val="666957503"/>
        <c:scaling>
          <c:orientation val="minMax"/>
        </c:scaling>
        <c:delete val="0"/>
        <c:axPos val="l"/>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666957023"/>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tx>
            <c:strRef>
              <c:f>'Cash Operating Cycle'!$B$35</c:f>
              <c:strCache>
                <c:ptCount val="1"/>
                <c:pt idx="0">
                  <c:v>Cash Conversion Cycle (days)</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'Cash Operating Cycle'!$C$31:$G$31</c:f>
              <c:numCache>
                <c:formatCode>General</c:formatCode>
                <c:ptCount val="5"/>
                <c:pt idx="0">
                  <c:v>2020</c:v>
                </c:pt>
                <c:pt idx="1">
                  <c:v>2021</c:v>
                </c:pt>
                <c:pt idx="2">
                  <c:v>2022</c:v>
                </c:pt>
                <c:pt idx="3">
                  <c:v>2023</c:v>
                </c:pt>
                <c:pt idx="4">
                  <c:v>2024</c:v>
                </c:pt>
              </c:numCache>
            </c:numRef>
          </c:cat>
          <c:val>
            <c:numRef>
              <c:f>'Cash Operating Cycle'!$C$35:$G$35</c:f>
              <c:numCache>
                <c:formatCode>0.00</c:formatCode>
                <c:ptCount val="5"/>
                <c:pt idx="0">
                  <c:v>107.82880289513614</c:v>
                </c:pt>
                <c:pt idx="1">
                  <c:v>113.96256716966805</c:v>
                </c:pt>
                <c:pt idx="2">
                  <c:v>139.87420444488413</c:v>
                </c:pt>
                <c:pt idx="3">
                  <c:v>133.05835804253189</c:v>
                </c:pt>
                <c:pt idx="4">
                  <c:v>115.05955579363707</c:v>
                </c:pt>
              </c:numCache>
            </c:numRef>
          </c:val>
          <c:smooth val="0"/>
          <c:extLst>
            <c:ext xmlns:c16="http://schemas.microsoft.com/office/drawing/2014/chart" uri="{C3380CC4-5D6E-409C-BE32-E72D297353CC}">
              <c16:uniqueId val="{00000000-E682-45C1-89D1-1E610FAF596A}"/>
            </c:ext>
          </c:extLst>
        </c:ser>
        <c:dLbls>
          <c:dLblPos val="t"/>
          <c:showLegendKey val="0"/>
          <c:showVal val="1"/>
          <c:showCatName val="0"/>
          <c:showSerName val="0"/>
          <c:showPercent val="0"/>
          <c:showBubbleSize val="0"/>
        </c:dLbls>
        <c:marker val="1"/>
        <c:smooth val="0"/>
        <c:axId val="666758239"/>
        <c:axId val="666759199"/>
      </c:lineChart>
      <c:catAx>
        <c:axId val="666758239"/>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666759199"/>
        <c:crosses val="autoZero"/>
        <c:auto val="1"/>
        <c:lblAlgn val="ctr"/>
        <c:lblOffset val="100"/>
        <c:noMultiLvlLbl val="0"/>
      </c:catAx>
      <c:valAx>
        <c:axId val="666759199"/>
        <c:scaling>
          <c:orientation val="minMax"/>
        </c:scaling>
        <c:delete val="0"/>
        <c:axPos val="l"/>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666758239"/>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tx>
            <c:strRef>
              <c:f>'Cash Operating Cycle'!$B$13</c:f>
              <c:strCache>
                <c:ptCount val="1"/>
                <c:pt idx="0">
                  <c:v>DSO (days)</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'Cash Operating Cycle'!$C$10:$G$10</c:f>
              <c:numCache>
                <c:formatCode>General</c:formatCode>
                <c:ptCount val="5"/>
                <c:pt idx="0">
                  <c:v>2020</c:v>
                </c:pt>
                <c:pt idx="1">
                  <c:v>2021</c:v>
                </c:pt>
                <c:pt idx="2">
                  <c:v>2022</c:v>
                </c:pt>
                <c:pt idx="3">
                  <c:v>2023</c:v>
                </c:pt>
                <c:pt idx="4">
                  <c:v>2024</c:v>
                </c:pt>
              </c:numCache>
            </c:numRef>
          </c:cat>
          <c:val>
            <c:numRef>
              <c:f>'Cash Operating Cycle'!$C$13:$G$13</c:f>
              <c:numCache>
                <c:formatCode>0.00</c:formatCode>
                <c:ptCount val="5"/>
                <c:pt idx="0">
                  <c:v>76.857950478297653</c:v>
                </c:pt>
                <c:pt idx="1">
                  <c:v>78.396473083533635</c:v>
                </c:pt>
                <c:pt idx="2">
                  <c:v>75.552675167802548</c:v>
                </c:pt>
                <c:pt idx="3">
                  <c:v>97.744929921490183</c:v>
                </c:pt>
                <c:pt idx="4">
                  <c:v>105.54228004021485</c:v>
                </c:pt>
              </c:numCache>
            </c:numRef>
          </c:val>
          <c:smooth val="0"/>
          <c:extLst>
            <c:ext xmlns:c16="http://schemas.microsoft.com/office/drawing/2014/chart" uri="{C3380CC4-5D6E-409C-BE32-E72D297353CC}">
              <c16:uniqueId val="{00000000-B652-4C83-B9DD-D4398AE6A1BF}"/>
            </c:ext>
          </c:extLst>
        </c:ser>
        <c:dLbls>
          <c:dLblPos val="t"/>
          <c:showLegendKey val="0"/>
          <c:showVal val="1"/>
          <c:showCatName val="0"/>
          <c:showSerName val="0"/>
          <c:showPercent val="0"/>
          <c:showBubbleSize val="0"/>
        </c:dLbls>
        <c:marker val="1"/>
        <c:smooth val="0"/>
        <c:axId val="525161503"/>
        <c:axId val="525164383"/>
      </c:lineChart>
      <c:catAx>
        <c:axId val="52516150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525164383"/>
        <c:crosses val="autoZero"/>
        <c:auto val="1"/>
        <c:lblAlgn val="ctr"/>
        <c:lblOffset val="100"/>
        <c:noMultiLvlLbl val="0"/>
      </c:catAx>
      <c:valAx>
        <c:axId val="525164383"/>
        <c:scaling>
          <c:orientation val="minMax"/>
        </c:scaling>
        <c:delete val="0"/>
        <c:axPos val="l"/>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525161503"/>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tx>
            <c:strRef>
              <c:f>'Cash Operating Cycle'!$B$20</c:f>
              <c:strCache>
                <c:ptCount val="1"/>
                <c:pt idx="0">
                  <c:v>DIO (days)</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'Cash Operating Cycle'!$C$17:$G$17</c:f>
              <c:numCache>
                <c:formatCode>General</c:formatCode>
                <c:ptCount val="5"/>
                <c:pt idx="0">
                  <c:v>2020</c:v>
                </c:pt>
                <c:pt idx="1">
                  <c:v>2021</c:v>
                </c:pt>
                <c:pt idx="2">
                  <c:v>2022</c:v>
                </c:pt>
                <c:pt idx="3">
                  <c:v>2023</c:v>
                </c:pt>
                <c:pt idx="4">
                  <c:v>2024</c:v>
                </c:pt>
              </c:numCache>
            </c:numRef>
          </c:cat>
          <c:val>
            <c:numRef>
              <c:f>'Cash Operating Cycle'!$C$20:$G$20</c:f>
              <c:numCache>
                <c:formatCode>0.00</c:formatCode>
                <c:ptCount val="5"/>
                <c:pt idx="0">
                  <c:v>100.26127675492218</c:v>
                </c:pt>
                <c:pt idx="1">
                  <c:v>114.51887135837381</c:v>
                </c:pt>
                <c:pt idx="2">
                  <c:v>131.04081350410669</c:v>
                </c:pt>
                <c:pt idx="3">
                  <c:v>99.783042270445378</c:v>
                </c:pt>
                <c:pt idx="4">
                  <c:v>103.11898107766524</c:v>
                </c:pt>
              </c:numCache>
            </c:numRef>
          </c:val>
          <c:smooth val="0"/>
          <c:extLst>
            <c:ext xmlns:c16="http://schemas.microsoft.com/office/drawing/2014/chart" uri="{C3380CC4-5D6E-409C-BE32-E72D297353CC}">
              <c16:uniqueId val="{00000000-1A21-45FF-B78D-EA6347DC4E9F}"/>
            </c:ext>
          </c:extLst>
        </c:ser>
        <c:dLbls>
          <c:dLblPos val="t"/>
          <c:showLegendKey val="0"/>
          <c:showVal val="1"/>
          <c:showCatName val="0"/>
          <c:showSerName val="0"/>
          <c:showPercent val="0"/>
          <c:showBubbleSize val="0"/>
        </c:dLbls>
        <c:marker val="1"/>
        <c:smooth val="0"/>
        <c:axId val="658487743"/>
        <c:axId val="658483423"/>
      </c:lineChart>
      <c:catAx>
        <c:axId val="65848774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658483423"/>
        <c:crosses val="autoZero"/>
        <c:auto val="1"/>
        <c:lblAlgn val="ctr"/>
        <c:lblOffset val="100"/>
        <c:noMultiLvlLbl val="0"/>
      </c:catAx>
      <c:valAx>
        <c:axId val="658483423"/>
        <c:scaling>
          <c:orientation val="minMax"/>
        </c:scaling>
        <c:delete val="0"/>
        <c:axPos val="l"/>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658487743"/>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solidFill>
              <a:latin typeface="+mn-lt"/>
              <a:ea typeface="+mn-ea"/>
              <a:cs typeface="+mn-cs"/>
            </a:defRPr>
          </a:pPr>
          <a:endParaRPr lang="en-US"/>
        </a:p>
      </c:txPr>
    </c:title>
    <c:autoTitleDeleted val="0"/>
    <c:plotArea>
      <c:layout/>
      <c:lineChart>
        <c:grouping val="standard"/>
        <c:varyColors val="0"/>
        <c:ser>
          <c:idx val="0"/>
          <c:order val="0"/>
          <c:tx>
            <c:strRef>
              <c:f>'Cash Operating Cycle'!$B$27</c:f>
              <c:strCache>
                <c:ptCount val="1"/>
                <c:pt idx="0">
                  <c:v>DPO (days)</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'Cash Operating Cycle'!$C$24:$G$24</c:f>
              <c:numCache>
                <c:formatCode>General</c:formatCode>
                <c:ptCount val="5"/>
                <c:pt idx="0">
                  <c:v>2020</c:v>
                </c:pt>
                <c:pt idx="1">
                  <c:v>2021</c:v>
                </c:pt>
                <c:pt idx="2">
                  <c:v>2022</c:v>
                </c:pt>
                <c:pt idx="3">
                  <c:v>2023</c:v>
                </c:pt>
                <c:pt idx="4">
                  <c:v>2024</c:v>
                </c:pt>
              </c:numCache>
            </c:numRef>
          </c:cat>
          <c:val>
            <c:numRef>
              <c:f>'Cash Operating Cycle'!$C$27:$G$27</c:f>
              <c:numCache>
                <c:formatCode>0.00</c:formatCode>
                <c:ptCount val="5"/>
                <c:pt idx="0">
                  <c:v>69.290424338083682</c:v>
                </c:pt>
                <c:pt idx="1">
                  <c:v>78.952777272239402</c:v>
                </c:pt>
                <c:pt idx="2">
                  <c:v>66.719284227025113</c:v>
                </c:pt>
                <c:pt idx="3">
                  <c:v>64.469614149403682</c:v>
                </c:pt>
                <c:pt idx="4">
                  <c:v>93.601705324243014</c:v>
                </c:pt>
              </c:numCache>
            </c:numRef>
          </c:val>
          <c:smooth val="0"/>
          <c:extLst>
            <c:ext xmlns:c16="http://schemas.microsoft.com/office/drawing/2014/chart" uri="{C3380CC4-5D6E-409C-BE32-E72D297353CC}">
              <c16:uniqueId val="{00000000-0BD7-413F-87CB-2138A0D7082B}"/>
            </c:ext>
          </c:extLst>
        </c:ser>
        <c:dLbls>
          <c:dLblPos val="t"/>
          <c:showLegendKey val="0"/>
          <c:showVal val="1"/>
          <c:showCatName val="0"/>
          <c:showSerName val="0"/>
          <c:showPercent val="0"/>
          <c:showBubbleSize val="0"/>
        </c:dLbls>
        <c:marker val="1"/>
        <c:smooth val="0"/>
        <c:axId val="670653807"/>
        <c:axId val="670652847"/>
      </c:lineChart>
      <c:catAx>
        <c:axId val="67065380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670652847"/>
        <c:crosses val="autoZero"/>
        <c:auto val="1"/>
        <c:lblAlgn val="ctr"/>
        <c:lblOffset val="100"/>
        <c:noMultiLvlLbl val="0"/>
      </c:catAx>
      <c:valAx>
        <c:axId val="670652847"/>
        <c:scaling>
          <c:orientation val="minMax"/>
        </c:scaling>
        <c:delete val="0"/>
        <c:axPos val="l"/>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670653807"/>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2.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3.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4.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5.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62</Pages>
  <Words>9404</Words>
  <Characters>53603</Characters>
  <Application>Microsoft Office Word</Application>
  <DocSecurity>0</DocSecurity>
  <Lines>446</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harshil prajapati</dc:creator>
  <cp:keywords/>
  <dc:description/>
  <cp:lastModifiedBy>harshil prajapati</cp:lastModifiedBy>
  <cp:revision>8</cp:revision>
  <dcterms:created xsi:type="dcterms:W3CDTF">2025-12-21T14:32:00Z</dcterms:created>
  <dcterms:modified xsi:type="dcterms:W3CDTF">2025-12-22T07:23:00Z</dcterms:modified>
</cp:coreProperties>
</file>