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0496" w:rsidRPr="00D255DD" w:rsidRDefault="00160496" w:rsidP="00160496">
      <w:pPr>
        <w:overflowPunct/>
        <w:autoSpaceDE/>
        <w:autoSpaceDN/>
        <w:adjustRightInd/>
        <w:jc w:val="left"/>
        <w:textAlignment w:val="auto"/>
        <w:rPr>
          <w:rFonts w:ascii="Arial" w:hAnsi="Arial" w:cs="Arial"/>
          <w:b/>
          <w:sz w:val="22"/>
          <w:szCs w:val="22"/>
        </w:rPr>
      </w:pPr>
      <w:r w:rsidRPr="00D255DD">
        <w:rPr>
          <w:rFonts w:ascii="Arial" w:hAnsi="Arial" w:cs="Arial"/>
          <w:b/>
          <w:sz w:val="22"/>
          <w:szCs w:val="22"/>
        </w:rPr>
        <w:t>MODULE CODE:</w:t>
      </w:r>
      <w:r w:rsidRPr="00D255DD">
        <w:rPr>
          <w:rFonts w:ascii="Arial" w:hAnsi="Arial" w:cs="Arial"/>
          <w:b/>
          <w:sz w:val="22"/>
          <w:szCs w:val="22"/>
        </w:rPr>
        <w:tab/>
        <w:t>HPEN4001</w:t>
      </w:r>
    </w:p>
    <w:p w:rsidR="00160496" w:rsidRPr="00D255DD" w:rsidRDefault="00160496" w:rsidP="00160496">
      <w:pPr>
        <w:pStyle w:val="fixed"/>
        <w:ind w:left="0" w:firstLine="0"/>
        <w:outlineLvl w:val="1"/>
        <w:rPr>
          <w:rFonts w:ascii="Arial" w:hAnsi="Arial" w:cs="Arial"/>
          <w:sz w:val="22"/>
          <w:szCs w:val="22"/>
        </w:rPr>
      </w:pPr>
      <w:bookmarkStart w:id="0" w:name="HistoricisingTexts"/>
      <w:r w:rsidRPr="00D255DD">
        <w:rPr>
          <w:rFonts w:ascii="Arial" w:hAnsi="Arial" w:cs="Arial"/>
          <w:sz w:val="22"/>
          <w:szCs w:val="22"/>
        </w:rPr>
        <w:t>TITLE:</w:t>
      </w:r>
      <w:r w:rsidRPr="00D255DD">
        <w:rPr>
          <w:rFonts w:ascii="Arial" w:hAnsi="Arial" w:cs="Arial"/>
          <w:sz w:val="22"/>
          <w:szCs w:val="22"/>
        </w:rPr>
        <w:tab/>
      </w:r>
      <w:r w:rsidRPr="00D255DD">
        <w:rPr>
          <w:rFonts w:ascii="Arial" w:hAnsi="Arial" w:cs="Arial"/>
          <w:sz w:val="22"/>
          <w:szCs w:val="22"/>
        </w:rPr>
        <w:tab/>
      </w:r>
      <w:r w:rsidRPr="00D255DD">
        <w:rPr>
          <w:rFonts w:ascii="Arial" w:hAnsi="Arial" w:cs="Arial"/>
          <w:sz w:val="22"/>
          <w:szCs w:val="22"/>
        </w:rPr>
        <w:tab/>
        <w:t>Historicising Texts</w:t>
      </w:r>
    </w:p>
    <w:bookmarkEnd w:id="0"/>
    <w:p w:rsidR="00160496" w:rsidRPr="00D255DD" w:rsidRDefault="00160496" w:rsidP="00160496">
      <w:pPr>
        <w:pStyle w:val="fixed"/>
        <w:rPr>
          <w:rFonts w:ascii="Arial" w:hAnsi="Arial" w:cs="Arial"/>
          <w:sz w:val="22"/>
          <w:szCs w:val="22"/>
        </w:rPr>
      </w:pPr>
      <w:r w:rsidRPr="00D255DD">
        <w:rPr>
          <w:rFonts w:ascii="Arial" w:hAnsi="Arial" w:cs="Arial"/>
          <w:sz w:val="22"/>
          <w:szCs w:val="22"/>
        </w:rPr>
        <w:t>DATED:</w:t>
      </w:r>
      <w:r w:rsidRPr="00D255DD">
        <w:rPr>
          <w:rFonts w:ascii="Arial" w:hAnsi="Arial" w:cs="Arial"/>
          <w:sz w:val="22"/>
          <w:szCs w:val="22"/>
        </w:rPr>
        <w:tab/>
      </w:r>
      <w:r w:rsidRPr="00D255DD">
        <w:rPr>
          <w:rFonts w:ascii="Arial" w:hAnsi="Arial" w:cs="Arial"/>
          <w:sz w:val="22"/>
          <w:szCs w:val="22"/>
        </w:rPr>
        <w:tab/>
      </w:r>
      <w:r>
        <w:rPr>
          <w:rFonts w:ascii="Arial" w:hAnsi="Arial" w:cs="Arial"/>
          <w:sz w:val="22"/>
          <w:szCs w:val="22"/>
        </w:rPr>
        <w:t>24/04/2018</w:t>
      </w:r>
      <w:r w:rsidRPr="00D255DD">
        <w:rPr>
          <w:rFonts w:ascii="Arial" w:hAnsi="Arial" w:cs="Arial"/>
          <w:sz w:val="22"/>
          <w:szCs w:val="22"/>
        </w:rPr>
        <w:fldChar w:fldCharType="begin"/>
      </w:r>
      <w:r w:rsidRPr="00D255DD">
        <w:rPr>
          <w:rFonts w:ascii="Arial" w:hAnsi="Arial" w:cs="Arial"/>
          <w:sz w:val="22"/>
          <w:szCs w:val="22"/>
        </w:rPr>
        <w:instrText xml:space="preserve"> FILLIN  DD/MM/YYYY  \* MERGEFORMAT </w:instrText>
      </w:r>
      <w:r w:rsidRPr="00D255DD">
        <w:rPr>
          <w:rFonts w:ascii="Arial" w:hAnsi="Arial" w:cs="Arial"/>
          <w:sz w:val="22"/>
          <w:szCs w:val="22"/>
        </w:rPr>
        <w:fldChar w:fldCharType="end"/>
      </w:r>
    </w:p>
    <w:p w:rsidR="00160496" w:rsidRPr="00D255DD" w:rsidRDefault="00160496" w:rsidP="00160496">
      <w:pPr>
        <w:pStyle w:val="fixed"/>
        <w:rPr>
          <w:rFonts w:ascii="Arial" w:hAnsi="Arial" w:cs="Arial"/>
          <w:sz w:val="22"/>
          <w:szCs w:val="22"/>
        </w:rPr>
      </w:pPr>
    </w:p>
    <w:p w:rsidR="00160496" w:rsidRPr="00D255DD" w:rsidRDefault="00160496" w:rsidP="00160496">
      <w:pPr>
        <w:pStyle w:val="fixed"/>
        <w:rPr>
          <w:rFonts w:ascii="Arial" w:hAnsi="Arial" w:cs="Arial"/>
          <w:sz w:val="22"/>
          <w:szCs w:val="22"/>
        </w:rPr>
      </w:pPr>
      <w:r w:rsidRPr="00D255DD">
        <w:rPr>
          <w:rFonts w:ascii="Arial" w:hAnsi="Arial" w:cs="Arial"/>
          <w:sz w:val="22"/>
          <w:szCs w:val="22"/>
        </w:rPr>
        <w:t xml:space="preserve">LEVEL:  </w:t>
      </w:r>
      <w:r w:rsidRPr="00D255DD">
        <w:rPr>
          <w:rFonts w:ascii="Arial" w:hAnsi="Arial" w:cs="Arial"/>
          <w:sz w:val="22"/>
          <w:szCs w:val="22"/>
        </w:rPr>
        <w:tab/>
      </w:r>
      <w:r w:rsidRPr="00D255DD">
        <w:rPr>
          <w:rFonts w:ascii="Arial" w:hAnsi="Arial" w:cs="Arial"/>
          <w:sz w:val="22"/>
          <w:szCs w:val="22"/>
        </w:rPr>
        <w:tab/>
        <w:t>4</w:t>
      </w:r>
      <w:r w:rsidRPr="00D255DD">
        <w:rPr>
          <w:rFonts w:ascii="Arial" w:hAnsi="Arial" w:cs="Arial"/>
          <w:sz w:val="22"/>
          <w:szCs w:val="22"/>
        </w:rPr>
        <w:tab/>
      </w:r>
    </w:p>
    <w:p w:rsidR="00160496" w:rsidRDefault="00160496" w:rsidP="00160496">
      <w:pPr>
        <w:pStyle w:val="fixed"/>
        <w:rPr>
          <w:rFonts w:ascii="Arial" w:hAnsi="Arial" w:cs="Arial"/>
          <w:sz w:val="22"/>
          <w:szCs w:val="22"/>
        </w:rPr>
      </w:pPr>
      <w:r w:rsidRPr="00D255DD">
        <w:rPr>
          <w:rFonts w:ascii="Arial" w:hAnsi="Arial" w:cs="Arial"/>
          <w:sz w:val="22"/>
          <w:szCs w:val="22"/>
        </w:rPr>
        <w:t>CREDITS:</w:t>
      </w:r>
      <w:r w:rsidRPr="00D255DD">
        <w:rPr>
          <w:rFonts w:ascii="Arial" w:hAnsi="Arial" w:cs="Arial"/>
          <w:sz w:val="22"/>
          <w:szCs w:val="22"/>
        </w:rPr>
        <w:tab/>
      </w:r>
      <w:r w:rsidRPr="00D255DD">
        <w:rPr>
          <w:rFonts w:ascii="Arial" w:hAnsi="Arial" w:cs="Arial"/>
          <w:sz w:val="22"/>
          <w:szCs w:val="22"/>
        </w:rPr>
        <w:tab/>
        <w:t>20</w:t>
      </w:r>
    </w:p>
    <w:p w:rsidR="00160496" w:rsidRPr="00D255DD" w:rsidRDefault="00160496" w:rsidP="00160496">
      <w:pPr>
        <w:pStyle w:val="fixed"/>
        <w:rPr>
          <w:rFonts w:ascii="Arial" w:hAnsi="Arial" w:cs="Arial"/>
          <w:sz w:val="22"/>
          <w:szCs w:val="22"/>
        </w:rPr>
      </w:pPr>
      <w:r w:rsidRPr="00D255DD">
        <w:rPr>
          <w:rFonts w:ascii="Arial" w:hAnsi="Arial" w:cs="Arial"/>
          <w:sz w:val="22"/>
          <w:szCs w:val="22"/>
        </w:rPr>
        <w:tab/>
      </w:r>
    </w:p>
    <w:p w:rsidR="00160496" w:rsidRDefault="00160496" w:rsidP="00160496">
      <w:pPr>
        <w:pBdr>
          <w:bottom w:val="single" w:sz="6" w:space="1" w:color="auto"/>
        </w:pBdr>
        <w:rPr>
          <w:rFonts w:ascii="Arial" w:hAnsi="Arial" w:cs="Arial"/>
          <w:b/>
          <w:sz w:val="22"/>
          <w:szCs w:val="22"/>
        </w:rPr>
      </w:pPr>
      <w:r w:rsidRPr="00D255DD">
        <w:rPr>
          <w:rFonts w:ascii="Arial" w:hAnsi="Arial" w:cs="Arial"/>
          <w:b/>
          <w:sz w:val="22"/>
          <w:szCs w:val="22"/>
        </w:rPr>
        <w:t>JACS CODE:</w:t>
      </w:r>
      <w:r w:rsidRPr="00D255DD">
        <w:rPr>
          <w:rFonts w:ascii="Arial" w:hAnsi="Arial" w:cs="Arial"/>
          <w:b/>
          <w:sz w:val="22"/>
          <w:szCs w:val="22"/>
        </w:rPr>
        <w:tab/>
      </w:r>
      <w:r w:rsidRPr="00D255DD">
        <w:rPr>
          <w:rFonts w:ascii="Arial" w:hAnsi="Arial" w:cs="Arial"/>
          <w:b/>
          <w:sz w:val="22"/>
          <w:szCs w:val="22"/>
        </w:rPr>
        <w:tab/>
      </w:r>
      <w:r w:rsidRPr="004248B4">
        <w:rPr>
          <w:rFonts w:ascii="Arial" w:hAnsi="Arial" w:cs="Arial"/>
          <w:b/>
          <w:sz w:val="22"/>
          <w:szCs w:val="22"/>
        </w:rPr>
        <w:t>Q300</w:t>
      </w:r>
    </w:p>
    <w:p w:rsidR="004E1D3D" w:rsidRPr="00D255DD" w:rsidRDefault="004E1D3D" w:rsidP="00160496">
      <w:pPr>
        <w:pBdr>
          <w:bottom w:val="single" w:sz="6" w:space="1" w:color="auto"/>
        </w:pBdr>
        <w:rPr>
          <w:rFonts w:ascii="Arial" w:hAnsi="Arial" w:cs="Arial"/>
          <w:sz w:val="22"/>
          <w:szCs w:val="22"/>
        </w:rPr>
      </w:pPr>
    </w:p>
    <w:p w:rsidR="00160496" w:rsidRPr="00D255DD" w:rsidRDefault="00160496" w:rsidP="00160496">
      <w:pPr>
        <w:pStyle w:val="bullet"/>
        <w:overflowPunct/>
        <w:autoSpaceDE/>
        <w:autoSpaceDN/>
        <w:adjustRightInd/>
        <w:spacing w:before="0"/>
        <w:ind w:left="0" w:firstLine="0"/>
        <w:textAlignment w:val="auto"/>
        <w:rPr>
          <w:rFonts w:ascii="Arial" w:hAnsi="Arial" w:cs="Arial"/>
          <w:b/>
          <w:sz w:val="22"/>
          <w:szCs w:val="22"/>
        </w:rPr>
      </w:pPr>
    </w:p>
    <w:p w:rsidR="00160496" w:rsidRPr="00D255DD" w:rsidRDefault="00160496" w:rsidP="00160496">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AIM(S)</w:t>
      </w:r>
    </w:p>
    <w:p w:rsidR="00160496" w:rsidRPr="00D255DD" w:rsidRDefault="00160496" w:rsidP="00160496">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D255DD">
        <w:rPr>
          <w:rFonts w:ascii="Arial" w:hAnsi="Arial" w:cs="Arial"/>
          <w:sz w:val="22"/>
          <w:szCs w:val="22"/>
        </w:rPr>
        <w:t>To promote strategies of close critical reading and to enable students to examine how literary language, modes and genres change over time; to begin to think about literature in relation to the historical contexts from which it emerged; and to think reflexively about how the understanding of these contexts may affect the critical interpretation of works of literature in historical and cultural contexts sometimes far removed.</w:t>
      </w:r>
    </w:p>
    <w:p w:rsidR="00160496" w:rsidRPr="00D255DD" w:rsidRDefault="00160496" w:rsidP="00160496">
      <w:pPr>
        <w:pStyle w:val="bullet"/>
        <w:overflowPunct/>
        <w:autoSpaceDE/>
        <w:autoSpaceDN/>
        <w:adjustRightInd/>
        <w:spacing w:before="0"/>
        <w:ind w:left="0" w:firstLine="0"/>
        <w:textAlignment w:val="auto"/>
        <w:rPr>
          <w:rFonts w:ascii="Arial" w:hAnsi="Arial" w:cs="Arial"/>
          <w:b/>
          <w:sz w:val="22"/>
          <w:szCs w:val="22"/>
        </w:rPr>
      </w:pPr>
    </w:p>
    <w:p w:rsidR="00160496" w:rsidRPr="00D255DD" w:rsidRDefault="00160496" w:rsidP="00160496">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LEARNING OUTCOMES</w:t>
      </w:r>
    </w:p>
    <w:p w:rsidR="00160496" w:rsidRPr="00D255DD" w:rsidRDefault="00160496" w:rsidP="00160496">
      <w:pPr>
        <w:rPr>
          <w:rFonts w:ascii="Arial" w:hAnsi="Arial" w:cs="Arial"/>
          <w:b/>
          <w:sz w:val="22"/>
          <w:szCs w:val="22"/>
        </w:rPr>
      </w:pPr>
    </w:p>
    <w:p w:rsidR="00160496" w:rsidRPr="00D255DD" w:rsidRDefault="00160496" w:rsidP="00160496">
      <w:pPr>
        <w:rPr>
          <w:rFonts w:ascii="Arial" w:hAnsi="Arial" w:cs="Arial"/>
          <w:sz w:val="22"/>
          <w:szCs w:val="22"/>
        </w:rPr>
      </w:pPr>
      <w:r w:rsidRPr="00D255DD">
        <w:rPr>
          <w:rFonts w:ascii="Arial" w:hAnsi="Arial" w:cs="Arial"/>
          <w:sz w:val="22"/>
          <w:szCs w:val="22"/>
        </w:rPr>
        <w:t>Upon the successful completion of this module, the student should be able to:</w:t>
      </w:r>
    </w:p>
    <w:p w:rsidR="00160496" w:rsidRPr="00D255DD" w:rsidRDefault="00160496" w:rsidP="00160496">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D255DD">
        <w:rPr>
          <w:rFonts w:ascii="Arial" w:hAnsi="Arial" w:cs="Arial"/>
          <w:sz w:val="22"/>
          <w:szCs w:val="22"/>
        </w:rPr>
        <w:t>Demonstrate a basic historical (and theoretically ‘historicist’) understanding of literary texts, including their relationship to the historical context in which they were produced and originally heard or read, and how understanding this relationship may affect our interpretation of those works.</w:t>
      </w:r>
    </w:p>
    <w:p w:rsidR="00160496" w:rsidRPr="00D255DD" w:rsidRDefault="00160496" w:rsidP="00160496">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D255DD">
        <w:rPr>
          <w:rFonts w:ascii="Arial" w:hAnsi="Arial" w:cs="Arial"/>
          <w:sz w:val="22"/>
          <w:szCs w:val="22"/>
        </w:rPr>
        <w:t>Demonstrate a basic understanding of how literary language, style, modes, motifs, source-materials, subject-matters, and genres, among other characteristics, change over time and place, giving rise to historical periodisation in the study of literature.</w:t>
      </w:r>
    </w:p>
    <w:p w:rsidR="00160496" w:rsidRPr="00D255DD" w:rsidRDefault="00160496" w:rsidP="00160496">
      <w:pPr>
        <w:rPr>
          <w:rFonts w:ascii="Arial" w:hAnsi="Arial" w:cs="Arial"/>
          <w:sz w:val="22"/>
          <w:szCs w:val="22"/>
        </w:rPr>
      </w:pPr>
    </w:p>
    <w:p w:rsidR="00160496" w:rsidRPr="00D255DD" w:rsidRDefault="00160496" w:rsidP="00160496">
      <w:pPr>
        <w:pStyle w:val="fixed"/>
        <w:rPr>
          <w:rFonts w:ascii="Arial" w:hAnsi="Arial" w:cs="Arial"/>
          <w:sz w:val="22"/>
          <w:szCs w:val="22"/>
        </w:rPr>
      </w:pPr>
      <w:r w:rsidRPr="00D255DD">
        <w:rPr>
          <w:rFonts w:ascii="Arial" w:hAnsi="Arial" w:cs="Arial"/>
          <w:sz w:val="22"/>
          <w:szCs w:val="22"/>
        </w:rPr>
        <w:t>INDICATIVE CONTENT</w:t>
      </w:r>
    </w:p>
    <w:p w:rsidR="00160496" w:rsidRPr="00D255DD" w:rsidRDefault="00160496" w:rsidP="00160496">
      <w:pPr>
        <w:pStyle w:val="ListParagraph"/>
        <w:numPr>
          <w:ilvl w:val="0"/>
          <w:numId w:val="1"/>
        </w:numPr>
        <w:spacing w:before="240"/>
        <w:ind w:left="851" w:hanging="567"/>
        <w:jc w:val="both"/>
        <w:rPr>
          <w:rFonts w:ascii="Arial" w:hAnsi="Arial" w:cs="Arial"/>
          <w:sz w:val="22"/>
          <w:szCs w:val="22"/>
        </w:rPr>
      </w:pPr>
      <w:r w:rsidRPr="00D255DD">
        <w:rPr>
          <w:rFonts w:ascii="Arial" w:hAnsi="Arial" w:cs="Arial"/>
          <w:sz w:val="22"/>
          <w:szCs w:val="22"/>
        </w:rPr>
        <w:t>The module will introduce students to some of the ‘historicist’ theories of literature and approaches to it, which concern themselves, for example, with the following: different ways of understanding the relationship between literary texts and the historical, intellectual, cultural, economic, and socio-political contexts from which they emerge; the implications of these different understandings for the possibilities and limitations of interpreting literary works; and the interpretation and evaluation of literary works as effects of their reception and shifting value across historical periods and cultural and socio-political contexts.</w:t>
      </w:r>
    </w:p>
    <w:p w:rsidR="00160496" w:rsidRPr="00D255DD" w:rsidRDefault="00160496" w:rsidP="00160496">
      <w:pPr>
        <w:pStyle w:val="ListParagraph"/>
        <w:numPr>
          <w:ilvl w:val="0"/>
          <w:numId w:val="1"/>
        </w:numPr>
        <w:spacing w:before="240"/>
        <w:ind w:left="851" w:hanging="567"/>
        <w:jc w:val="both"/>
        <w:rPr>
          <w:rFonts w:ascii="Arial" w:hAnsi="Arial" w:cs="Arial"/>
          <w:sz w:val="22"/>
          <w:szCs w:val="22"/>
        </w:rPr>
      </w:pPr>
      <w:r w:rsidRPr="00D255DD">
        <w:rPr>
          <w:rFonts w:ascii="Arial" w:hAnsi="Arial" w:cs="Arial"/>
          <w:sz w:val="22"/>
          <w:szCs w:val="22"/>
        </w:rPr>
        <w:t>The module will focus in particular on one or more periods of literary history and demonstrate ways in which theoretical considerations can apply to the critical analysis and interpretation of literary texts written during these periods. Typically the module will focus on the late medieval period, introducing three of the major genres of the literature of the later Middle Ages – romance, satire, and drama – and considering the transformations of these genres and modes of writing in the Renaissance.</w:t>
      </w:r>
    </w:p>
    <w:p w:rsidR="00160496" w:rsidRPr="00D255DD" w:rsidRDefault="00160496" w:rsidP="00160496">
      <w:pPr>
        <w:pStyle w:val="ListParagraph"/>
        <w:numPr>
          <w:ilvl w:val="0"/>
          <w:numId w:val="1"/>
        </w:numPr>
        <w:spacing w:before="240"/>
        <w:ind w:left="851" w:hanging="567"/>
        <w:jc w:val="both"/>
        <w:rPr>
          <w:rFonts w:ascii="Arial" w:hAnsi="Arial" w:cs="Arial"/>
          <w:sz w:val="22"/>
          <w:szCs w:val="22"/>
        </w:rPr>
      </w:pPr>
      <w:r w:rsidRPr="00D255DD">
        <w:rPr>
          <w:rFonts w:ascii="Arial" w:hAnsi="Arial" w:cs="Arial"/>
          <w:sz w:val="22"/>
          <w:szCs w:val="22"/>
        </w:rPr>
        <w:t>Assuming the literary-historical period under consideration to be the later Middle Ages and on into the Renaissance, medieval texts will likely be drawn from representative works by writers Chrétien de Troyes and Marie de France from the so-called “twelfth-</w:t>
      </w:r>
      <w:r w:rsidRPr="00D255DD">
        <w:rPr>
          <w:rFonts w:ascii="Arial" w:hAnsi="Arial" w:cs="Arial"/>
          <w:sz w:val="22"/>
          <w:szCs w:val="22"/>
        </w:rPr>
        <w:lastRenderedPageBreak/>
        <w:t xml:space="preserve">century renaissance”, and from literature written in England in the fourteenth and fifteenth centuries, when there was a great flourishing in literary activity. These may include, for example, ‘The Pardoner’s Prologue and Tale’ from Chaucer’s </w:t>
      </w:r>
      <w:r w:rsidRPr="00D255DD">
        <w:rPr>
          <w:rFonts w:ascii="Arial" w:hAnsi="Arial" w:cs="Arial"/>
          <w:i/>
          <w:sz w:val="22"/>
          <w:szCs w:val="22"/>
        </w:rPr>
        <w:t>Canterbury Tales</w:t>
      </w:r>
      <w:r w:rsidRPr="00D255DD">
        <w:rPr>
          <w:rFonts w:ascii="Arial" w:hAnsi="Arial" w:cs="Arial"/>
          <w:sz w:val="22"/>
          <w:szCs w:val="22"/>
        </w:rPr>
        <w:t xml:space="preserve">, Sir Thomas Malory’s version of the romance of the ‘Knight of the Cart’ from </w:t>
      </w:r>
      <w:r w:rsidRPr="00D255DD">
        <w:rPr>
          <w:rFonts w:ascii="Arial" w:hAnsi="Arial" w:cs="Arial"/>
          <w:i/>
          <w:sz w:val="22"/>
          <w:szCs w:val="22"/>
        </w:rPr>
        <w:t xml:space="preserve">Le </w:t>
      </w:r>
      <w:proofErr w:type="spellStart"/>
      <w:r w:rsidRPr="00D255DD">
        <w:rPr>
          <w:rFonts w:ascii="Arial" w:hAnsi="Arial" w:cs="Arial"/>
          <w:i/>
          <w:sz w:val="22"/>
          <w:szCs w:val="22"/>
        </w:rPr>
        <w:t>Morte</w:t>
      </w:r>
      <w:proofErr w:type="spellEnd"/>
      <w:r w:rsidRPr="00D255DD">
        <w:rPr>
          <w:rFonts w:ascii="Arial" w:hAnsi="Arial" w:cs="Arial"/>
          <w:i/>
          <w:sz w:val="22"/>
          <w:szCs w:val="22"/>
        </w:rPr>
        <w:t xml:space="preserve"> </w:t>
      </w:r>
      <w:proofErr w:type="spellStart"/>
      <w:r w:rsidRPr="00D255DD">
        <w:rPr>
          <w:rFonts w:ascii="Arial" w:hAnsi="Arial" w:cs="Arial"/>
          <w:i/>
          <w:sz w:val="22"/>
          <w:szCs w:val="22"/>
        </w:rPr>
        <w:t>Darthur</w:t>
      </w:r>
      <w:proofErr w:type="spellEnd"/>
      <w:r w:rsidRPr="00D255DD">
        <w:rPr>
          <w:rFonts w:ascii="Arial" w:hAnsi="Arial" w:cs="Arial"/>
          <w:sz w:val="22"/>
          <w:szCs w:val="22"/>
        </w:rPr>
        <w:t xml:space="preserve">, and a medieval mystery play, dramatizing a Biblical event. From literature written in the English Renaissance, another period of extraordinary cultural innovation, a small selection of works will be chosen for the ways in which they illustrate the transformation of medieval genres and themes. These may include the sonnets of Thomas Wyatt which distinctly darken courtly love themes found earlier in the </w:t>
      </w:r>
      <w:proofErr w:type="spellStart"/>
      <w:r w:rsidRPr="00D255DD">
        <w:rPr>
          <w:rFonts w:ascii="Arial" w:hAnsi="Arial" w:cs="Arial"/>
          <w:i/>
          <w:sz w:val="22"/>
          <w:szCs w:val="22"/>
        </w:rPr>
        <w:t>lais</w:t>
      </w:r>
      <w:proofErr w:type="spellEnd"/>
      <w:r w:rsidRPr="00D255DD">
        <w:rPr>
          <w:rFonts w:ascii="Arial" w:hAnsi="Arial" w:cs="Arial"/>
          <w:sz w:val="22"/>
          <w:szCs w:val="22"/>
        </w:rPr>
        <w:t xml:space="preserve"> of Marie de France and in medieval romance; the first book of Edmund Spenser’s epic romance, </w:t>
      </w:r>
      <w:r w:rsidRPr="00D255DD">
        <w:rPr>
          <w:rFonts w:ascii="Arial" w:hAnsi="Arial" w:cs="Arial"/>
          <w:i/>
          <w:sz w:val="22"/>
          <w:szCs w:val="22"/>
        </w:rPr>
        <w:t xml:space="preserve">The Faerie </w:t>
      </w:r>
      <w:proofErr w:type="spellStart"/>
      <w:r w:rsidRPr="00D255DD">
        <w:rPr>
          <w:rFonts w:ascii="Arial" w:hAnsi="Arial" w:cs="Arial"/>
          <w:i/>
          <w:sz w:val="22"/>
          <w:szCs w:val="22"/>
        </w:rPr>
        <w:t>Queene</w:t>
      </w:r>
      <w:proofErr w:type="spellEnd"/>
      <w:r w:rsidRPr="00D255DD">
        <w:rPr>
          <w:rFonts w:ascii="Arial" w:hAnsi="Arial" w:cs="Arial"/>
          <w:sz w:val="22"/>
          <w:szCs w:val="22"/>
        </w:rPr>
        <w:t xml:space="preserve">, which looks back to the Arthurian romances of medieval writers like Chrétien and Malory, but complicates and conceals meaning in the shadows of allegory; and Francis Beaumont’s dramatic comedy, </w:t>
      </w:r>
      <w:r w:rsidRPr="00D255DD">
        <w:rPr>
          <w:rFonts w:ascii="Arial" w:hAnsi="Arial" w:cs="Arial"/>
          <w:i/>
          <w:sz w:val="22"/>
          <w:szCs w:val="22"/>
        </w:rPr>
        <w:t>The Knight of the Burning Pestle</w:t>
      </w:r>
      <w:r w:rsidRPr="00D255DD">
        <w:rPr>
          <w:rFonts w:ascii="Arial" w:hAnsi="Arial" w:cs="Arial"/>
          <w:sz w:val="22"/>
          <w:szCs w:val="22"/>
        </w:rPr>
        <w:t>, which satirises chivalric romances and illustrates how genres like comedy and satire replaced the mystery and morality plays of the Middle Ages.</w:t>
      </w:r>
    </w:p>
    <w:p w:rsidR="00160496" w:rsidRPr="00D255DD" w:rsidRDefault="00160496" w:rsidP="00160496">
      <w:pPr>
        <w:pStyle w:val="ListParagraph"/>
        <w:numPr>
          <w:ilvl w:val="0"/>
          <w:numId w:val="1"/>
        </w:numPr>
        <w:spacing w:before="240"/>
        <w:ind w:left="851" w:hanging="567"/>
        <w:jc w:val="both"/>
        <w:rPr>
          <w:rFonts w:ascii="Arial" w:hAnsi="Arial" w:cs="Arial"/>
          <w:sz w:val="22"/>
          <w:szCs w:val="22"/>
        </w:rPr>
      </w:pPr>
      <w:r w:rsidRPr="00D255DD">
        <w:rPr>
          <w:rFonts w:ascii="Arial" w:hAnsi="Arial" w:cs="Arial"/>
          <w:spacing w:val="-3"/>
          <w:sz w:val="22"/>
          <w:szCs w:val="22"/>
        </w:rPr>
        <w:t>Again, a</w:t>
      </w:r>
      <w:r w:rsidRPr="00D255DD">
        <w:rPr>
          <w:rFonts w:ascii="Arial" w:hAnsi="Arial" w:cs="Arial"/>
          <w:sz w:val="22"/>
          <w:szCs w:val="22"/>
        </w:rPr>
        <w:t>ssuming the literary-historical period under consideration to be the later Middle Ages and on into the Renaissance, d</w:t>
      </w:r>
      <w:r w:rsidRPr="00D255DD">
        <w:rPr>
          <w:rFonts w:ascii="Arial" w:hAnsi="Arial" w:cs="Arial"/>
          <w:spacing w:val="-3"/>
          <w:sz w:val="22"/>
          <w:szCs w:val="22"/>
        </w:rPr>
        <w:t>ifferent types of writing will be explored for how they exemplify medieval and Renaissance ideas of literary creation and authorship; how they imply an audience or readership; how they represent human emotions such as love and desire; how they construct and critique views of authority (moral, religious, literary), class, fellowship, romance, marriage, adultery, court and society; how they debate issues of justice, personal obligation, loyalty, trust and faith; how they explore the subtleties of irony, satire, and confession; how they interrogate or satirise the ideals and inner contradictions of chivalry; and how their narrative technique or structure, or biographical knowledge of their authors, sometimes raises issues from apparent discrepancies between the values and ethics promoted in the narrative or discourse and those of its author, narrator or storyteller.</w:t>
      </w:r>
    </w:p>
    <w:p w:rsidR="00160496" w:rsidRPr="00D255DD" w:rsidRDefault="00160496" w:rsidP="00160496">
      <w:pPr>
        <w:rPr>
          <w:rFonts w:ascii="Arial" w:hAnsi="Arial" w:cs="Arial"/>
          <w:sz w:val="22"/>
          <w:szCs w:val="22"/>
        </w:rPr>
      </w:pPr>
    </w:p>
    <w:p w:rsidR="00160496" w:rsidRPr="00D255DD" w:rsidRDefault="00160496" w:rsidP="00160496">
      <w:pPr>
        <w:pStyle w:val="fixed"/>
        <w:rPr>
          <w:rFonts w:ascii="Arial" w:hAnsi="Arial" w:cs="Arial"/>
          <w:sz w:val="22"/>
          <w:szCs w:val="22"/>
        </w:rPr>
      </w:pPr>
      <w:r w:rsidRPr="00D255DD">
        <w:rPr>
          <w:rFonts w:ascii="Arial" w:hAnsi="Arial" w:cs="Arial"/>
          <w:sz w:val="22"/>
          <w:szCs w:val="22"/>
        </w:rPr>
        <w:t>LEARNING AND TEACHING STRATEGY</w:t>
      </w:r>
    </w:p>
    <w:p w:rsidR="00160496" w:rsidRPr="00D255DD" w:rsidRDefault="00160496" w:rsidP="00160496">
      <w:pPr>
        <w:pStyle w:val="fixed"/>
        <w:rPr>
          <w:rFonts w:ascii="Arial" w:hAnsi="Arial" w:cs="Arial"/>
          <w:sz w:val="22"/>
          <w:szCs w:val="22"/>
        </w:rPr>
      </w:pPr>
    </w:p>
    <w:p w:rsidR="00160496" w:rsidRPr="00D255DD" w:rsidRDefault="00160496" w:rsidP="00160496">
      <w:pPr>
        <w:keepNext/>
        <w:rPr>
          <w:rFonts w:ascii="Arial" w:hAnsi="Arial" w:cs="Arial"/>
          <w:sz w:val="22"/>
          <w:szCs w:val="22"/>
        </w:rPr>
      </w:pPr>
      <w:r w:rsidRPr="00D255DD">
        <w:rPr>
          <w:rFonts w:ascii="Arial" w:hAnsi="Arial"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60496" w:rsidRPr="00D255DD" w:rsidTr="00E7663E">
        <w:tc>
          <w:tcPr>
            <w:tcW w:w="3969" w:type="dxa"/>
            <w:tcBorders>
              <w:top w:val="single" w:sz="4" w:space="0" w:color="auto"/>
              <w:left w:val="single" w:sz="4" w:space="0" w:color="auto"/>
            </w:tcBorders>
          </w:tcPr>
          <w:p w:rsidR="00160496" w:rsidRPr="00D255DD" w:rsidRDefault="00160496" w:rsidP="00E7663E">
            <w:pPr>
              <w:keepNext/>
              <w:rPr>
                <w:rFonts w:ascii="Arial" w:hAnsi="Arial" w:cs="Arial"/>
                <w:b/>
                <w:sz w:val="22"/>
                <w:szCs w:val="22"/>
              </w:rPr>
            </w:pPr>
            <w:r w:rsidRPr="00D255DD">
              <w:rPr>
                <w:rFonts w:ascii="Arial" w:hAnsi="Arial" w:cs="Arial"/>
                <w:b/>
                <w:sz w:val="22"/>
                <w:szCs w:val="22"/>
              </w:rPr>
              <w:t>Activity type</w:t>
            </w:r>
          </w:p>
        </w:tc>
        <w:tc>
          <w:tcPr>
            <w:tcW w:w="1701" w:type="dxa"/>
            <w:tcBorders>
              <w:top w:val="single" w:sz="4" w:space="0" w:color="auto"/>
            </w:tcBorders>
          </w:tcPr>
          <w:p w:rsidR="00160496" w:rsidRPr="00D255DD" w:rsidRDefault="00160496" w:rsidP="00E7663E">
            <w:pPr>
              <w:keepNext/>
              <w:jc w:val="center"/>
              <w:rPr>
                <w:rFonts w:ascii="Arial" w:hAnsi="Arial" w:cs="Arial"/>
                <w:b/>
                <w:sz w:val="22"/>
                <w:szCs w:val="22"/>
              </w:rPr>
            </w:pPr>
            <w:r w:rsidRPr="00D255DD">
              <w:rPr>
                <w:rFonts w:ascii="Arial" w:hAnsi="Arial" w:cs="Arial"/>
                <w:b/>
                <w:sz w:val="22"/>
                <w:szCs w:val="22"/>
              </w:rPr>
              <w:t>Hours</w:t>
            </w:r>
          </w:p>
        </w:tc>
        <w:tc>
          <w:tcPr>
            <w:tcW w:w="1843" w:type="dxa"/>
            <w:tcBorders>
              <w:top w:val="single" w:sz="4" w:space="0" w:color="auto"/>
            </w:tcBorders>
          </w:tcPr>
          <w:p w:rsidR="00160496" w:rsidRPr="00D255DD" w:rsidRDefault="00160496" w:rsidP="00E7663E">
            <w:pPr>
              <w:keepNext/>
              <w:jc w:val="center"/>
              <w:rPr>
                <w:rFonts w:ascii="Arial" w:hAnsi="Arial" w:cs="Arial"/>
                <w:b/>
                <w:sz w:val="22"/>
                <w:szCs w:val="22"/>
              </w:rPr>
            </w:pPr>
            <w:r w:rsidRPr="00D255DD">
              <w:rPr>
                <w:rFonts w:ascii="Arial" w:hAnsi="Arial" w:cs="Arial"/>
                <w:b/>
                <w:sz w:val="22"/>
                <w:szCs w:val="22"/>
              </w:rPr>
              <w:t>Percentage</w:t>
            </w:r>
          </w:p>
        </w:tc>
      </w:tr>
      <w:tr w:rsidR="00160496" w:rsidRPr="00D255DD" w:rsidTr="00E7663E">
        <w:tc>
          <w:tcPr>
            <w:tcW w:w="3969" w:type="dxa"/>
          </w:tcPr>
          <w:p w:rsidR="00160496" w:rsidRPr="00D255DD" w:rsidRDefault="00160496" w:rsidP="00E7663E">
            <w:pPr>
              <w:keepNext/>
              <w:rPr>
                <w:rFonts w:ascii="Arial" w:hAnsi="Arial" w:cs="Arial"/>
                <w:sz w:val="22"/>
                <w:szCs w:val="22"/>
              </w:rPr>
            </w:pPr>
            <w:r w:rsidRPr="00D255DD">
              <w:rPr>
                <w:rFonts w:ascii="Arial" w:hAnsi="Arial" w:cs="Arial"/>
                <w:sz w:val="22"/>
                <w:szCs w:val="22"/>
              </w:rPr>
              <w:t>Scheduled learning</w:t>
            </w:r>
          </w:p>
        </w:tc>
        <w:tc>
          <w:tcPr>
            <w:tcW w:w="1701" w:type="dxa"/>
          </w:tcPr>
          <w:p w:rsidR="00160496" w:rsidRPr="00D255DD" w:rsidRDefault="00160496" w:rsidP="00E7663E">
            <w:pPr>
              <w:keepNext/>
              <w:jc w:val="center"/>
              <w:rPr>
                <w:rFonts w:ascii="Arial" w:hAnsi="Arial" w:cs="Arial"/>
                <w:sz w:val="22"/>
                <w:szCs w:val="22"/>
              </w:rPr>
            </w:pPr>
            <w:r w:rsidRPr="00D255DD">
              <w:rPr>
                <w:rFonts w:ascii="Arial" w:hAnsi="Arial" w:cs="Arial"/>
                <w:sz w:val="22"/>
                <w:szCs w:val="22"/>
              </w:rPr>
              <w:t>48</w:t>
            </w:r>
          </w:p>
        </w:tc>
        <w:tc>
          <w:tcPr>
            <w:tcW w:w="1843" w:type="dxa"/>
          </w:tcPr>
          <w:p w:rsidR="00160496" w:rsidRPr="00D255DD" w:rsidRDefault="00160496" w:rsidP="00E7663E">
            <w:pPr>
              <w:keepNext/>
              <w:jc w:val="center"/>
              <w:rPr>
                <w:rFonts w:ascii="Arial" w:hAnsi="Arial" w:cs="Arial"/>
                <w:sz w:val="22"/>
                <w:szCs w:val="22"/>
              </w:rPr>
            </w:pPr>
            <w:r w:rsidRPr="00D255DD">
              <w:rPr>
                <w:rFonts w:ascii="Arial" w:hAnsi="Arial" w:cs="Arial"/>
                <w:sz w:val="22"/>
                <w:szCs w:val="22"/>
              </w:rPr>
              <w:t>24</w:t>
            </w:r>
            <w:r>
              <w:rPr>
                <w:rFonts w:ascii="Arial" w:hAnsi="Arial" w:cs="Arial"/>
                <w:sz w:val="22"/>
                <w:szCs w:val="22"/>
              </w:rPr>
              <w:t>%</w:t>
            </w:r>
          </w:p>
        </w:tc>
      </w:tr>
      <w:tr w:rsidR="00160496" w:rsidRPr="00D255DD" w:rsidTr="00E7663E">
        <w:tc>
          <w:tcPr>
            <w:tcW w:w="3969" w:type="dxa"/>
          </w:tcPr>
          <w:p w:rsidR="00160496" w:rsidRPr="00D255DD" w:rsidRDefault="00160496" w:rsidP="00E7663E">
            <w:pPr>
              <w:keepNext/>
              <w:rPr>
                <w:rFonts w:ascii="Arial" w:hAnsi="Arial" w:cs="Arial"/>
                <w:sz w:val="22"/>
                <w:szCs w:val="22"/>
              </w:rPr>
            </w:pPr>
            <w:r w:rsidRPr="00D255DD">
              <w:rPr>
                <w:rFonts w:ascii="Arial" w:hAnsi="Arial" w:cs="Arial"/>
                <w:sz w:val="22"/>
                <w:szCs w:val="22"/>
              </w:rPr>
              <w:t>Independent learning</w:t>
            </w:r>
          </w:p>
        </w:tc>
        <w:tc>
          <w:tcPr>
            <w:tcW w:w="1701" w:type="dxa"/>
          </w:tcPr>
          <w:p w:rsidR="00160496" w:rsidRPr="00D255DD" w:rsidRDefault="00160496" w:rsidP="00E7663E">
            <w:pPr>
              <w:keepNext/>
              <w:jc w:val="center"/>
              <w:rPr>
                <w:rFonts w:ascii="Arial" w:hAnsi="Arial" w:cs="Arial"/>
                <w:sz w:val="22"/>
                <w:szCs w:val="22"/>
              </w:rPr>
            </w:pPr>
            <w:r w:rsidRPr="00D255DD">
              <w:rPr>
                <w:rFonts w:ascii="Arial" w:hAnsi="Arial" w:cs="Arial"/>
                <w:sz w:val="22"/>
                <w:szCs w:val="22"/>
              </w:rPr>
              <w:t>152</w:t>
            </w:r>
          </w:p>
        </w:tc>
        <w:tc>
          <w:tcPr>
            <w:tcW w:w="1843" w:type="dxa"/>
          </w:tcPr>
          <w:p w:rsidR="00160496" w:rsidRPr="00D255DD" w:rsidRDefault="00160496" w:rsidP="00E7663E">
            <w:pPr>
              <w:keepNext/>
              <w:jc w:val="center"/>
              <w:rPr>
                <w:rFonts w:ascii="Arial" w:hAnsi="Arial" w:cs="Arial"/>
                <w:sz w:val="22"/>
                <w:szCs w:val="22"/>
              </w:rPr>
            </w:pPr>
            <w:r w:rsidRPr="00D255DD">
              <w:rPr>
                <w:rFonts w:ascii="Arial" w:hAnsi="Arial" w:cs="Arial"/>
                <w:sz w:val="22"/>
                <w:szCs w:val="22"/>
              </w:rPr>
              <w:t>76</w:t>
            </w:r>
            <w:r>
              <w:rPr>
                <w:rFonts w:ascii="Arial" w:hAnsi="Arial" w:cs="Arial"/>
                <w:sz w:val="22"/>
                <w:szCs w:val="22"/>
              </w:rPr>
              <w:t>%</w:t>
            </w:r>
          </w:p>
        </w:tc>
      </w:tr>
      <w:tr w:rsidR="00160496" w:rsidRPr="00D255DD" w:rsidTr="00E7663E">
        <w:tc>
          <w:tcPr>
            <w:tcW w:w="3969" w:type="dxa"/>
          </w:tcPr>
          <w:p w:rsidR="00160496" w:rsidRPr="00D255DD" w:rsidRDefault="00160496" w:rsidP="00E7663E">
            <w:pPr>
              <w:keepNext/>
              <w:rPr>
                <w:rFonts w:ascii="Arial" w:hAnsi="Arial" w:cs="Arial"/>
                <w:sz w:val="22"/>
                <w:szCs w:val="22"/>
              </w:rPr>
            </w:pPr>
            <w:r w:rsidRPr="00D255DD">
              <w:rPr>
                <w:rFonts w:ascii="Arial" w:hAnsi="Arial" w:cs="Arial"/>
                <w:sz w:val="22"/>
                <w:szCs w:val="22"/>
              </w:rPr>
              <w:t>Placement learning</w:t>
            </w:r>
          </w:p>
        </w:tc>
        <w:tc>
          <w:tcPr>
            <w:tcW w:w="1701" w:type="dxa"/>
          </w:tcPr>
          <w:p w:rsidR="00160496" w:rsidRPr="00D255DD" w:rsidRDefault="00160496" w:rsidP="00E7663E">
            <w:pPr>
              <w:keepNext/>
              <w:jc w:val="center"/>
              <w:rPr>
                <w:rFonts w:ascii="Arial" w:hAnsi="Arial" w:cs="Arial"/>
                <w:sz w:val="22"/>
                <w:szCs w:val="22"/>
              </w:rPr>
            </w:pPr>
          </w:p>
        </w:tc>
        <w:tc>
          <w:tcPr>
            <w:tcW w:w="1843" w:type="dxa"/>
          </w:tcPr>
          <w:p w:rsidR="00160496" w:rsidRPr="00D255DD" w:rsidRDefault="00160496" w:rsidP="00E7663E">
            <w:pPr>
              <w:keepNext/>
              <w:jc w:val="center"/>
              <w:rPr>
                <w:rFonts w:ascii="Arial" w:hAnsi="Arial" w:cs="Arial"/>
                <w:sz w:val="22"/>
                <w:szCs w:val="22"/>
              </w:rPr>
            </w:pPr>
          </w:p>
        </w:tc>
      </w:tr>
      <w:tr w:rsidR="00160496" w:rsidRPr="00D255DD" w:rsidTr="00E7663E">
        <w:tc>
          <w:tcPr>
            <w:tcW w:w="3969" w:type="dxa"/>
          </w:tcPr>
          <w:p w:rsidR="00160496" w:rsidRPr="00D255DD" w:rsidRDefault="00160496" w:rsidP="00E7663E">
            <w:pPr>
              <w:keepNext/>
              <w:rPr>
                <w:rFonts w:ascii="Arial" w:hAnsi="Arial" w:cs="Arial"/>
                <w:sz w:val="22"/>
                <w:szCs w:val="22"/>
              </w:rPr>
            </w:pPr>
            <w:r w:rsidRPr="00D255DD">
              <w:rPr>
                <w:rFonts w:ascii="Arial" w:hAnsi="Arial" w:cs="Arial"/>
                <w:b/>
                <w:sz w:val="22"/>
                <w:szCs w:val="22"/>
              </w:rPr>
              <w:t>TOTAL</w:t>
            </w:r>
          </w:p>
        </w:tc>
        <w:tc>
          <w:tcPr>
            <w:tcW w:w="1701" w:type="dxa"/>
          </w:tcPr>
          <w:p w:rsidR="00160496" w:rsidRPr="00D255DD" w:rsidRDefault="00160496" w:rsidP="00E7663E">
            <w:pPr>
              <w:keepNext/>
              <w:jc w:val="center"/>
              <w:rPr>
                <w:rFonts w:ascii="Arial" w:hAnsi="Arial" w:cs="Arial"/>
                <w:b/>
                <w:sz w:val="22"/>
                <w:szCs w:val="22"/>
              </w:rPr>
            </w:pPr>
            <w:r w:rsidRPr="00D255DD">
              <w:rPr>
                <w:rFonts w:ascii="Arial" w:hAnsi="Arial" w:cs="Arial"/>
                <w:b/>
                <w:sz w:val="22"/>
                <w:szCs w:val="22"/>
              </w:rPr>
              <w:t>200</w:t>
            </w:r>
          </w:p>
        </w:tc>
        <w:tc>
          <w:tcPr>
            <w:tcW w:w="1843" w:type="dxa"/>
          </w:tcPr>
          <w:p w:rsidR="00160496" w:rsidRPr="00D255DD" w:rsidRDefault="00160496" w:rsidP="00E7663E">
            <w:pPr>
              <w:keepNext/>
              <w:jc w:val="center"/>
              <w:rPr>
                <w:rFonts w:ascii="Arial" w:hAnsi="Arial" w:cs="Arial"/>
                <w:b/>
                <w:sz w:val="22"/>
                <w:szCs w:val="22"/>
              </w:rPr>
            </w:pPr>
            <w:r w:rsidRPr="00D255DD">
              <w:rPr>
                <w:rFonts w:ascii="Arial" w:hAnsi="Arial" w:cs="Arial"/>
                <w:b/>
                <w:sz w:val="22"/>
                <w:szCs w:val="22"/>
              </w:rPr>
              <w:t>100%</w:t>
            </w:r>
          </w:p>
        </w:tc>
      </w:tr>
    </w:tbl>
    <w:p w:rsidR="00160496" w:rsidRPr="00D255DD" w:rsidRDefault="00160496" w:rsidP="00160496">
      <w:pPr>
        <w:pStyle w:val="fixed"/>
        <w:ind w:left="0" w:firstLine="0"/>
        <w:rPr>
          <w:rFonts w:ascii="Arial" w:hAnsi="Arial" w:cs="Arial"/>
          <w:sz w:val="22"/>
          <w:szCs w:val="22"/>
        </w:rPr>
      </w:pPr>
    </w:p>
    <w:p w:rsidR="00160496" w:rsidRPr="00D255DD" w:rsidRDefault="00160496" w:rsidP="00160496">
      <w:pPr>
        <w:pStyle w:val="fixed"/>
        <w:ind w:left="0" w:firstLine="0"/>
        <w:rPr>
          <w:rFonts w:ascii="Arial" w:hAnsi="Arial" w:cs="Arial"/>
          <w:sz w:val="22"/>
          <w:szCs w:val="22"/>
        </w:rPr>
      </w:pPr>
      <w:r w:rsidRPr="00D255DD">
        <w:rPr>
          <w:rFonts w:ascii="Arial" w:hAnsi="Arial" w:cs="Arial"/>
          <w:sz w:val="22"/>
          <w:szCs w:val="22"/>
        </w:rPr>
        <w:t>ASSESSMENT</w:t>
      </w:r>
    </w:p>
    <w:p w:rsidR="00160496" w:rsidRPr="00D255DD" w:rsidRDefault="00160496" w:rsidP="00160496">
      <w:pPr>
        <w:pStyle w:val="fixed"/>
        <w:ind w:left="0"/>
        <w:rPr>
          <w:rFonts w:ascii="Arial" w:hAnsi="Arial" w:cs="Arial"/>
          <w:sz w:val="22"/>
          <w:szCs w:val="22"/>
        </w:rPr>
      </w:pPr>
    </w:p>
    <w:p w:rsidR="00160496" w:rsidRPr="00D255DD" w:rsidRDefault="00160496" w:rsidP="00160496">
      <w:pPr>
        <w:rPr>
          <w:rFonts w:ascii="Arial" w:hAnsi="Arial" w:cs="Arial"/>
          <w:b/>
          <w:sz w:val="22"/>
          <w:szCs w:val="22"/>
        </w:rPr>
      </w:pPr>
      <w:r w:rsidRPr="00D255DD">
        <w:rPr>
          <w:rFonts w:ascii="Arial" w:hAnsi="Arial" w:cs="Arial"/>
          <w:b/>
          <w:sz w:val="22"/>
          <w:szCs w:val="22"/>
        </w:rPr>
        <w:t>Assessment Component 1</w:t>
      </w:r>
    </w:p>
    <w:p w:rsidR="00160496" w:rsidRPr="00D255DD" w:rsidRDefault="00160496" w:rsidP="00160496">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60496" w:rsidRPr="00D255DD" w:rsidTr="00E7663E">
        <w:sdt>
          <w:sdtPr>
            <w:rPr>
              <w:rFonts w:ascii="Arial" w:hAnsi="Arial" w:cs="Arial"/>
              <w:sz w:val="22"/>
              <w:szCs w:val="22"/>
            </w:rPr>
            <w:id w:val="17206193"/>
            <w14:checkbox>
              <w14:checked w14:val="0"/>
              <w14:checkedState w14:val="2612" w14:font="MS Gothic"/>
              <w14:uncheckedState w14:val="2610" w14:font="MS Gothic"/>
            </w14:checkbox>
          </w:sdtPr>
          <w:sdtEndPr/>
          <w:sdtContent>
            <w:tc>
              <w:tcPr>
                <w:tcW w:w="562" w:type="dxa"/>
              </w:tcPr>
              <w:p w:rsidR="00160496" w:rsidRPr="00D255DD" w:rsidRDefault="00160496"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58" w:type="dxa"/>
          </w:tcPr>
          <w:p w:rsidR="00160496" w:rsidRPr="00D255DD" w:rsidRDefault="00160496" w:rsidP="00E7663E">
            <w:pPr>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1722559900"/>
            <w14:checkbox>
              <w14:checked w14:val="1"/>
              <w14:checkedState w14:val="2612" w14:font="MS Gothic"/>
              <w14:uncheckedState w14:val="2610" w14:font="MS Gothic"/>
            </w14:checkbox>
          </w:sdtPr>
          <w:sdtEndPr/>
          <w:sdtContent>
            <w:tc>
              <w:tcPr>
                <w:tcW w:w="538" w:type="dxa"/>
              </w:tcPr>
              <w:p w:rsidR="00160496" w:rsidRPr="00D255DD" w:rsidRDefault="00160496"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160496" w:rsidRPr="00D255DD" w:rsidRDefault="00160496" w:rsidP="00E7663E">
            <w:pPr>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21635041"/>
            <w14:checkbox>
              <w14:checked w14:val="0"/>
              <w14:checkedState w14:val="2612" w14:font="MS Gothic"/>
              <w14:uncheckedState w14:val="2610" w14:font="MS Gothic"/>
            </w14:checkbox>
          </w:sdtPr>
          <w:sdtEndPr/>
          <w:sdtContent>
            <w:tc>
              <w:tcPr>
                <w:tcW w:w="538" w:type="dxa"/>
              </w:tcPr>
              <w:p w:rsidR="00160496" w:rsidRPr="00D255DD" w:rsidRDefault="00160496"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160496" w:rsidRPr="00D255DD" w:rsidRDefault="00160496" w:rsidP="00E7663E">
            <w:pPr>
              <w:rPr>
                <w:rFonts w:ascii="Arial" w:hAnsi="Arial" w:cs="Arial"/>
                <w:b/>
                <w:sz w:val="22"/>
                <w:szCs w:val="22"/>
              </w:rPr>
            </w:pPr>
            <w:r w:rsidRPr="00D255DD">
              <w:rPr>
                <w:rFonts w:ascii="Arial" w:hAnsi="Arial" w:cs="Arial"/>
                <w:b/>
                <w:sz w:val="22"/>
                <w:szCs w:val="22"/>
              </w:rPr>
              <w:t>Practical</w:t>
            </w:r>
          </w:p>
        </w:tc>
      </w:tr>
    </w:tbl>
    <w:p w:rsidR="00160496" w:rsidRPr="00D255DD" w:rsidRDefault="00160496" w:rsidP="00160496">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60496" w:rsidRPr="00D255DD" w:rsidTr="00E7663E">
        <w:tc>
          <w:tcPr>
            <w:tcW w:w="3256" w:type="dxa"/>
          </w:tcPr>
          <w:p w:rsidR="00160496" w:rsidRPr="00D255DD" w:rsidRDefault="00160496"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Pr>
          <w:p w:rsidR="00160496" w:rsidRPr="00D255DD" w:rsidRDefault="00160496" w:rsidP="00E7663E">
            <w:pPr>
              <w:rPr>
                <w:rFonts w:ascii="Arial" w:hAnsi="Arial" w:cs="Arial"/>
                <w:sz w:val="22"/>
                <w:szCs w:val="22"/>
              </w:rPr>
            </w:pPr>
            <w:r w:rsidRPr="00D255DD">
              <w:rPr>
                <w:rFonts w:ascii="Arial" w:hAnsi="Arial" w:cs="Arial"/>
                <w:b/>
                <w:sz w:val="22"/>
                <w:szCs w:val="22"/>
              </w:rPr>
              <w:t>Volume</w:t>
            </w:r>
          </w:p>
        </w:tc>
        <w:tc>
          <w:tcPr>
            <w:tcW w:w="1559" w:type="dxa"/>
          </w:tcPr>
          <w:p w:rsidR="00160496" w:rsidRPr="00D255DD" w:rsidRDefault="00160496" w:rsidP="00E7663E">
            <w:pPr>
              <w:rPr>
                <w:rFonts w:ascii="Arial" w:hAnsi="Arial" w:cs="Arial"/>
                <w:sz w:val="22"/>
                <w:szCs w:val="22"/>
              </w:rPr>
            </w:pPr>
            <w:r w:rsidRPr="00D255DD">
              <w:rPr>
                <w:rFonts w:ascii="Arial" w:hAnsi="Arial" w:cs="Arial"/>
                <w:b/>
                <w:sz w:val="22"/>
                <w:szCs w:val="22"/>
              </w:rPr>
              <w:t>Weighting</w:t>
            </w:r>
          </w:p>
        </w:tc>
      </w:tr>
      <w:tr w:rsidR="00160496" w:rsidRPr="00D255DD" w:rsidTr="00E7663E">
        <w:tc>
          <w:tcPr>
            <w:tcW w:w="3256" w:type="dxa"/>
          </w:tcPr>
          <w:p w:rsidR="00160496" w:rsidRPr="00D255DD" w:rsidRDefault="00160496" w:rsidP="00E7663E">
            <w:pPr>
              <w:jc w:val="center"/>
              <w:rPr>
                <w:rFonts w:ascii="Arial" w:hAnsi="Arial" w:cs="Arial"/>
                <w:sz w:val="22"/>
                <w:szCs w:val="22"/>
              </w:rPr>
            </w:pPr>
            <w:r w:rsidRPr="00D255DD">
              <w:rPr>
                <w:rFonts w:ascii="Arial" w:hAnsi="Arial" w:cs="Arial"/>
                <w:sz w:val="22"/>
                <w:szCs w:val="22"/>
              </w:rPr>
              <w:t>Essay</w:t>
            </w:r>
          </w:p>
        </w:tc>
        <w:tc>
          <w:tcPr>
            <w:tcW w:w="3969" w:type="dxa"/>
          </w:tcPr>
          <w:p w:rsidR="00160496" w:rsidRPr="00D255DD" w:rsidRDefault="00160496" w:rsidP="00E7663E">
            <w:pPr>
              <w:jc w:val="left"/>
              <w:rPr>
                <w:rFonts w:ascii="Arial" w:hAnsi="Arial" w:cs="Arial"/>
                <w:sz w:val="22"/>
                <w:szCs w:val="22"/>
                <w:highlight w:val="yellow"/>
              </w:rPr>
            </w:pPr>
            <w:r w:rsidRPr="00D255DD">
              <w:rPr>
                <w:rFonts w:ascii="Arial" w:hAnsi="Arial" w:cs="Arial"/>
                <w:sz w:val="22"/>
                <w:szCs w:val="22"/>
              </w:rPr>
              <w:t>2,000 words</w:t>
            </w:r>
          </w:p>
        </w:tc>
        <w:tc>
          <w:tcPr>
            <w:tcW w:w="1559" w:type="dxa"/>
          </w:tcPr>
          <w:p w:rsidR="00160496" w:rsidRPr="00D255DD" w:rsidRDefault="00160496" w:rsidP="00E7663E">
            <w:pPr>
              <w:rPr>
                <w:rFonts w:ascii="Arial" w:hAnsi="Arial" w:cs="Arial"/>
                <w:sz w:val="22"/>
                <w:szCs w:val="22"/>
              </w:rPr>
            </w:pPr>
            <w:r w:rsidRPr="00D255DD">
              <w:rPr>
                <w:rFonts w:ascii="Arial" w:hAnsi="Arial" w:cs="Arial"/>
                <w:sz w:val="22"/>
                <w:szCs w:val="22"/>
              </w:rPr>
              <w:t>50%</w:t>
            </w:r>
          </w:p>
        </w:tc>
      </w:tr>
    </w:tbl>
    <w:p w:rsidR="00160496" w:rsidRPr="00D255DD" w:rsidRDefault="00160496" w:rsidP="00160496">
      <w:pPr>
        <w:pStyle w:val="fixed"/>
        <w:ind w:left="0" w:firstLine="0"/>
        <w:rPr>
          <w:rFonts w:ascii="Arial" w:hAnsi="Arial" w:cs="Arial"/>
          <w:b w:val="0"/>
          <w:sz w:val="22"/>
          <w:szCs w:val="22"/>
        </w:rPr>
      </w:pPr>
    </w:p>
    <w:p w:rsidR="00160496" w:rsidRPr="00D255DD" w:rsidRDefault="00160496" w:rsidP="00160496">
      <w:pPr>
        <w:rPr>
          <w:rFonts w:ascii="Arial" w:hAnsi="Arial" w:cs="Arial"/>
          <w:b/>
          <w:sz w:val="22"/>
          <w:szCs w:val="22"/>
        </w:rPr>
      </w:pPr>
      <w:r w:rsidRPr="00D255DD">
        <w:rPr>
          <w:rFonts w:ascii="Arial" w:hAnsi="Arial" w:cs="Arial"/>
          <w:b/>
          <w:sz w:val="22"/>
          <w:szCs w:val="22"/>
        </w:rPr>
        <w:t>Assessment Component 2</w:t>
      </w:r>
    </w:p>
    <w:p w:rsidR="00160496" w:rsidRPr="00D255DD" w:rsidRDefault="00160496" w:rsidP="00160496">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60496" w:rsidRPr="00D255DD" w:rsidTr="00E7663E">
        <w:sdt>
          <w:sdtPr>
            <w:rPr>
              <w:rFonts w:ascii="Arial" w:hAnsi="Arial" w:cs="Arial"/>
              <w:sz w:val="22"/>
              <w:szCs w:val="22"/>
            </w:rPr>
            <w:id w:val="1912505409"/>
            <w14:checkbox>
              <w14:checked w14:val="0"/>
              <w14:checkedState w14:val="2612" w14:font="MS Gothic"/>
              <w14:uncheckedState w14:val="2610" w14:font="MS Gothic"/>
            </w14:checkbox>
          </w:sdtPr>
          <w:sdtEndPr/>
          <w:sdtContent>
            <w:tc>
              <w:tcPr>
                <w:tcW w:w="562" w:type="dxa"/>
              </w:tcPr>
              <w:p w:rsidR="00160496" w:rsidRPr="00D255DD" w:rsidRDefault="00160496"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58" w:type="dxa"/>
          </w:tcPr>
          <w:p w:rsidR="00160496" w:rsidRPr="00D255DD" w:rsidRDefault="00160496" w:rsidP="00E7663E">
            <w:pPr>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225030403"/>
            <w14:checkbox>
              <w14:checked w14:val="1"/>
              <w14:checkedState w14:val="2612" w14:font="MS Gothic"/>
              <w14:uncheckedState w14:val="2610" w14:font="MS Gothic"/>
            </w14:checkbox>
          </w:sdtPr>
          <w:sdtEndPr/>
          <w:sdtContent>
            <w:tc>
              <w:tcPr>
                <w:tcW w:w="538" w:type="dxa"/>
              </w:tcPr>
              <w:p w:rsidR="00160496" w:rsidRPr="00D255DD" w:rsidRDefault="00160496"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160496" w:rsidRPr="00D255DD" w:rsidRDefault="00160496" w:rsidP="00E7663E">
            <w:pPr>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711621009"/>
            <w14:checkbox>
              <w14:checked w14:val="0"/>
              <w14:checkedState w14:val="2612" w14:font="MS Gothic"/>
              <w14:uncheckedState w14:val="2610" w14:font="MS Gothic"/>
            </w14:checkbox>
          </w:sdtPr>
          <w:sdtEndPr/>
          <w:sdtContent>
            <w:tc>
              <w:tcPr>
                <w:tcW w:w="538" w:type="dxa"/>
              </w:tcPr>
              <w:p w:rsidR="00160496" w:rsidRPr="00D255DD" w:rsidRDefault="00160496"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160496" w:rsidRPr="00D255DD" w:rsidRDefault="00160496" w:rsidP="00E7663E">
            <w:pPr>
              <w:rPr>
                <w:rFonts w:ascii="Arial" w:hAnsi="Arial" w:cs="Arial"/>
                <w:b/>
                <w:sz w:val="22"/>
                <w:szCs w:val="22"/>
              </w:rPr>
            </w:pPr>
            <w:r w:rsidRPr="00D255DD">
              <w:rPr>
                <w:rFonts w:ascii="Arial" w:hAnsi="Arial" w:cs="Arial"/>
                <w:b/>
                <w:sz w:val="22"/>
                <w:szCs w:val="22"/>
              </w:rPr>
              <w:t>Practical</w:t>
            </w:r>
          </w:p>
        </w:tc>
      </w:tr>
    </w:tbl>
    <w:p w:rsidR="00160496" w:rsidRPr="00D255DD" w:rsidRDefault="00160496" w:rsidP="00160496">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60496" w:rsidRPr="00D255DD" w:rsidTr="00E7663E">
        <w:tc>
          <w:tcPr>
            <w:tcW w:w="3256" w:type="dxa"/>
          </w:tcPr>
          <w:p w:rsidR="00160496" w:rsidRPr="00D255DD" w:rsidRDefault="00160496"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Pr>
          <w:p w:rsidR="00160496" w:rsidRPr="00D255DD" w:rsidRDefault="00160496" w:rsidP="00E7663E">
            <w:pPr>
              <w:rPr>
                <w:rFonts w:ascii="Arial" w:hAnsi="Arial" w:cs="Arial"/>
                <w:sz w:val="22"/>
                <w:szCs w:val="22"/>
              </w:rPr>
            </w:pPr>
            <w:r w:rsidRPr="00D255DD">
              <w:rPr>
                <w:rFonts w:ascii="Arial" w:hAnsi="Arial" w:cs="Arial"/>
                <w:b/>
                <w:sz w:val="22"/>
                <w:szCs w:val="22"/>
              </w:rPr>
              <w:t>Volume</w:t>
            </w:r>
          </w:p>
        </w:tc>
        <w:tc>
          <w:tcPr>
            <w:tcW w:w="1559" w:type="dxa"/>
          </w:tcPr>
          <w:p w:rsidR="00160496" w:rsidRPr="00D255DD" w:rsidRDefault="00160496" w:rsidP="00E7663E">
            <w:pPr>
              <w:rPr>
                <w:rFonts w:ascii="Arial" w:hAnsi="Arial" w:cs="Arial"/>
                <w:sz w:val="22"/>
                <w:szCs w:val="22"/>
              </w:rPr>
            </w:pPr>
            <w:r w:rsidRPr="00D255DD">
              <w:rPr>
                <w:rFonts w:ascii="Arial" w:hAnsi="Arial" w:cs="Arial"/>
                <w:b/>
                <w:sz w:val="22"/>
                <w:szCs w:val="22"/>
              </w:rPr>
              <w:t>Weighting</w:t>
            </w:r>
          </w:p>
        </w:tc>
      </w:tr>
      <w:tr w:rsidR="00160496" w:rsidRPr="00D255DD" w:rsidTr="00E7663E">
        <w:tc>
          <w:tcPr>
            <w:tcW w:w="3256" w:type="dxa"/>
          </w:tcPr>
          <w:p w:rsidR="00160496" w:rsidRPr="00D255DD" w:rsidRDefault="00160496" w:rsidP="00E7663E">
            <w:pPr>
              <w:jc w:val="center"/>
              <w:rPr>
                <w:rFonts w:ascii="Arial" w:hAnsi="Arial" w:cs="Arial"/>
                <w:sz w:val="22"/>
                <w:szCs w:val="22"/>
              </w:rPr>
            </w:pPr>
            <w:r w:rsidRPr="00D255DD">
              <w:rPr>
                <w:rFonts w:ascii="Arial" w:hAnsi="Arial" w:cs="Arial"/>
                <w:sz w:val="22"/>
                <w:szCs w:val="22"/>
              </w:rPr>
              <w:t xml:space="preserve">Essay </w:t>
            </w:r>
          </w:p>
        </w:tc>
        <w:tc>
          <w:tcPr>
            <w:tcW w:w="3969" w:type="dxa"/>
          </w:tcPr>
          <w:p w:rsidR="00160496" w:rsidRPr="00D255DD" w:rsidRDefault="00160496" w:rsidP="00E7663E">
            <w:pPr>
              <w:jc w:val="left"/>
              <w:rPr>
                <w:rFonts w:ascii="Arial" w:hAnsi="Arial" w:cs="Arial"/>
                <w:sz w:val="22"/>
                <w:szCs w:val="22"/>
                <w:highlight w:val="yellow"/>
              </w:rPr>
            </w:pPr>
            <w:r w:rsidRPr="00D255DD">
              <w:rPr>
                <w:rFonts w:ascii="Arial" w:hAnsi="Arial" w:cs="Arial"/>
                <w:sz w:val="22"/>
                <w:szCs w:val="22"/>
              </w:rPr>
              <w:t>2,000 words</w:t>
            </w:r>
          </w:p>
        </w:tc>
        <w:tc>
          <w:tcPr>
            <w:tcW w:w="1559" w:type="dxa"/>
          </w:tcPr>
          <w:p w:rsidR="00160496" w:rsidRPr="00D255DD" w:rsidRDefault="00160496" w:rsidP="00E7663E">
            <w:pPr>
              <w:rPr>
                <w:rFonts w:ascii="Arial" w:hAnsi="Arial" w:cs="Arial"/>
                <w:sz w:val="22"/>
                <w:szCs w:val="22"/>
              </w:rPr>
            </w:pPr>
            <w:r w:rsidRPr="00D255DD">
              <w:rPr>
                <w:rFonts w:ascii="Arial" w:hAnsi="Arial" w:cs="Arial"/>
                <w:sz w:val="22"/>
                <w:szCs w:val="22"/>
              </w:rPr>
              <w:t>50%</w:t>
            </w:r>
          </w:p>
        </w:tc>
      </w:tr>
    </w:tbl>
    <w:p w:rsidR="00160496" w:rsidRPr="00D255DD" w:rsidRDefault="00160496" w:rsidP="00160496">
      <w:pPr>
        <w:pStyle w:val="fixed"/>
        <w:keepNext/>
        <w:ind w:left="0" w:firstLine="0"/>
        <w:jc w:val="both"/>
        <w:rPr>
          <w:rFonts w:ascii="Arial" w:hAnsi="Arial" w:cs="Arial"/>
          <w:sz w:val="22"/>
          <w:szCs w:val="22"/>
        </w:rPr>
      </w:pPr>
      <w:bookmarkStart w:id="1" w:name="_GoBack"/>
      <w:bookmarkEnd w:id="1"/>
      <w:r w:rsidRPr="00D255D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160496" w:rsidRPr="00D255DD" w:rsidTr="00E7663E">
        <w:tc>
          <w:tcPr>
            <w:tcW w:w="3261" w:type="dxa"/>
            <w:tcBorders>
              <w:top w:val="single" w:sz="4" w:space="0" w:color="auto"/>
              <w:left w:val="single" w:sz="4" w:space="0" w:color="auto"/>
            </w:tcBorders>
          </w:tcPr>
          <w:p w:rsidR="00160496" w:rsidRPr="00D255DD" w:rsidRDefault="00160496" w:rsidP="00E7663E">
            <w:pPr>
              <w:keepNext/>
              <w:rPr>
                <w:rFonts w:ascii="Arial" w:hAnsi="Arial" w:cs="Arial"/>
                <w:b/>
                <w:sz w:val="22"/>
                <w:szCs w:val="22"/>
              </w:rPr>
            </w:pPr>
            <w:r w:rsidRPr="00D255DD">
              <w:rPr>
                <w:rFonts w:ascii="Arial" w:hAnsi="Arial" w:cs="Arial"/>
                <w:b/>
                <w:sz w:val="22"/>
                <w:szCs w:val="22"/>
              </w:rPr>
              <w:t>Activity type</w:t>
            </w:r>
          </w:p>
        </w:tc>
        <w:tc>
          <w:tcPr>
            <w:tcW w:w="1842" w:type="dxa"/>
          </w:tcPr>
          <w:p w:rsidR="00160496" w:rsidRPr="00D255DD" w:rsidRDefault="00160496" w:rsidP="00E7663E">
            <w:pPr>
              <w:keepNext/>
              <w:jc w:val="center"/>
              <w:rPr>
                <w:rFonts w:ascii="Arial" w:hAnsi="Arial" w:cs="Arial"/>
                <w:b/>
                <w:sz w:val="22"/>
                <w:szCs w:val="22"/>
              </w:rPr>
            </w:pPr>
            <w:r w:rsidRPr="00D255DD">
              <w:rPr>
                <w:rFonts w:ascii="Arial" w:hAnsi="Arial" w:cs="Arial"/>
                <w:b/>
                <w:sz w:val="22"/>
                <w:szCs w:val="22"/>
              </w:rPr>
              <w:t>Percentage</w:t>
            </w:r>
          </w:p>
        </w:tc>
      </w:tr>
      <w:tr w:rsidR="00160496" w:rsidRPr="00D255DD" w:rsidTr="00E7663E">
        <w:tc>
          <w:tcPr>
            <w:tcW w:w="3261" w:type="dxa"/>
          </w:tcPr>
          <w:p w:rsidR="00160496" w:rsidRPr="00D255DD" w:rsidRDefault="00160496" w:rsidP="00E7663E">
            <w:pPr>
              <w:keepNext/>
              <w:rPr>
                <w:rFonts w:ascii="Arial" w:hAnsi="Arial" w:cs="Arial"/>
                <w:sz w:val="22"/>
                <w:szCs w:val="22"/>
              </w:rPr>
            </w:pPr>
            <w:r w:rsidRPr="00D255DD">
              <w:rPr>
                <w:rFonts w:ascii="Arial" w:hAnsi="Arial" w:cs="Arial"/>
                <w:sz w:val="22"/>
                <w:szCs w:val="22"/>
              </w:rPr>
              <w:t>Written exam</w:t>
            </w:r>
          </w:p>
        </w:tc>
        <w:tc>
          <w:tcPr>
            <w:tcW w:w="1842" w:type="dxa"/>
          </w:tcPr>
          <w:p w:rsidR="00160496" w:rsidRPr="00D255DD" w:rsidRDefault="00160496" w:rsidP="00E7663E">
            <w:pPr>
              <w:keepNext/>
              <w:jc w:val="center"/>
              <w:rPr>
                <w:rFonts w:ascii="Arial" w:hAnsi="Arial" w:cs="Arial"/>
                <w:sz w:val="22"/>
                <w:szCs w:val="22"/>
              </w:rPr>
            </w:pPr>
          </w:p>
        </w:tc>
      </w:tr>
      <w:tr w:rsidR="00160496" w:rsidRPr="00D255DD" w:rsidTr="00E7663E">
        <w:tc>
          <w:tcPr>
            <w:tcW w:w="3261" w:type="dxa"/>
          </w:tcPr>
          <w:p w:rsidR="00160496" w:rsidRPr="00D255DD" w:rsidRDefault="00160496" w:rsidP="00E7663E">
            <w:pPr>
              <w:keepNext/>
              <w:rPr>
                <w:rFonts w:ascii="Arial" w:hAnsi="Arial" w:cs="Arial"/>
                <w:sz w:val="22"/>
                <w:szCs w:val="22"/>
              </w:rPr>
            </w:pPr>
            <w:r w:rsidRPr="00D255DD">
              <w:rPr>
                <w:rFonts w:ascii="Arial" w:hAnsi="Arial" w:cs="Arial"/>
                <w:sz w:val="22"/>
                <w:szCs w:val="22"/>
              </w:rPr>
              <w:t>Coursework</w:t>
            </w:r>
          </w:p>
        </w:tc>
        <w:tc>
          <w:tcPr>
            <w:tcW w:w="1842" w:type="dxa"/>
          </w:tcPr>
          <w:p w:rsidR="00160496" w:rsidRPr="00D255DD" w:rsidRDefault="00160496" w:rsidP="00E7663E">
            <w:pPr>
              <w:keepNext/>
              <w:jc w:val="center"/>
              <w:rPr>
                <w:rFonts w:ascii="Arial" w:hAnsi="Arial" w:cs="Arial"/>
                <w:sz w:val="22"/>
                <w:szCs w:val="22"/>
              </w:rPr>
            </w:pPr>
            <w:r w:rsidRPr="00D255DD">
              <w:rPr>
                <w:rFonts w:ascii="Arial" w:hAnsi="Arial" w:cs="Arial"/>
                <w:sz w:val="22"/>
                <w:szCs w:val="22"/>
              </w:rPr>
              <w:t>100%</w:t>
            </w:r>
          </w:p>
        </w:tc>
      </w:tr>
      <w:tr w:rsidR="00160496" w:rsidRPr="00D255DD" w:rsidTr="00E7663E">
        <w:tc>
          <w:tcPr>
            <w:tcW w:w="3261" w:type="dxa"/>
          </w:tcPr>
          <w:p w:rsidR="00160496" w:rsidRPr="00D255DD" w:rsidRDefault="00160496" w:rsidP="00E7663E">
            <w:pPr>
              <w:keepNext/>
              <w:rPr>
                <w:rFonts w:ascii="Arial" w:hAnsi="Arial" w:cs="Arial"/>
                <w:sz w:val="22"/>
                <w:szCs w:val="22"/>
              </w:rPr>
            </w:pPr>
            <w:r w:rsidRPr="00D255DD">
              <w:rPr>
                <w:rFonts w:ascii="Arial" w:hAnsi="Arial" w:cs="Arial"/>
                <w:sz w:val="22"/>
                <w:szCs w:val="22"/>
              </w:rPr>
              <w:t>Practical</w:t>
            </w:r>
          </w:p>
        </w:tc>
        <w:tc>
          <w:tcPr>
            <w:tcW w:w="1842" w:type="dxa"/>
          </w:tcPr>
          <w:p w:rsidR="00160496" w:rsidRPr="00D255DD" w:rsidRDefault="00160496" w:rsidP="00E7663E">
            <w:pPr>
              <w:keepNext/>
              <w:jc w:val="center"/>
              <w:rPr>
                <w:rFonts w:ascii="Arial" w:hAnsi="Arial" w:cs="Arial"/>
                <w:sz w:val="22"/>
                <w:szCs w:val="22"/>
              </w:rPr>
            </w:pPr>
          </w:p>
        </w:tc>
      </w:tr>
      <w:tr w:rsidR="00160496" w:rsidRPr="00D255DD" w:rsidTr="00E7663E">
        <w:tc>
          <w:tcPr>
            <w:tcW w:w="3261" w:type="dxa"/>
          </w:tcPr>
          <w:p w:rsidR="00160496" w:rsidRPr="00D255DD" w:rsidRDefault="00160496" w:rsidP="00E7663E">
            <w:pPr>
              <w:keepNext/>
              <w:rPr>
                <w:rFonts w:ascii="Arial" w:hAnsi="Arial" w:cs="Arial"/>
                <w:sz w:val="22"/>
                <w:szCs w:val="22"/>
              </w:rPr>
            </w:pPr>
            <w:r w:rsidRPr="00D255DD">
              <w:rPr>
                <w:rFonts w:ascii="Arial" w:hAnsi="Arial" w:cs="Arial"/>
                <w:b/>
                <w:sz w:val="22"/>
                <w:szCs w:val="22"/>
              </w:rPr>
              <w:t>TOTAL</w:t>
            </w:r>
          </w:p>
        </w:tc>
        <w:tc>
          <w:tcPr>
            <w:tcW w:w="1842" w:type="dxa"/>
          </w:tcPr>
          <w:p w:rsidR="00160496" w:rsidRPr="00D255DD" w:rsidRDefault="00160496" w:rsidP="00E7663E">
            <w:pPr>
              <w:keepNext/>
              <w:jc w:val="center"/>
              <w:rPr>
                <w:rFonts w:ascii="Arial" w:hAnsi="Arial" w:cs="Arial"/>
                <w:b/>
                <w:sz w:val="22"/>
                <w:szCs w:val="22"/>
              </w:rPr>
            </w:pPr>
            <w:r w:rsidRPr="00D255DD">
              <w:rPr>
                <w:rFonts w:ascii="Arial" w:hAnsi="Arial" w:cs="Arial"/>
                <w:b/>
                <w:sz w:val="22"/>
                <w:szCs w:val="22"/>
              </w:rPr>
              <w:t>100%</w:t>
            </w:r>
          </w:p>
        </w:tc>
      </w:tr>
    </w:tbl>
    <w:p w:rsidR="00160496" w:rsidRPr="00D255DD" w:rsidRDefault="00160496" w:rsidP="00160496">
      <w:pPr>
        <w:rPr>
          <w:rFonts w:ascii="Arial" w:hAnsi="Arial" w:cs="Arial"/>
          <w:sz w:val="22"/>
          <w:szCs w:val="22"/>
        </w:rPr>
      </w:pPr>
    </w:p>
    <w:p w:rsidR="00160496" w:rsidRPr="00D255DD" w:rsidRDefault="00160496" w:rsidP="00160496">
      <w:pPr>
        <w:rPr>
          <w:rFonts w:ascii="Arial" w:hAnsi="Arial" w:cs="Arial"/>
          <w:b/>
          <w:sz w:val="22"/>
          <w:szCs w:val="22"/>
        </w:rPr>
      </w:pPr>
      <w:r w:rsidRPr="00D255DD">
        <w:rPr>
          <w:rFonts w:ascii="Arial" w:hAnsi="Arial" w:cs="Arial"/>
          <w:b/>
          <w:sz w:val="22"/>
          <w:szCs w:val="22"/>
        </w:rPr>
        <w:t>READING LIST</w:t>
      </w:r>
    </w:p>
    <w:p w:rsidR="00160496" w:rsidRPr="00D255DD" w:rsidRDefault="00160496" w:rsidP="00160496">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160496" w:rsidRPr="0068411F" w:rsidTr="00E7663E">
        <w:tc>
          <w:tcPr>
            <w:tcW w:w="1689" w:type="dxa"/>
            <w:shd w:val="clear" w:color="auto" w:fill="BFBFBF" w:themeFill="background1" w:themeFillShade="BF"/>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Module Code</w:t>
            </w:r>
          </w:p>
        </w:tc>
        <w:tc>
          <w:tcPr>
            <w:tcW w:w="6971" w:type="dxa"/>
            <w:gridSpan w:val="2"/>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HPEN4001</w:t>
            </w:r>
          </w:p>
        </w:tc>
      </w:tr>
      <w:tr w:rsidR="00160496" w:rsidRPr="0068411F" w:rsidTr="00E7663E">
        <w:tc>
          <w:tcPr>
            <w:tcW w:w="1689" w:type="dxa"/>
            <w:shd w:val="clear" w:color="auto" w:fill="BFBFBF" w:themeFill="background1" w:themeFillShade="BF"/>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Module Title</w:t>
            </w:r>
          </w:p>
        </w:tc>
        <w:tc>
          <w:tcPr>
            <w:tcW w:w="6971" w:type="dxa"/>
            <w:gridSpan w:val="2"/>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Historicising Texts</w:t>
            </w:r>
          </w:p>
        </w:tc>
      </w:tr>
      <w:tr w:rsidR="00160496" w:rsidRPr="0068411F" w:rsidTr="00E7663E">
        <w:tc>
          <w:tcPr>
            <w:tcW w:w="1689" w:type="dxa"/>
            <w:shd w:val="clear" w:color="auto" w:fill="BFBFBF" w:themeFill="background1" w:themeFillShade="BF"/>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Classification</w:t>
            </w:r>
          </w:p>
        </w:tc>
        <w:tc>
          <w:tcPr>
            <w:tcW w:w="5605" w:type="dxa"/>
            <w:shd w:val="clear" w:color="auto" w:fill="BFBFBF" w:themeFill="background1" w:themeFillShade="BF"/>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Reading List entry</w:t>
            </w:r>
          </w:p>
        </w:tc>
        <w:tc>
          <w:tcPr>
            <w:tcW w:w="1366" w:type="dxa"/>
            <w:shd w:val="clear" w:color="auto" w:fill="BFBFBF" w:themeFill="background1" w:themeFillShade="BF"/>
          </w:tcPr>
          <w:p w:rsidR="00160496" w:rsidRPr="0068411F" w:rsidRDefault="00160496" w:rsidP="00E7663E">
            <w:pPr>
              <w:tabs>
                <w:tab w:val="num" w:pos="720"/>
                <w:tab w:val="left" w:pos="1440"/>
              </w:tabs>
              <w:rPr>
                <w:rFonts w:ascii="Arial" w:hAnsi="Arial" w:cs="Arial"/>
                <w:b/>
                <w:sz w:val="22"/>
                <w:szCs w:val="22"/>
              </w:rPr>
            </w:pPr>
            <w:r w:rsidRPr="0068411F">
              <w:rPr>
                <w:rFonts w:ascii="Arial" w:hAnsi="Arial" w:cs="Arial"/>
                <w:b/>
                <w:sz w:val="22"/>
                <w:szCs w:val="22"/>
              </w:rPr>
              <w:t>Electronic*</w:t>
            </w: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i/>
                <w:sz w:val="22"/>
                <w:szCs w:val="22"/>
              </w:rPr>
              <w:t xml:space="preserve">The </w:t>
            </w:r>
            <w:proofErr w:type="spellStart"/>
            <w:r w:rsidRPr="0068411F">
              <w:rPr>
                <w:rFonts w:ascii="Arial" w:hAnsi="Arial" w:cs="Arial"/>
                <w:i/>
                <w:sz w:val="22"/>
                <w:szCs w:val="22"/>
              </w:rPr>
              <w:t>Lais</w:t>
            </w:r>
            <w:proofErr w:type="spellEnd"/>
            <w:r w:rsidRPr="0068411F">
              <w:rPr>
                <w:rFonts w:ascii="Arial" w:hAnsi="Arial" w:cs="Arial"/>
                <w:i/>
                <w:sz w:val="22"/>
                <w:szCs w:val="22"/>
              </w:rPr>
              <w:t xml:space="preserve"> of Marie de France</w:t>
            </w:r>
            <w:r w:rsidRPr="0068411F">
              <w:rPr>
                <w:rFonts w:ascii="Arial" w:hAnsi="Arial" w:cs="Arial"/>
                <w:sz w:val="22"/>
                <w:szCs w:val="22"/>
              </w:rPr>
              <w:t xml:space="preserve">, translated by Glyn S. Burgess and Keith Busby,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w:t>
            </w:r>
            <w:proofErr w:type="spellStart"/>
            <w:r w:rsidRPr="0068411F">
              <w:rPr>
                <w:rFonts w:ascii="Arial" w:hAnsi="Arial" w:cs="Arial"/>
                <w:sz w:val="22"/>
                <w:szCs w:val="22"/>
              </w:rPr>
              <w:t>Harmondsworth</w:t>
            </w:r>
            <w:proofErr w:type="spellEnd"/>
            <w:r w:rsidRPr="0068411F">
              <w:rPr>
                <w:rFonts w:ascii="Arial" w:hAnsi="Arial" w:cs="Arial"/>
                <w:sz w:val="22"/>
                <w:szCs w:val="22"/>
              </w:rPr>
              <w:t>: Penguin, 1999)</w:t>
            </w:r>
          </w:p>
        </w:tc>
        <w:tc>
          <w:tcPr>
            <w:tcW w:w="1366" w:type="dxa"/>
          </w:tcPr>
          <w:sdt>
            <w:sdtPr>
              <w:rPr>
                <w:rFonts w:ascii="Arial" w:hAnsi="Arial" w:cs="Arial"/>
                <w:sz w:val="22"/>
                <w:szCs w:val="22"/>
              </w:rPr>
              <w:id w:val="43727452"/>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Chrétien de Troyes, </w:t>
            </w:r>
            <w:r w:rsidRPr="0068411F">
              <w:rPr>
                <w:rFonts w:ascii="Arial" w:hAnsi="Arial" w:cs="Arial"/>
                <w:i/>
                <w:sz w:val="22"/>
                <w:szCs w:val="22"/>
              </w:rPr>
              <w:t>Yvain: The Knight with the Lion</w:t>
            </w:r>
            <w:r w:rsidRPr="0068411F">
              <w:rPr>
                <w:rFonts w:ascii="Arial" w:hAnsi="Arial" w:cs="Arial"/>
                <w:sz w:val="22"/>
                <w:szCs w:val="22"/>
              </w:rPr>
              <w:t xml:space="preserve">, in </w:t>
            </w:r>
            <w:r w:rsidRPr="0068411F">
              <w:rPr>
                <w:rFonts w:ascii="Arial" w:hAnsi="Arial" w:cs="Arial"/>
                <w:i/>
                <w:sz w:val="22"/>
                <w:szCs w:val="22"/>
              </w:rPr>
              <w:t>Chrétien de Troyes: Arthurian Romances</w:t>
            </w:r>
            <w:r w:rsidRPr="0068411F">
              <w:rPr>
                <w:rFonts w:ascii="Arial" w:hAnsi="Arial" w:cs="Arial"/>
                <w:sz w:val="22"/>
                <w:szCs w:val="22"/>
              </w:rPr>
              <w:t xml:space="preserve"> (</w:t>
            </w:r>
            <w:proofErr w:type="spellStart"/>
            <w:r w:rsidRPr="0068411F">
              <w:rPr>
                <w:rFonts w:ascii="Arial" w:hAnsi="Arial" w:cs="Arial"/>
                <w:sz w:val="22"/>
                <w:szCs w:val="22"/>
              </w:rPr>
              <w:t>Harmondsworth</w:t>
            </w:r>
            <w:proofErr w:type="spellEnd"/>
            <w:r w:rsidRPr="0068411F">
              <w:rPr>
                <w:rFonts w:ascii="Arial" w:hAnsi="Arial" w:cs="Arial"/>
                <w:sz w:val="22"/>
                <w:szCs w:val="22"/>
              </w:rPr>
              <w:t>: Penguin, 1991)</w:t>
            </w:r>
          </w:p>
        </w:tc>
        <w:tc>
          <w:tcPr>
            <w:tcW w:w="1366" w:type="dxa"/>
          </w:tcPr>
          <w:sdt>
            <w:sdtPr>
              <w:rPr>
                <w:rFonts w:ascii="Arial" w:hAnsi="Arial" w:cs="Arial"/>
                <w:sz w:val="22"/>
                <w:szCs w:val="22"/>
              </w:rPr>
              <w:id w:val="881368699"/>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Sir Thomas Malory, ‘The Knight of the Cart’, in </w:t>
            </w:r>
            <w:r w:rsidRPr="0068411F">
              <w:rPr>
                <w:rFonts w:ascii="Arial" w:hAnsi="Arial" w:cs="Arial"/>
                <w:i/>
                <w:sz w:val="22"/>
                <w:szCs w:val="22"/>
              </w:rPr>
              <w:t xml:space="preserve">Le </w:t>
            </w:r>
            <w:proofErr w:type="spellStart"/>
            <w:r w:rsidRPr="0068411F">
              <w:rPr>
                <w:rFonts w:ascii="Arial" w:hAnsi="Arial" w:cs="Arial"/>
                <w:i/>
                <w:sz w:val="22"/>
                <w:szCs w:val="22"/>
              </w:rPr>
              <w:t>Morte</w:t>
            </w:r>
            <w:proofErr w:type="spellEnd"/>
            <w:r w:rsidRPr="0068411F">
              <w:rPr>
                <w:rFonts w:ascii="Arial" w:hAnsi="Arial" w:cs="Arial"/>
                <w:i/>
                <w:sz w:val="22"/>
                <w:szCs w:val="22"/>
              </w:rPr>
              <w:t xml:space="preserve"> </w:t>
            </w:r>
            <w:proofErr w:type="spellStart"/>
            <w:r w:rsidRPr="0068411F">
              <w:rPr>
                <w:rFonts w:ascii="Arial" w:hAnsi="Arial" w:cs="Arial"/>
                <w:i/>
                <w:sz w:val="22"/>
                <w:szCs w:val="22"/>
              </w:rPr>
              <w:t>Darthur</w:t>
            </w:r>
            <w:proofErr w:type="spellEnd"/>
            <w:r w:rsidRPr="0068411F">
              <w:rPr>
                <w:rFonts w:ascii="Arial" w:hAnsi="Arial" w:cs="Arial"/>
                <w:i/>
                <w:sz w:val="22"/>
                <w:szCs w:val="22"/>
              </w:rPr>
              <w:t>: The Winchester Manuscript</w:t>
            </w:r>
            <w:r w:rsidRPr="0068411F">
              <w:rPr>
                <w:rFonts w:ascii="Arial" w:hAnsi="Arial" w:cs="Arial"/>
                <w:sz w:val="22"/>
                <w:szCs w:val="22"/>
              </w:rPr>
              <w:t xml:space="preserve"> (Oxford: Oxford University Press, 2008)</w:t>
            </w:r>
          </w:p>
        </w:tc>
        <w:tc>
          <w:tcPr>
            <w:tcW w:w="1366" w:type="dxa"/>
          </w:tcPr>
          <w:sdt>
            <w:sdtPr>
              <w:rPr>
                <w:rFonts w:ascii="Arial" w:hAnsi="Arial" w:cs="Arial"/>
                <w:sz w:val="22"/>
                <w:szCs w:val="22"/>
              </w:rPr>
              <w:id w:val="903036701"/>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Geoffrey Chaucer, ‘The Pardoner’s Prologue and Tale’ from </w:t>
            </w:r>
            <w:r w:rsidRPr="0068411F">
              <w:rPr>
                <w:rFonts w:ascii="Arial" w:hAnsi="Arial" w:cs="Arial"/>
                <w:i/>
                <w:sz w:val="22"/>
                <w:szCs w:val="22"/>
              </w:rPr>
              <w:t>The Canterbury Tales</w:t>
            </w:r>
            <w:r w:rsidRPr="0068411F">
              <w:rPr>
                <w:rFonts w:ascii="Arial" w:hAnsi="Arial" w:cs="Arial"/>
                <w:sz w:val="22"/>
                <w:szCs w:val="22"/>
              </w:rPr>
              <w:t xml:space="preserve">, in </w:t>
            </w:r>
            <w:r w:rsidRPr="0068411F">
              <w:rPr>
                <w:rFonts w:ascii="Arial" w:hAnsi="Arial" w:cs="Arial"/>
                <w:i/>
                <w:sz w:val="22"/>
                <w:szCs w:val="22"/>
              </w:rPr>
              <w:t>The Riverside Chaucer</w:t>
            </w:r>
            <w:r w:rsidRPr="0068411F">
              <w:rPr>
                <w:rFonts w:ascii="Arial" w:hAnsi="Arial" w:cs="Arial"/>
                <w:sz w:val="22"/>
                <w:szCs w:val="22"/>
              </w:rPr>
              <w:t xml:space="preserve">, 3rd </w:t>
            </w:r>
            <w:proofErr w:type="spellStart"/>
            <w:r w:rsidRPr="0068411F">
              <w:rPr>
                <w:rFonts w:ascii="Arial" w:hAnsi="Arial" w:cs="Arial"/>
                <w:sz w:val="22"/>
                <w:szCs w:val="22"/>
              </w:rPr>
              <w:t>edn</w:t>
            </w:r>
            <w:proofErr w:type="spellEnd"/>
            <w:r w:rsidRPr="0068411F">
              <w:rPr>
                <w:rFonts w:ascii="Arial" w:hAnsi="Arial" w:cs="Arial"/>
                <w:sz w:val="22"/>
                <w:szCs w:val="22"/>
              </w:rPr>
              <w:t xml:space="preserve"> (Oxford: Oxford University Press, 2008)</w:t>
            </w:r>
          </w:p>
        </w:tc>
        <w:tc>
          <w:tcPr>
            <w:tcW w:w="1366" w:type="dxa"/>
          </w:tcPr>
          <w:sdt>
            <w:sdtPr>
              <w:rPr>
                <w:rFonts w:ascii="Arial" w:hAnsi="Arial" w:cs="Arial"/>
                <w:sz w:val="22"/>
                <w:szCs w:val="22"/>
              </w:rPr>
              <w:id w:val="-1923086523"/>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i/>
                <w:sz w:val="22"/>
                <w:szCs w:val="22"/>
              </w:rPr>
              <w:t>The Second Shepherds’ Play</w:t>
            </w:r>
            <w:r w:rsidRPr="0068411F">
              <w:rPr>
                <w:rFonts w:ascii="Arial" w:hAnsi="Arial" w:cs="Arial"/>
                <w:sz w:val="22"/>
                <w:szCs w:val="22"/>
              </w:rPr>
              <w:t xml:space="preserve"> from </w:t>
            </w:r>
            <w:r w:rsidRPr="0068411F">
              <w:rPr>
                <w:rFonts w:ascii="Arial" w:hAnsi="Arial" w:cs="Arial"/>
                <w:i/>
                <w:sz w:val="22"/>
                <w:szCs w:val="22"/>
              </w:rPr>
              <w:t xml:space="preserve">The </w:t>
            </w:r>
            <w:proofErr w:type="spellStart"/>
            <w:r w:rsidRPr="0068411F">
              <w:rPr>
                <w:rFonts w:ascii="Arial" w:hAnsi="Arial" w:cs="Arial"/>
                <w:i/>
                <w:sz w:val="22"/>
                <w:szCs w:val="22"/>
              </w:rPr>
              <w:t>Towneley</w:t>
            </w:r>
            <w:proofErr w:type="spellEnd"/>
            <w:r w:rsidRPr="0068411F">
              <w:rPr>
                <w:rFonts w:ascii="Arial" w:hAnsi="Arial" w:cs="Arial"/>
                <w:i/>
                <w:sz w:val="22"/>
                <w:szCs w:val="22"/>
              </w:rPr>
              <w:t xml:space="preserve"> Plays</w:t>
            </w:r>
            <w:r w:rsidRPr="0068411F">
              <w:rPr>
                <w:rFonts w:ascii="Arial" w:hAnsi="Arial" w:cs="Arial"/>
                <w:sz w:val="22"/>
                <w:szCs w:val="22"/>
              </w:rPr>
              <w:t xml:space="preserve"> (copies supplied by module tutor)</w:t>
            </w:r>
          </w:p>
        </w:tc>
        <w:tc>
          <w:tcPr>
            <w:tcW w:w="1366" w:type="dxa"/>
          </w:tcPr>
          <w:sdt>
            <w:sdtPr>
              <w:rPr>
                <w:rFonts w:ascii="Arial" w:hAnsi="Arial" w:cs="Arial"/>
                <w:sz w:val="22"/>
                <w:szCs w:val="22"/>
              </w:rPr>
              <w:id w:val="428238321"/>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Sir Thomas Wyatt, </w:t>
            </w:r>
            <w:r w:rsidRPr="0068411F">
              <w:rPr>
                <w:rFonts w:ascii="Arial" w:hAnsi="Arial" w:cs="Arial"/>
                <w:i/>
                <w:sz w:val="22"/>
                <w:szCs w:val="22"/>
              </w:rPr>
              <w:t>The Complete Poems</w:t>
            </w:r>
            <w:r w:rsidRPr="0068411F">
              <w:rPr>
                <w:rFonts w:ascii="Arial" w:hAnsi="Arial" w:cs="Arial"/>
                <w:sz w:val="22"/>
                <w:szCs w:val="22"/>
              </w:rPr>
              <w:t>, Penguin Classics (</w:t>
            </w:r>
            <w:proofErr w:type="spellStart"/>
            <w:r w:rsidRPr="0068411F">
              <w:rPr>
                <w:rFonts w:ascii="Arial" w:hAnsi="Arial" w:cs="Arial"/>
                <w:sz w:val="22"/>
                <w:szCs w:val="22"/>
              </w:rPr>
              <w:t>Harmondsworth</w:t>
            </w:r>
            <w:proofErr w:type="spellEnd"/>
            <w:r w:rsidRPr="0068411F">
              <w:rPr>
                <w:rFonts w:ascii="Arial" w:hAnsi="Arial" w:cs="Arial"/>
                <w:sz w:val="22"/>
                <w:szCs w:val="22"/>
              </w:rPr>
              <w:t>: Penguin, 1978)</w:t>
            </w:r>
          </w:p>
        </w:tc>
        <w:tc>
          <w:tcPr>
            <w:tcW w:w="1366" w:type="dxa"/>
          </w:tcPr>
          <w:sdt>
            <w:sdtPr>
              <w:rPr>
                <w:rFonts w:ascii="Arial" w:hAnsi="Arial" w:cs="Arial"/>
                <w:sz w:val="22"/>
                <w:szCs w:val="22"/>
              </w:rPr>
              <w:id w:val="739754854"/>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Edmund Spenser, Book I of </w:t>
            </w:r>
            <w:r w:rsidRPr="0068411F">
              <w:rPr>
                <w:rFonts w:ascii="Arial" w:hAnsi="Arial" w:cs="Arial"/>
                <w:i/>
                <w:sz w:val="22"/>
                <w:szCs w:val="22"/>
              </w:rPr>
              <w:t xml:space="preserve">The Faerie </w:t>
            </w:r>
            <w:proofErr w:type="spellStart"/>
            <w:r w:rsidRPr="0068411F">
              <w:rPr>
                <w:rFonts w:ascii="Arial" w:hAnsi="Arial" w:cs="Arial"/>
                <w:i/>
                <w:sz w:val="22"/>
                <w:szCs w:val="22"/>
              </w:rPr>
              <w:t>Queene</w:t>
            </w:r>
            <w:proofErr w:type="spellEnd"/>
            <w:r w:rsidRPr="0068411F">
              <w:rPr>
                <w:rFonts w:ascii="Arial" w:hAnsi="Arial" w:cs="Arial"/>
                <w:sz w:val="22"/>
                <w:szCs w:val="22"/>
              </w:rPr>
              <w:t xml:space="preserve">, ed. A.C. Hamilton, Longman Annotated English Poets,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(London: Longman, 2007)</w:t>
            </w:r>
          </w:p>
        </w:tc>
        <w:tc>
          <w:tcPr>
            <w:tcW w:w="1366" w:type="dxa"/>
          </w:tcPr>
          <w:sdt>
            <w:sdtPr>
              <w:rPr>
                <w:rFonts w:ascii="Arial" w:hAnsi="Arial" w:cs="Arial"/>
                <w:sz w:val="22"/>
                <w:szCs w:val="22"/>
              </w:rPr>
              <w:id w:val="-1765219142"/>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Francis Beaumont, </w:t>
            </w:r>
            <w:r w:rsidRPr="0068411F">
              <w:rPr>
                <w:rFonts w:ascii="Arial" w:hAnsi="Arial" w:cs="Arial"/>
                <w:i/>
                <w:sz w:val="22"/>
                <w:szCs w:val="22"/>
              </w:rPr>
              <w:t>The Knight of the Burning Pestle</w:t>
            </w:r>
            <w:r w:rsidRPr="0068411F">
              <w:rPr>
                <w:rFonts w:ascii="Arial" w:hAnsi="Arial" w:cs="Arial"/>
                <w:sz w:val="22"/>
                <w:szCs w:val="22"/>
              </w:rPr>
              <w:t xml:space="preserve">, ed. Michael </w:t>
            </w:r>
            <w:proofErr w:type="spellStart"/>
            <w:r w:rsidRPr="0068411F">
              <w:rPr>
                <w:rFonts w:ascii="Arial" w:hAnsi="Arial" w:cs="Arial"/>
                <w:sz w:val="22"/>
                <w:szCs w:val="22"/>
              </w:rPr>
              <w:t>Hattaway</w:t>
            </w:r>
            <w:proofErr w:type="spellEnd"/>
            <w:r w:rsidRPr="0068411F">
              <w:rPr>
                <w:rFonts w:ascii="Arial" w:hAnsi="Arial" w:cs="Arial"/>
                <w:sz w:val="22"/>
                <w:szCs w:val="22"/>
              </w:rPr>
              <w:t>, New Mermaids (London: Bloomsbury Methuen, 2014)</w:t>
            </w:r>
          </w:p>
        </w:tc>
        <w:tc>
          <w:tcPr>
            <w:tcW w:w="1366" w:type="dxa"/>
          </w:tcPr>
          <w:sdt>
            <w:sdtPr>
              <w:rPr>
                <w:rFonts w:ascii="Arial" w:hAnsi="Arial" w:cs="Arial"/>
                <w:sz w:val="22"/>
                <w:szCs w:val="22"/>
              </w:rPr>
              <w:id w:val="810282101"/>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Paul Hamilton, </w:t>
            </w:r>
            <w:r w:rsidRPr="0068411F">
              <w:rPr>
                <w:rFonts w:ascii="Arial" w:hAnsi="Arial" w:cs="Arial"/>
                <w:i/>
                <w:sz w:val="22"/>
                <w:szCs w:val="22"/>
              </w:rPr>
              <w:t>Historicism</w:t>
            </w:r>
            <w:r w:rsidRPr="0068411F">
              <w:rPr>
                <w:rFonts w:ascii="Arial" w:hAnsi="Arial" w:cs="Arial"/>
                <w:sz w:val="22"/>
                <w:szCs w:val="22"/>
              </w:rPr>
              <w:t xml:space="preserve">,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(London: Routledge, 2003)</w:t>
            </w:r>
          </w:p>
        </w:tc>
        <w:tc>
          <w:tcPr>
            <w:tcW w:w="1366" w:type="dxa"/>
          </w:tcPr>
          <w:sdt>
            <w:sdtPr>
              <w:rPr>
                <w:rFonts w:ascii="Arial" w:hAnsi="Arial" w:cs="Arial"/>
                <w:sz w:val="22"/>
                <w:szCs w:val="22"/>
              </w:rPr>
              <w:id w:val="1392762505"/>
              <w14:checkbox>
                <w14:checked w14:val="1"/>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Logan E. Whalen, </w:t>
            </w:r>
            <w:r w:rsidRPr="0068411F">
              <w:rPr>
                <w:rFonts w:ascii="Arial" w:hAnsi="Arial" w:cs="Arial"/>
                <w:i/>
                <w:sz w:val="22"/>
                <w:szCs w:val="22"/>
              </w:rPr>
              <w:t>Marie de France and the Poetics of Memory</w:t>
            </w:r>
            <w:r w:rsidRPr="0068411F">
              <w:rPr>
                <w:rFonts w:ascii="Arial" w:hAnsi="Arial" w:cs="Arial"/>
                <w:sz w:val="22"/>
                <w:szCs w:val="22"/>
              </w:rPr>
              <w:t xml:space="preserve"> (Washington DC: Catholic University of America Press, 2008)</w:t>
            </w:r>
          </w:p>
        </w:tc>
        <w:tc>
          <w:tcPr>
            <w:tcW w:w="1366" w:type="dxa"/>
          </w:tcPr>
          <w:sdt>
            <w:sdtPr>
              <w:rPr>
                <w:rFonts w:ascii="Arial" w:hAnsi="Arial" w:cs="Arial"/>
                <w:sz w:val="22"/>
                <w:szCs w:val="22"/>
              </w:rPr>
              <w:id w:val="-1564100583"/>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Leslie C. Brook, ‘</w:t>
            </w:r>
            <w:proofErr w:type="spellStart"/>
            <w:r w:rsidRPr="0068411F">
              <w:rPr>
                <w:rFonts w:ascii="Arial" w:hAnsi="Arial" w:cs="Arial"/>
                <w:sz w:val="22"/>
                <w:szCs w:val="22"/>
              </w:rPr>
              <w:t>Guigemar</w:t>
            </w:r>
            <w:proofErr w:type="spellEnd"/>
            <w:r w:rsidRPr="0068411F">
              <w:rPr>
                <w:rFonts w:ascii="Arial" w:hAnsi="Arial" w:cs="Arial"/>
                <w:sz w:val="22"/>
                <w:szCs w:val="22"/>
              </w:rPr>
              <w:t xml:space="preserve"> and the White Hind’, </w:t>
            </w:r>
            <w:r w:rsidRPr="0068411F">
              <w:rPr>
                <w:rFonts w:ascii="Arial" w:hAnsi="Arial" w:cs="Arial"/>
                <w:i/>
                <w:sz w:val="22"/>
                <w:szCs w:val="22"/>
              </w:rPr>
              <w:t xml:space="preserve">Medium </w:t>
            </w:r>
            <w:proofErr w:type="spellStart"/>
            <w:r w:rsidRPr="0068411F">
              <w:rPr>
                <w:rFonts w:ascii="Arial" w:hAnsi="Arial" w:cs="Arial"/>
                <w:i/>
                <w:sz w:val="22"/>
                <w:szCs w:val="22"/>
              </w:rPr>
              <w:t>Aevum</w:t>
            </w:r>
            <w:proofErr w:type="spellEnd"/>
            <w:r w:rsidRPr="0068411F">
              <w:rPr>
                <w:rFonts w:ascii="Arial" w:hAnsi="Arial" w:cs="Arial"/>
                <w:sz w:val="22"/>
                <w:szCs w:val="22"/>
              </w:rPr>
              <w:t>, 56 (1987), 94-101</w:t>
            </w:r>
          </w:p>
        </w:tc>
        <w:tc>
          <w:tcPr>
            <w:tcW w:w="1366" w:type="dxa"/>
          </w:tcPr>
          <w:sdt>
            <w:sdtPr>
              <w:rPr>
                <w:rFonts w:ascii="Arial" w:hAnsi="Arial" w:cs="Arial"/>
                <w:sz w:val="22"/>
                <w:szCs w:val="22"/>
              </w:rPr>
              <w:id w:val="-374477027"/>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eastAsia="MS Gothic" w:hAnsi="Arial" w:cs="Arial"/>
                    <w:sz w:val="22"/>
                    <w:szCs w:val="22"/>
                  </w:rPr>
                </w:pPr>
                <w:r w:rsidRPr="0068411F">
                  <w:rPr>
                    <w:rFonts w:ascii="Segoe UI Symbol" w:eastAsia="MS Gothic" w:hAnsi="Segoe UI Symbol" w:cs="Segoe UI Symbol"/>
                    <w:sz w:val="22"/>
                    <w:szCs w:val="22"/>
                  </w:rPr>
                  <w:t>☐</w:t>
                </w:r>
              </w:p>
            </w:sdtContent>
          </w:sdt>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Glyn S. Burgess, </w:t>
            </w:r>
            <w:r w:rsidRPr="0068411F">
              <w:rPr>
                <w:rFonts w:ascii="Arial" w:hAnsi="Arial" w:cs="Arial"/>
                <w:i/>
                <w:sz w:val="22"/>
                <w:szCs w:val="22"/>
              </w:rPr>
              <w:t xml:space="preserve">The </w:t>
            </w:r>
            <w:proofErr w:type="spellStart"/>
            <w:r w:rsidRPr="0068411F">
              <w:rPr>
                <w:rFonts w:ascii="Arial" w:hAnsi="Arial" w:cs="Arial"/>
                <w:i/>
                <w:sz w:val="22"/>
                <w:szCs w:val="22"/>
              </w:rPr>
              <w:t>Lais</w:t>
            </w:r>
            <w:proofErr w:type="spellEnd"/>
            <w:r w:rsidRPr="0068411F">
              <w:rPr>
                <w:rFonts w:ascii="Arial" w:hAnsi="Arial" w:cs="Arial"/>
                <w:i/>
                <w:sz w:val="22"/>
                <w:szCs w:val="22"/>
              </w:rPr>
              <w:t xml:space="preserve"> of Marie de France: Text and Context</w:t>
            </w:r>
            <w:r w:rsidRPr="0068411F">
              <w:rPr>
                <w:rFonts w:ascii="Arial" w:hAnsi="Arial" w:cs="Arial"/>
                <w:sz w:val="22"/>
                <w:szCs w:val="22"/>
              </w:rPr>
              <w:t xml:space="preserve"> (Manchester: Manchester University Press, 1987)</w:t>
            </w:r>
          </w:p>
        </w:tc>
        <w:tc>
          <w:tcPr>
            <w:tcW w:w="1366" w:type="dxa"/>
          </w:tcPr>
          <w:sdt>
            <w:sdtPr>
              <w:rPr>
                <w:rFonts w:ascii="Arial" w:hAnsi="Arial" w:cs="Arial"/>
                <w:sz w:val="22"/>
                <w:szCs w:val="22"/>
              </w:rPr>
              <w:id w:val="-2105863138"/>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Norris J. Lacy and Joan Tasker </w:t>
            </w:r>
            <w:proofErr w:type="spellStart"/>
            <w:r w:rsidRPr="0068411F">
              <w:rPr>
                <w:rFonts w:ascii="Arial" w:hAnsi="Arial" w:cs="Arial"/>
                <w:sz w:val="22"/>
                <w:szCs w:val="22"/>
              </w:rPr>
              <w:t>Grimbert</w:t>
            </w:r>
            <w:proofErr w:type="spellEnd"/>
            <w:r w:rsidRPr="0068411F">
              <w:rPr>
                <w:rFonts w:ascii="Arial" w:hAnsi="Arial" w:cs="Arial"/>
                <w:sz w:val="22"/>
                <w:szCs w:val="22"/>
              </w:rPr>
              <w:t xml:space="preserve">, </w:t>
            </w:r>
            <w:proofErr w:type="spellStart"/>
            <w:r w:rsidRPr="0068411F">
              <w:rPr>
                <w:rFonts w:ascii="Arial" w:hAnsi="Arial" w:cs="Arial"/>
                <w:sz w:val="22"/>
                <w:szCs w:val="22"/>
              </w:rPr>
              <w:t>eds</w:t>
            </w:r>
            <w:proofErr w:type="spellEnd"/>
            <w:r w:rsidRPr="0068411F">
              <w:rPr>
                <w:rFonts w:ascii="Arial" w:hAnsi="Arial" w:cs="Arial"/>
                <w:sz w:val="22"/>
                <w:szCs w:val="22"/>
              </w:rPr>
              <w:t xml:space="preserve">, </w:t>
            </w:r>
            <w:r w:rsidRPr="0068411F">
              <w:rPr>
                <w:rFonts w:ascii="Arial" w:hAnsi="Arial" w:cs="Arial"/>
                <w:i/>
                <w:sz w:val="22"/>
                <w:szCs w:val="22"/>
              </w:rPr>
              <w:t>A Companion to Chrétien de Troyes</w:t>
            </w:r>
            <w:r w:rsidRPr="0068411F">
              <w:rPr>
                <w:rFonts w:ascii="Arial" w:hAnsi="Arial" w:cs="Arial"/>
                <w:sz w:val="22"/>
                <w:szCs w:val="22"/>
              </w:rPr>
              <w:t xml:space="preserve"> (Woodbridge: </w:t>
            </w:r>
            <w:proofErr w:type="spellStart"/>
            <w:r w:rsidRPr="0068411F">
              <w:rPr>
                <w:rFonts w:ascii="Arial" w:hAnsi="Arial" w:cs="Arial"/>
                <w:sz w:val="22"/>
                <w:szCs w:val="22"/>
              </w:rPr>
              <w:t>Boydell</w:t>
            </w:r>
            <w:proofErr w:type="spellEnd"/>
            <w:r w:rsidRPr="0068411F">
              <w:rPr>
                <w:rFonts w:ascii="Arial" w:hAnsi="Arial" w:cs="Arial"/>
                <w:sz w:val="22"/>
                <w:szCs w:val="22"/>
              </w:rPr>
              <w:t xml:space="preserve"> &amp; Brewer, 2005)</w:t>
            </w:r>
          </w:p>
        </w:tc>
        <w:tc>
          <w:tcPr>
            <w:tcW w:w="1366" w:type="dxa"/>
          </w:tcPr>
          <w:sdt>
            <w:sdtPr>
              <w:rPr>
                <w:rFonts w:ascii="Arial" w:hAnsi="Arial" w:cs="Arial"/>
                <w:sz w:val="22"/>
                <w:szCs w:val="22"/>
              </w:rPr>
              <w:id w:val="507724943"/>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Tony Hunt, </w:t>
            </w:r>
            <w:r w:rsidRPr="0068411F">
              <w:rPr>
                <w:rFonts w:ascii="Arial" w:hAnsi="Arial" w:cs="Arial"/>
                <w:i/>
                <w:sz w:val="22"/>
                <w:szCs w:val="22"/>
              </w:rPr>
              <w:t>Chrétien de Troyes, Yvain</w:t>
            </w:r>
            <w:r w:rsidRPr="0068411F">
              <w:rPr>
                <w:rFonts w:ascii="Arial" w:hAnsi="Arial" w:cs="Arial"/>
                <w:sz w:val="22"/>
                <w:szCs w:val="22"/>
              </w:rPr>
              <w:t>, Critical Guides to French Texts (London: Grant &amp; Cutler, 1986)</w:t>
            </w:r>
          </w:p>
        </w:tc>
        <w:tc>
          <w:tcPr>
            <w:tcW w:w="1366" w:type="dxa"/>
          </w:tcPr>
          <w:sdt>
            <w:sdtPr>
              <w:rPr>
                <w:rFonts w:ascii="Arial" w:hAnsi="Arial" w:cs="Arial"/>
                <w:sz w:val="22"/>
                <w:szCs w:val="22"/>
              </w:rPr>
              <w:id w:val="-324049975"/>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i/>
                <w:sz w:val="22"/>
                <w:szCs w:val="22"/>
              </w:rPr>
              <w:t>The Works of Sir Thomas Malory</w:t>
            </w:r>
            <w:r w:rsidRPr="0068411F">
              <w:rPr>
                <w:rFonts w:ascii="Arial" w:hAnsi="Arial" w:cs="Arial"/>
                <w:sz w:val="22"/>
                <w:szCs w:val="22"/>
              </w:rPr>
              <w:t xml:space="preserve">, ed. </w:t>
            </w:r>
            <w:proofErr w:type="spellStart"/>
            <w:r w:rsidRPr="0068411F">
              <w:rPr>
                <w:rFonts w:ascii="Arial" w:hAnsi="Arial" w:cs="Arial"/>
                <w:sz w:val="22"/>
                <w:szCs w:val="22"/>
              </w:rPr>
              <w:t>Eugène</w:t>
            </w:r>
            <w:proofErr w:type="spellEnd"/>
            <w:r w:rsidRPr="0068411F">
              <w:rPr>
                <w:rFonts w:ascii="Arial" w:hAnsi="Arial" w:cs="Arial"/>
                <w:sz w:val="22"/>
                <w:szCs w:val="22"/>
              </w:rPr>
              <w:t xml:space="preserve"> </w:t>
            </w:r>
            <w:proofErr w:type="spellStart"/>
            <w:r w:rsidRPr="0068411F">
              <w:rPr>
                <w:rFonts w:ascii="Arial" w:hAnsi="Arial" w:cs="Arial"/>
                <w:sz w:val="22"/>
                <w:szCs w:val="22"/>
              </w:rPr>
              <w:t>Vinaver</w:t>
            </w:r>
            <w:proofErr w:type="spellEnd"/>
            <w:r w:rsidRPr="0068411F">
              <w:rPr>
                <w:rFonts w:ascii="Arial" w:hAnsi="Arial" w:cs="Arial"/>
                <w:sz w:val="22"/>
                <w:szCs w:val="22"/>
              </w:rPr>
              <w:t xml:space="preserve">, 3 </w:t>
            </w:r>
            <w:proofErr w:type="spellStart"/>
            <w:r w:rsidRPr="0068411F">
              <w:rPr>
                <w:rFonts w:ascii="Arial" w:hAnsi="Arial" w:cs="Arial"/>
                <w:sz w:val="22"/>
                <w:szCs w:val="22"/>
              </w:rPr>
              <w:t>vols</w:t>
            </w:r>
            <w:proofErr w:type="spellEnd"/>
            <w:r w:rsidRPr="0068411F">
              <w:rPr>
                <w:rFonts w:ascii="Arial" w:hAnsi="Arial" w:cs="Arial"/>
                <w:sz w:val="22"/>
                <w:szCs w:val="22"/>
              </w:rPr>
              <w:t xml:space="preserve">, 3rd </w:t>
            </w:r>
            <w:proofErr w:type="spellStart"/>
            <w:r w:rsidRPr="0068411F">
              <w:rPr>
                <w:rFonts w:ascii="Arial" w:hAnsi="Arial" w:cs="Arial"/>
                <w:sz w:val="22"/>
                <w:szCs w:val="22"/>
              </w:rPr>
              <w:t>edn</w:t>
            </w:r>
            <w:proofErr w:type="spellEnd"/>
            <w:r w:rsidRPr="0068411F">
              <w:rPr>
                <w:rFonts w:ascii="Arial" w:hAnsi="Arial" w:cs="Arial"/>
                <w:sz w:val="22"/>
                <w:szCs w:val="22"/>
              </w:rPr>
              <w:t xml:space="preserve"> rev. by P.J.C. Field (Oxford: Clarendon Press, 1990)</w:t>
            </w:r>
          </w:p>
        </w:tc>
        <w:tc>
          <w:tcPr>
            <w:tcW w:w="1366" w:type="dxa"/>
          </w:tcPr>
          <w:sdt>
            <w:sdtPr>
              <w:rPr>
                <w:rFonts w:ascii="Arial" w:hAnsi="Arial" w:cs="Arial"/>
                <w:sz w:val="22"/>
                <w:szCs w:val="22"/>
              </w:rPr>
              <w:id w:val="2126190864"/>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lastRenderedPageBreak/>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P.J.C. Field, </w:t>
            </w:r>
            <w:r w:rsidRPr="0068411F">
              <w:rPr>
                <w:rFonts w:ascii="Arial" w:hAnsi="Arial" w:cs="Arial"/>
                <w:i/>
                <w:sz w:val="22"/>
                <w:szCs w:val="22"/>
              </w:rPr>
              <w:t>The Life and Times of Sir Thomas Malory</w:t>
            </w:r>
            <w:r w:rsidRPr="0068411F">
              <w:rPr>
                <w:rFonts w:ascii="Arial" w:hAnsi="Arial" w:cs="Arial"/>
                <w:sz w:val="22"/>
                <w:szCs w:val="22"/>
              </w:rPr>
              <w:t>, Arthurian studies, 29 (Cambridge: D.S. Brewer, 1993)</w:t>
            </w:r>
          </w:p>
        </w:tc>
        <w:tc>
          <w:tcPr>
            <w:tcW w:w="1366" w:type="dxa"/>
          </w:tcPr>
          <w:sdt>
            <w:sdtPr>
              <w:rPr>
                <w:rFonts w:ascii="Arial" w:hAnsi="Arial" w:cs="Arial"/>
                <w:sz w:val="22"/>
                <w:szCs w:val="22"/>
              </w:rPr>
              <w:id w:val="-1119287719"/>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Karen </w:t>
            </w:r>
            <w:proofErr w:type="spellStart"/>
            <w:r w:rsidRPr="0068411F">
              <w:rPr>
                <w:rFonts w:ascii="Arial" w:hAnsi="Arial" w:cs="Arial"/>
                <w:sz w:val="22"/>
                <w:szCs w:val="22"/>
              </w:rPr>
              <w:t>Cherewatuk</w:t>
            </w:r>
            <w:proofErr w:type="spellEnd"/>
            <w:r w:rsidRPr="0068411F">
              <w:rPr>
                <w:rFonts w:ascii="Arial" w:hAnsi="Arial" w:cs="Arial"/>
                <w:sz w:val="22"/>
                <w:szCs w:val="22"/>
              </w:rPr>
              <w:t xml:space="preserve">, </w:t>
            </w:r>
            <w:r w:rsidRPr="0068411F">
              <w:rPr>
                <w:rFonts w:ascii="Arial" w:hAnsi="Arial" w:cs="Arial"/>
                <w:i/>
                <w:sz w:val="22"/>
                <w:szCs w:val="22"/>
              </w:rPr>
              <w:t>Marriage, Adultery and Inheritance in Malory’s ‘</w:t>
            </w:r>
            <w:proofErr w:type="spellStart"/>
            <w:r w:rsidRPr="0068411F">
              <w:rPr>
                <w:rFonts w:ascii="Arial" w:hAnsi="Arial" w:cs="Arial"/>
                <w:i/>
                <w:sz w:val="22"/>
                <w:szCs w:val="22"/>
              </w:rPr>
              <w:t>Morte</w:t>
            </w:r>
            <w:proofErr w:type="spellEnd"/>
            <w:r w:rsidRPr="0068411F">
              <w:rPr>
                <w:rFonts w:ascii="Arial" w:hAnsi="Arial" w:cs="Arial"/>
                <w:i/>
                <w:sz w:val="22"/>
                <w:szCs w:val="22"/>
              </w:rPr>
              <w:t xml:space="preserve"> </w:t>
            </w:r>
            <w:proofErr w:type="spellStart"/>
            <w:r w:rsidRPr="0068411F">
              <w:rPr>
                <w:rFonts w:ascii="Arial" w:hAnsi="Arial" w:cs="Arial"/>
                <w:i/>
                <w:sz w:val="22"/>
                <w:szCs w:val="22"/>
              </w:rPr>
              <w:t>Darthur</w:t>
            </w:r>
            <w:proofErr w:type="spellEnd"/>
            <w:r w:rsidRPr="0068411F">
              <w:rPr>
                <w:rFonts w:ascii="Arial" w:hAnsi="Arial" w:cs="Arial"/>
                <w:i/>
                <w:sz w:val="22"/>
                <w:szCs w:val="22"/>
              </w:rPr>
              <w:t>’</w:t>
            </w:r>
            <w:r w:rsidRPr="0068411F">
              <w:rPr>
                <w:rFonts w:ascii="Arial" w:hAnsi="Arial" w:cs="Arial"/>
                <w:sz w:val="22"/>
                <w:szCs w:val="22"/>
              </w:rPr>
              <w:t xml:space="preserve"> (Woodbridge: </w:t>
            </w:r>
            <w:proofErr w:type="spellStart"/>
            <w:r w:rsidRPr="0068411F">
              <w:rPr>
                <w:rFonts w:ascii="Arial" w:hAnsi="Arial" w:cs="Arial"/>
                <w:sz w:val="22"/>
                <w:szCs w:val="22"/>
              </w:rPr>
              <w:t>Boydell</w:t>
            </w:r>
            <w:proofErr w:type="spellEnd"/>
            <w:r w:rsidRPr="0068411F">
              <w:rPr>
                <w:rFonts w:ascii="Arial" w:hAnsi="Arial" w:cs="Arial"/>
                <w:sz w:val="22"/>
                <w:szCs w:val="22"/>
              </w:rPr>
              <w:t xml:space="preserve"> &amp; Brewer, 2006)</w:t>
            </w:r>
          </w:p>
        </w:tc>
        <w:tc>
          <w:tcPr>
            <w:tcW w:w="1366" w:type="dxa"/>
          </w:tcPr>
          <w:sdt>
            <w:sdtPr>
              <w:rPr>
                <w:rFonts w:ascii="Arial" w:hAnsi="Arial" w:cs="Arial"/>
                <w:sz w:val="22"/>
                <w:szCs w:val="22"/>
              </w:rPr>
              <w:id w:val="-982850413"/>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Ralph Norris, </w:t>
            </w:r>
            <w:r w:rsidRPr="0068411F">
              <w:rPr>
                <w:rFonts w:ascii="Arial" w:hAnsi="Arial" w:cs="Arial"/>
                <w:i/>
                <w:sz w:val="22"/>
                <w:szCs w:val="22"/>
              </w:rPr>
              <w:t>Malory’s Library: The Sources of the ‘</w:t>
            </w:r>
            <w:proofErr w:type="spellStart"/>
            <w:r w:rsidRPr="0068411F">
              <w:rPr>
                <w:rFonts w:ascii="Arial" w:hAnsi="Arial" w:cs="Arial"/>
                <w:i/>
                <w:sz w:val="22"/>
                <w:szCs w:val="22"/>
              </w:rPr>
              <w:t>Morte</w:t>
            </w:r>
            <w:proofErr w:type="spellEnd"/>
            <w:r w:rsidRPr="0068411F">
              <w:rPr>
                <w:rFonts w:ascii="Arial" w:hAnsi="Arial" w:cs="Arial"/>
                <w:i/>
                <w:sz w:val="22"/>
                <w:szCs w:val="22"/>
              </w:rPr>
              <w:t xml:space="preserve"> </w:t>
            </w:r>
            <w:proofErr w:type="spellStart"/>
            <w:r w:rsidRPr="0068411F">
              <w:rPr>
                <w:rFonts w:ascii="Arial" w:hAnsi="Arial" w:cs="Arial"/>
                <w:i/>
                <w:sz w:val="22"/>
                <w:szCs w:val="22"/>
              </w:rPr>
              <w:t>Darthur</w:t>
            </w:r>
            <w:proofErr w:type="spellEnd"/>
            <w:r w:rsidRPr="0068411F">
              <w:rPr>
                <w:rFonts w:ascii="Arial" w:hAnsi="Arial" w:cs="Arial"/>
                <w:i/>
                <w:sz w:val="22"/>
                <w:szCs w:val="22"/>
              </w:rPr>
              <w:t>’</w:t>
            </w:r>
            <w:r w:rsidRPr="0068411F">
              <w:rPr>
                <w:rFonts w:ascii="Arial" w:hAnsi="Arial" w:cs="Arial"/>
                <w:sz w:val="22"/>
                <w:szCs w:val="22"/>
              </w:rPr>
              <w:t xml:space="preserve"> (Woodbridge: </w:t>
            </w:r>
            <w:proofErr w:type="spellStart"/>
            <w:r w:rsidRPr="0068411F">
              <w:rPr>
                <w:rFonts w:ascii="Arial" w:hAnsi="Arial" w:cs="Arial"/>
                <w:sz w:val="22"/>
                <w:szCs w:val="22"/>
              </w:rPr>
              <w:t>Boydell</w:t>
            </w:r>
            <w:proofErr w:type="spellEnd"/>
            <w:r w:rsidRPr="0068411F">
              <w:rPr>
                <w:rFonts w:ascii="Arial" w:hAnsi="Arial" w:cs="Arial"/>
                <w:sz w:val="22"/>
                <w:szCs w:val="22"/>
              </w:rPr>
              <w:t xml:space="preserve"> &amp; Brewer, 2008)</w:t>
            </w:r>
          </w:p>
        </w:tc>
        <w:tc>
          <w:tcPr>
            <w:tcW w:w="1366" w:type="dxa"/>
          </w:tcPr>
          <w:sdt>
            <w:sdtPr>
              <w:rPr>
                <w:rFonts w:ascii="Arial" w:hAnsi="Arial" w:cs="Arial"/>
                <w:sz w:val="22"/>
                <w:szCs w:val="22"/>
              </w:rPr>
              <w:id w:val="969403187"/>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Pr>
                <w:rFonts w:ascii="Arial" w:hAnsi="Arial" w:cs="Arial"/>
                <w:sz w:val="22"/>
                <w:szCs w:val="22"/>
              </w:rPr>
              <w:t>Gilmore, John T. Satire. The New Critical Idiom series. London: Routledge, 2018.</w:t>
            </w:r>
          </w:p>
        </w:tc>
        <w:tc>
          <w:tcPr>
            <w:tcW w:w="1366" w:type="dxa"/>
          </w:tcPr>
          <w:sdt>
            <w:sdtPr>
              <w:rPr>
                <w:rFonts w:ascii="Arial" w:hAnsi="Arial" w:cs="Arial"/>
                <w:sz w:val="22"/>
                <w:szCs w:val="22"/>
              </w:rPr>
              <w:id w:val="-66350995"/>
              <w14:checkbox>
                <w14:checked w14:val="1"/>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proofErr w:type="spellStart"/>
            <w:r w:rsidRPr="0068411F">
              <w:rPr>
                <w:rFonts w:ascii="Arial" w:hAnsi="Arial" w:cs="Arial"/>
                <w:sz w:val="22"/>
                <w:szCs w:val="22"/>
              </w:rPr>
              <w:t>Piero</w:t>
            </w:r>
            <w:proofErr w:type="spellEnd"/>
            <w:r w:rsidRPr="0068411F">
              <w:rPr>
                <w:rFonts w:ascii="Arial" w:hAnsi="Arial" w:cs="Arial"/>
                <w:sz w:val="22"/>
                <w:szCs w:val="22"/>
              </w:rPr>
              <w:t xml:space="preserve"> </w:t>
            </w:r>
            <w:proofErr w:type="spellStart"/>
            <w:r w:rsidRPr="0068411F">
              <w:rPr>
                <w:rFonts w:ascii="Arial" w:hAnsi="Arial" w:cs="Arial"/>
                <w:sz w:val="22"/>
                <w:szCs w:val="22"/>
              </w:rPr>
              <w:t>Boitani</w:t>
            </w:r>
            <w:proofErr w:type="spellEnd"/>
            <w:r w:rsidRPr="0068411F">
              <w:rPr>
                <w:rFonts w:ascii="Arial" w:hAnsi="Arial" w:cs="Arial"/>
                <w:sz w:val="22"/>
                <w:szCs w:val="22"/>
              </w:rPr>
              <w:t xml:space="preserve"> and Jill Mann, </w:t>
            </w:r>
            <w:proofErr w:type="spellStart"/>
            <w:r w:rsidRPr="0068411F">
              <w:rPr>
                <w:rFonts w:ascii="Arial" w:hAnsi="Arial" w:cs="Arial"/>
                <w:sz w:val="22"/>
                <w:szCs w:val="22"/>
              </w:rPr>
              <w:t>eds</w:t>
            </w:r>
            <w:proofErr w:type="spellEnd"/>
            <w:r w:rsidRPr="0068411F">
              <w:rPr>
                <w:rFonts w:ascii="Arial" w:hAnsi="Arial" w:cs="Arial"/>
                <w:sz w:val="22"/>
                <w:szCs w:val="22"/>
              </w:rPr>
              <w:t xml:space="preserve">, </w:t>
            </w:r>
            <w:r w:rsidRPr="0068411F">
              <w:rPr>
                <w:rFonts w:ascii="Arial" w:hAnsi="Arial" w:cs="Arial"/>
                <w:i/>
                <w:sz w:val="22"/>
                <w:szCs w:val="22"/>
              </w:rPr>
              <w:t>The Cambridge Chaucer Companion</w:t>
            </w:r>
            <w:r w:rsidRPr="0068411F">
              <w:rPr>
                <w:rFonts w:ascii="Arial" w:hAnsi="Arial" w:cs="Arial"/>
                <w:sz w:val="22"/>
                <w:szCs w:val="22"/>
              </w:rPr>
              <w:t xml:space="preserve">,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(Cambridge: Cambridge University Press, 2006)</w:t>
            </w:r>
          </w:p>
        </w:tc>
        <w:tc>
          <w:tcPr>
            <w:tcW w:w="1366" w:type="dxa"/>
          </w:tcPr>
          <w:sdt>
            <w:sdtPr>
              <w:rPr>
                <w:rFonts w:ascii="Arial" w:hAnsi="Arial" w:cs="Arial"/>
                <w:sz w:val="22"/>
                <w:szCs w:val="22"/>
              </w:rPr>
              <w:id w:val="1709372352"/>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Helen Cooper, </w:t>
            </w:r>
            <w:r w:rsidRPr="0068411F">
              <w:rPr>
                <w:rFonts w:ascii="Arial" w:hAnsi="Arial" w:cs="Arial"/>
                <w:i/>
                <w:sz w:val="22"/>
                <w:szCs w:val="22"/>
              </w:rPr>
              <w:t>The Canterbury Tales</w:t>
            </w:r>
            <w:r w:rsidRPr="0068411F">
              <w:rPr>
                <w:rFonts w:ascii="Arial" w:hAnsi="Arial" w:cs="Arial"/>
                <w:sz w:val="22"/>
                <w:szCs w:val="22"/>
              </w:rPr>
              <w:t xml:space="preserve">, Oxford Guides to Chaucer,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(Oxford: Clarendon Press, 1996)</w:t>
            </w:r>
          </w:p>
        </w:tc>
        <w:tc>
          <w:tcPr>
            <w:tcW w:w="1366" w:type="dxa"/>
          </w:tcPr>
          <w:sdt>
            <w:sdtPr>
              <w:rPr>
                <w:rFonts w:ascii="Arial" w:hAnsi="Arial" w:cs="Arial"/>
                <w:sz w:val="22"/>
                <w:szCs w:val="22"/>
              </w:rPr>
              <w:id w:val="2138753339"/>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A.J. </w:t>
            </w:r>
            <w:proofErr w:type="spellStart"/>
            <w:r w:rsidRPr="0068411F">
              <w:rPr>
                <w:rFonts w:ascii="Arial" w:hAnsi="Arial" w:cs="Arial"/>
                <w:sz w:val="22"/>
                <w:szCs w:val="22"/>
              </w:rPr>
              <w:t>Minnis</w:t>
            </w:r>
            <w:proofErr w:type="spellEnd"/>
            <w:r w:rsidRPr="0068411F">
              <w:rPr>
                <w:rFonts w:ascii="Arial" w:hAnsi="Arial" w:cs="Arial"/>
                <w:sz w:val="22"/>
                <w:szCs w:val="22"/>
              </w:rPr>
              <w:t xml:space="preserve">, ‘Chaucer’s Pardoner and the “Office of Preacher”’, in </w:t>
            </w:r>
            <w:r w:rsidRPr="0068411F">
              <w:rPr>
                <w:rFonts w:ascii="Arial" w:hAnsi="Arial" w:cs="Arial"/>
                <w:i/>
                <w:sz w:val="22"/>
                <w:szCs w:val="22"/>
              </w:rPr>
              <w:t>Intellectuals and Writers in Fourteenth-Century Europe</w:t>
            </w:r>
            <w:r w:rsidRPr="0068411F">
              <w:rPr>
                <w:rFonts w:ascii="Arial" w:hAnsi="Arial" w:cs="Arial"/>
                <w:sz w:val="22"/>
                <w:szCs w:val="22"/>
              </w:rPr>
              <w:t xml:space="preserve">, ed. By P. </w:t>
            </w:r>
            <w:proofErr w:type="spellStart"/>
            <w:r w:rsidRPr="0068411F">
              <w:rPr>
                <w:rFonts w:ascii="Arial" w:hAnsi="Arial" w:cs="Arial"/>
                <w:sz w:val="22"/>
                <w:szCs w:val="22"/>
              </w:rPr>
              <w:t>Boitani</w:t>
            </w:r>
            <w:proofErr w:type="spellEnd"/>
            <w:r w:rsidRPr="0068411F">
              <w:rPr>
                <w:rFonts w:ascii="Arial" w:hAnsi="Arial" w:cs="Arial"/>
                <w:sz w:val="22"/>
                <w:szCs w:val="22"/>
              </w:rPr>
              <w:t xml:space="preserve"> and A. </w:t>
            </w:r>
            <w:proofErr w:type="spellStart"/>
            <w:r w:rsidRPr="0068411F">
              <w:rPr>
                <w:rFonts w:ascii="Arial" w:hAnsi="Arial" w:cs="Arial"/>
                <w:sz w:val="22"/>
                <w:szCs w:val="22"/>
              </w:rPr>
              <w:t>Torti</w:t>
            </w:r>
            <w:proofErr w:type="spellEnd"/>
            <w:r w:rsidRPr="0068411F">
              <w:rPr>
                <w:rFonts w:ascii="Arial" w:hAnsi="Arial" w:cs="Arial"/>
                <w:sz w:val="22"/>
                <w:szCs w:val="22"/>
              </w:rPr>
              <w:t xml:space="preserve"> (</w:t>
            </w:r>
            <w:proofErr w:type="spellStart"/>
            <w:r w:rsidRPr="0068411F">
              <w:rPr>
                <w:rFonts w:ascii="Arial" w:hAnsi="Arial" w:cs="Arial"/>
                <w:sz w:val="22"/>
                <w:szCs w:val="22"/>
              </w:rPr>
              <w:t>Tübingen</w:t>
            </w:r>
            <w:proofErr w:type="spellEnd"/>
            <w:r w:rsidRPr="0068411F">
              <w:rPr>
                <w:rFonts w:ascii="Arial" w:hAnsi="Arial" w:cs="Arial"/>
                <w:sz w:val="22"/>
                <w:szCs w:val="22"/>
              </w:rPr>
              <w:t xml:space="preserve"> and Cambridge: Brewer, 1986), pp. 88-119</w:t>
            </w:r>
          </w:p>
        </w:tc>
        <w:tc>
          <w:tcPr>
            <w:tcW w:w="1366" w:type="dxa"/>
          </w:tcPr>
          <w:sdt>
            <w:sdtPr>
              <w:rPr>
                <w:rFonts w:ascii="Arial" w:hAnsi="Arial" w:cs="Arial"/>
                <w:sz w:val="22"/>
                <w:szCs w:val="22"/>
              </w:rPr>
              <w:id w:val="1429073105"/>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Pamela M. King, </w:t>
            </w:r>
            <w:r w:rsidRPr="0068411F">
              <w:rPr>
                <w:rFonts w:ascii="Arial" w:hAnsi="Arial" w:cs="Arial"/>
                <w:i/>
                <w:sz w:val="22"/>
                <w:szCs w:val="22"/>
              </w:rPr>
              <w:t>The York Mystery Cycle and the Worship of the City</w:t>
            </w:r>
            <w:r w:rsidRPr="0068411F">
              <w:rPr>
                <w:rFonts w:ascii="Arial" w:hAnsi="Arial" w:cs="Arial"/>
                <w:sz w:val="22"/>
                <w:szCs w:val="22"/>
              </w:rPr>
              <w:t xml:space="preserve"> (Woodbridge: </w:t>
            </w:r>
            <w:proofErr w:type="spellStart"/>
            <w:r w:rsidRPr="0068411F">
              <w:rPr>
                <w:rFonts w:ascii="Arial" w:hAnsi="Arial" w:cs="Arial"/>
                <w:sz w:val="22"/>
                <w:szCs w:val="22"/>
              </w:rPr>
              <w:t>Boydell</w:t>
            </w:r>
            <w:proofErr w:type="spellEnd"/>
            <w:r w:rsidRPr="0068411F">
              <w:rPr>
                <w:rFonts w:ascii="Arial" w:hAnsi="Arial" w:cs="Arial"/>
                <w:sz w:val="22"/>
                <w:szCs w:val="22"/>
              </w:rPr>
              <w:t xml:space="preserve"> &amp; Brewer, 2006)</w:t>
            </w:r>
          </w:p>
        </w:tc>
        <w:tc>
          <w:tcPr>
            <w:tcW w:w="1366" w:type="dxa"/>
          </w:tcPr>
          <w:sdt>
            <w:sdtPr>
              <w:rPr>
                <w:rFonts w:ascii="Arial" w:hAnsi="Arial" w:cs="Arial"/>
                <w:sz w:val="22"/>
                <w:szCs w:val="22"/>
              </w:rPr>
              <w:id w:val="1748999351"/>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Catherine Bates, </w:t>
            </w:r>
            <w:r w:rsidRPr="0068411F">
              <w:rPr>
                <w:rFonts w:ascii="Arial" w:hAnsi="Arial" w:cs="Arial"/>
                <w:i/>
                <w:sz w:val="22"/>
                <w:szCs w:val="22"/>
              </w:rPr>
              <w:t>Masculinity and the Hunt: Wyatt to Spenser</w:t>
            </w:r>
            <w:r w:rsidRPr="0068411F">
              <w:rPr>
                <w:rFonts w:ascii="Arial" w:hAnsi="Arial" w:cs="Arial"/>
                <w:sz w:val="22"/>
                <w:szCs w:val="22"/>
              </w:rPr>
              <w:t xml:space="preserve"> (Oxford: Oxford University Press, 2013)</w:t>
            </w:r>
          </w:p>
        </w:tc>
        <w:tc>
          <w:tcPr>
            <w:tcW w:w="1366" w:type="dxa"/>
          </w:tcPr>
          <w:sdt>
            <w:sdtPr>
              <w:rPr>
                <w:rFonts w:ascii="Arial" w:hAnsi="Arial" w:cs="Arial"/>
                <w:sz w:val="22"/>
                <w:szCs w:val="22"/>
              </w:rPr>
              <w:id w:val="-2017833749"/>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Chris </w:t>
            </w:r>
            <w:proofErr w:type="spellStart"/>
            <w:r w:rsidRPr="0068411F">
              <w:rPr>
                <w:rFonts w:ascii="Arial" w:hAnsi="Arial" w:cs="Arial"/>
                <w:sz w:val="22"/>
                <w:szCs w:val="22"/>
              </w:rPr>
              <w:t>Stamatakis</w:t>
            </w:r>
            <w:proofErr w:type="spellEnd"/>
            <w:r w:rsidRPr="0068411F">
              <w:rPr>
                <w:rFonts w:ascii="Arial" w:hAnsi="Arial" w:cs="Arial"/>
                <w:sz w:val="22"/>
                <w:szCs w:val="22"/>
              </w:rPr>
              <w:t xml:space="preserve">, </w:t>
            </w:r>
            <w:r w:rsidRPr="0068411F">
              <w:rPr>
                <w:rFonts w:ascii="Arial" w:hAnsi="Arial" w:cs="Arial"/>
                <w:i/>
                <w:sz w:val="22"/>
                <w:szCs w:val="22"/>
              </w:rPr>
              <w:t>Sir Thomas Wyatt and the Rhetoric of Rewriting: ‘Turning the Word’</w:t>
            </w:r>
            <w:r w:rsidRPr="0068411F">
              <w:rPr>
                <w:rFonts w:ascii="Arial" w:hAnsi="Arial" w:cs="Arial"/>
                <w:sz w:val="22"/>
                <w:szCs w:val="22"/>
              </w:rPr>
              <w:t xml:space="preserve"> (Oxford: Oxford University Press, 2012)</w:t>
            </w:r>
          </w:p>
        </w:tc>
        <w:tc>
          <w:tcPr>
            <w:tcW w:w="1366" w:type="dxa"/>
          </w:tcPr>
          <w:sdt>
            <w:sdtPr>
              <w:rPr>
                <w:rFonts w:ascii="Arial" w:hAnsi="Arial" w:cs="Arial"/>
                <w:sz w:val="22"/>
                <w:szCs w:val="22"/>
              </w:rPr>
              <w:id w:val="737831819"/>
              <w14:checkbox>
                <w14:checked w14:val="1"/>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A.C. Hamilton, ed., </w:t>
            </w:r>
            <w:r w:rsidRPr="0068411F">
              <w:rPr>
                <w:rFonts w:ascii="Arial" w:hAnsi="Arial" w:cs="Arial"/>
                <w:i/>
                <w:sz w:val="22"/>
                <w:szCs w:val="22"/>
              </w:rPr>
              <w:t>The Spenser Encyclopaedia</w:t>
            </w:r>
            <w:r w:rsidRPr="0068411F">
              <w:rPr>
                <w:rFonts w:ascii="Arial" w:hAnsi="Arial" w:cs="Arial"/>
                <w:sz w:val="22"/>
                <w:szCs w:val="22"/>
              </w:rPr>
              <w:t xml:space="preserve"> (Toronto: University of London Press, 1990)</w:t>
            </w:r>
          </w:p>
        </w:tc>
        <w:tc>
          <w:tcPr>
            <w:tcW w:w="1366" w:type="dxa"/>
          </w:tcPr>
          <w:sdt>
            <w:sdtPr>
              <w:rPr>
                <w:rFonts w:ascii="Arial" w:hAnsi="Arial" w:cs="Arial"/>
                <w:sz w:val="22"/>
                <w:szCs w:val="22"/>
              </w:rPr>
              <w:id w:val="162442988"/>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Richard A. McCabe, </w:t>
            </w:r>
            <w:r w:rsidRPr="0068411F">
              <w:rPr>
                <w:rFonts w:ascii="Arial" w:hAnsi="Arial" w:cs="Arial"/>
                <w:i/>
                <w:sz w:val="22"/>
                <w:szCs w:val="22"/>
              </w:rPr>
              <w:t>The Oxford Handbook of Edmund Spenser</w:t>
            </w:r>
            <w:r w:rsidRPr="0068411F">
              <w:rPr>
                <w:rFonts w:ascii="Arial" w:hAnsi="Arial" w:cs="Arial"/>
                <w:sz w:val="22"/>
                <w:szCs w:val="22"/>
              </w:rPr>
              <w:t xml:space="preserve"> (Oxford: Oxford University Press, 2010)</w:t>
            </w:r>
          </w:p>
        </w:tc>
        <w:tc>
          <w:tcPr>
            <w:tcW w:w="1366" w:type="dxa"/>
          </w:tcPr>
          <w:sdt>
            <w:sdtPr>
              <w:rPr>
                <w:rFonts w:ascii="Arial" w:hAnsi="Arial" w:cs="Arial"/>
                <w:sz w:val="22"/>
                <w:szCs w:val="22"/>
              </w:rPr>
              <w:id w:val="-1977988"/>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Elizabeth </w:t>
            </w:r>
            <w:proofErr w:type="spellStart"/>
            <w:r w:rsidRPr="0068411F">
              <w:rPr>
                <w:rFonts w:ascii="Arial" w:hAnsi="Arial" w:cs="Arial"/>
                <w:sz w:val="22"/>
                <w:szCs w:val="22"/>
              </w:rPr>
              <w:t>Heale</w:t>
            </w:r>
            <w:proofErr w:type="spellEnd"/>
            <w:r w:rsidRPr="0068411F">
              <w:rPr>
                <w:rFonts w:ascii="Arial" w:hAnsi="Arial" w:cs="Arial"/>
                <w:sz w:val="22"/>
                <w:szCs w:val="22"/>
              </w:rPr>
              <w:t xml:space="preserve">, </w:t>
            </w:r>
            <w:r w:rsidRPr="0068411F">
              <w:rPr>
                <w:rFonts w:ascii="Arial" w:hAnsi="Arial" w:cs="Arial"/>
                <w:i/>
                <w:sz w:val="22"/>
                <w:szCs w:val="22"/>
              </w:rPr>
              <w:t xml:space="preserve">‘The Faerie </w:t>
            </w:r>
            <w:proofErr w:type="spellStart"/>
            <w:r w:rsidRPr="0068411F">
              <w:rPr>
                <w:rFonts w:ascii="Arial" w:hAnsi="Arial" w:cs="Arial"/>
                <w:i/>
                <w:sz w:val="22"/>
                <w:szCs w:val="22"/>
              </w:rPr>
              <w:t>Queene</w:t>
            </w:r>
            <w:proofErr w:type="spellEnd"/>
            <w:r w:rsidRPr="0068411F">
              <w:rPr>
                <w:rFonts w:ascii="Arial" w:hAnsi="Arial" w:cs="Arial"/>
                <w:i/>
                <w:sz w:val="22"/>
                <w:szCs w:val="22"/>
              </w:rPr>
              <w:t>’: A Reader’s Guide</w:t>
            </w:r>
            <w:r w:rsidRPr="0068411F">
              <w:rPr>
                <w:rFonts w:ascii="Arial" w:hAnsi="Arial" w:cs="Arial"/>
                <w:sz w:val="22"/>
                <w:szCs w:val="22"/>
              </w:rPr>
              <w:t xml:space="preserve"> (Cambridge: Cambridge University Press, 1987; </w:t>
            </w:r>
            <w:proofErr w:type="spellStart"/>
            <w:r w:rsidRPr="0068411F">
              <w:rPr>
                <w:rFonts w:ascii="Arial" w:hAnsi="Arial" w:cs="Arial"/>
                <w:sz w:val="22"/>
                <w:szCs w:val="22"/>
              </w:rPr>
              <w:t>repr</w:t>
            </w:r>
            <w:proofErr w:type="spellEnd"/>
            <w:r w:rsidRPr="0068411F">
              <w:rPr>
                <w:rFonts w:ascii="Arial" w:hAnsi="Arial" w:cs="Arial"/>
                <w:sz w:val="22"/>
                <w:szCs w:val="22"/>
              </w:rPr>
              <w:t>. 1996)</w:t>
            </w:r>
          </w:p>
        </w:tc>
        <w:tc>
          <w:tcPr>
            <w:tcW w:w="1366" w:type="dxa"/>
          </w:tcPr>
          <w:sdt>
            <w:sdtPr>
              <w:rPr>
                <w:rFonts w:ascii="Arial" w:hAnsi="Arial" w:cs="Arial"/>
                <w:sz w:val="22"/>
                <w:szCs w:val="22"/>
              </w:rPr>
              <w:id w:val="-612058950"/>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Helen Cooper, </w:t>
            </w:r>
            <w:r w:rsidRPr="0068411F">
              <w:rPr>
                <w:rFonts w:ascii="Arial" w:hAnsi="Arial" w:cs="Arial"/>
                <w:i/>
                <w:sz w:val="22"/>
                <w:szCs w:val="22"/>
              </w:rPr>
              <w:t>The English Romance in Time: Transforming Motifs from Geoffrey of Monmouth to the Death of Shakespeare</w:t>
            </w:r>
            <w:r w:rsidRPr="0068411F">
              <w:rPr>
                <w:rFonts w:ascii="Arial" w:hAnsi="Arial" w:cs="Arial"/>
                <w:sz w:val="22"/>
                <w:szCs w:val="22"/>
              </w:rPr>
              <w:t xml:space="preserve"> (Oxford: Oxford University Press, 2004)</w:t>
            </w:r>
          </w:p>
        </w:tc>
        <w:tc>
          <w:tcPr>
            <w:tcW w:w="1366" w:type="dxa"/>
          </w:tcPr>
          <w:sdt>
            <w:sdtPr>
              <w:rPr>
                <w:rFonts w:ascii="Arial" w:hAnsi="Arial" w:cs="Arial"/>
                <w:sz w:val="22"/>
                <w:szCs w:val="22"/>
              </w:rPr>
              <w:id w:val="399951698"/>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r w:rsidR="00160496" w:rsidRPr="0068411F" w:rsidTr="00E7663E">
        <w:tc>
          <w:tcPr>
            <w:tcW w:w="1689"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rsidR="00160496" w:rsidRPr="0068411F" w:rsidRDefault="00160496" w:rsidP="00E7663E">
            <w:pPr>
              <w:tabs>
                <w:tab w:val="num" w:pos="720"/>
                <w:tab w:val="left" w:pos="1440"/>
              </w:tabs>
              <w:rPr>
                <w:rFonts w:ascii="Arial" w:hAnsi="Arial" w:cs="Arial"/>
                <w:sz w:val="22"/>
                <w:szCs w:val="22"/>
              </w:rPr>
            </w:pPr>
            <w:r w:rsidRPr="0068411F">
              <w:rPr>
                <w:rFonts w:ascii="Arial" w:hAnsi="Arial" w:cs="Arial"/>
                <w:sz w:val="22"/>
                <w:szCs w:val="22"/>
              </w:rPr>
              <w:t xml:space="preserve">Sandra Clark, </w:t>
            </w:r>
            <w:r w:rsidRPr="0068411F">
              <w:rPr>
                <w:rFonts w:ascii="Arial" w:hAnsi="Arial" w:cs="Arial"/>
                <w:i/>
                <w:sz w:val="22"/>
                <w:szCs w:val="22"/>
              </w:rPr>
              <w:t>The Plays of Beaumont and Fletcher</w:t>
            </w:r>
            <w:r w:rsidRPr="0068411F">
              <w:rPr>
                <w:rFonts w:ascii="Arial" w:hAnsi="Arial" w:cs="Arial"/>
                <w:sz w:val="22"/>
                <w:szCs w:val="22"/>
              </w:rPr>
              <w:t xml:space="preserve"> (London: Routledge, 2014)</w:t>
            </w:r>
          </w:p>
        </w:tc>
        <w:tc>
          <w:tcPr>
            <w:tcW w:w="1366" w:type="dxa"/>
          </w:tcPr>
          <w:sdt>
            <w:sdtPr>
              <w:rPr>
                <w:rFonts w:ascii="Arial" w:hAnsi="Arial" w:cs="Arial"/>
                <w:sz w:val="22"/>
                <w:szCs w:val="22"/>
              </w:rPr>
              <w:id w:val="197288685"/>
              <w14:checkbox>
                <w14:checked w14:val="0"/>
                <w14:checkedState w14:val="2612" w14:font="MS Gothic"/>
                <w14:uncheckedState w14:val="2610" w14:font="MS Gothic"/>
              </w14:checkbox>
            </w:sdtPr>
            <w:sdtEndPr/>
            <w:sdtContent>
              <w:p w:rsidR="00160496" w:rsidRPr="0068411F" w:rsidRDefault="00160496" w:rsidP="00E7663E">
                <w:pPr>
                  <w:jc w:val="center"/>
                  <w:rPr>
                    <w:rFonts w:ascii="Arial" w:hAnsi="Arial" w:cs="Arial"/>
                    <w:sz w:val="22"/>
                    <w:szCs w:val="22"/>
                  </w:rPr>
                </w:pPr>
                <w:r w:rsidRPr="0068411F">
                  <w:rPr>
                    <w:rFonts w:ascii="Segoe UI Symbol" w:eastAsia="MS Gothic" w:hAnsi="Segoe UI Symbol" w:cs="Segoe UI Symbol"/>
                    <w:sz w:val="22"/>
                    <w:szCs w:val="22"/>
                  </w:rPr>
                  <w:t>☐</w:t>
                </w:r>
              </w:p>
            </w:sdtContent>
          </w:sdt>
          <w:p w:rsidR="00160496" w:rsidRPr="0068411F" w:rsidRDefault="00160496" w:rsidP="00E7663E">
            <w:pPr>
              <w:jc w:val="center"/>
              <w:rPr>
                <w:rFonts w:ascii="Arial" w:hAnsi="Arial" w:cs="Arial"/>
                <w:sz w:val="22"/>
                <w:szCs w:val="22"/>
              </w:rPr>
            </w:pPr>
          </w:p>
        </w:tc>
      </w:tr>
    </w:tbl>
    <w:p w:rsidR="00160496" w:rsidRPr="00D255DD" w:rsidRDefault="00160496" w:rsidP="00160496">
      <w:pPr>
        <w:pStyle w:val="heading"/>
        <w:spacing w:before="0" w:after="0"/>
        <w:ind w:left="0" w:firstLine="0"/>
        <w:rPr>
          <w:rFonts w:ascii="Arial" w:hAnsi="Arial" w:cs="Arial"/>
          <w:sz w:val="22"/>
          <w:szCs w:val="22"/>
        </w:rPr>
      </w:pPr>
    </w:p>
    <w:p w:rsidR="00F919F9" w:rsidRDefault="00F919F9"/>
    <w:sectPr w:rsidR="00F91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496"/>
    <w:rsid w:val="00160496"/>
    <w:rsid w:val="004E1D3D"/>
    <w:rsid w:val="00F91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C724D9-3E99-4A11-8241-BE36667AA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496"/>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qFormat/>
    <w:rsid w:val="00160496"/>
    <w:pPr>
      <w:spacing w:before="240" w:after="120"/>
    </w:pPr>
  </w:style>
  <w:style w:type="paragraph" w:customStyle="1" w:styleId="fixed">
    <w:name w:val="fixed"/>
    <w:link w:val="fixedChar"/>
    <w:qFormat/>
    <w:rsid w:val="0016049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16049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160496"/>
    <w:rPr>
      <w:rFonts w:ascii="Times New Roman" w:eastAsia="Times New Roman" w:hAnsi="Times New Roman" w:cs="Times New Roman"/>
      <w:b/>
      <w:sz w:val="24"/>
      <w:szCs w:val="20"/>
      <w:lang w:eastAsia="en-GB"/>
    </w:rPr>
  </w:style>
  <w:style w:type="character" w:customStyle="1" w:styleId="headingChar">
    <w:name w:val="heading Char"/>
    <w:link w:val="heading"/>
    <w:rsid w:val="00160496"/>
    <w:rPr>
      <w:rFonts w:ascii="Times New Roman" w:eastAsia="Times New Roman" w:hAnsi="Times New Roman" w:cs="Times New Roman"/>
      <w:b/>
      <w:sz w:val="24"/>
      <w:szCs w:val="20"/>
      <w:lang w:eastAsia="en-GB"/>
    </w:rPr>
  </w:style>
  <w:style w:type="character" w:customStyle="1" w:styleId="bulletChar">
    <w:name w:val="bullet Char"/>
    <w:link w:val="bullet"/>
    <w:rsid w:val="00160496"/>
    <w:rPr>
      <w:rFonts w:ascii="Times New Roman" w:eastAsia="Times New Roman" w:hAnsi="Times New Roman" w:cs="Times New Roman"/>
      <w:sz w:val="24"/>
      <w:szCs w:val="20"/>
      <w:lang w:eastAsia="en-GB"/>
    </w:rPr>
  </w:style>
  <w:style w:type="paragraph" w:styleId="ListParagraph">
    <w:name w:val="List Paragraph"/>
    <w:basedOn w:val="Normal"/>
    <w:link w:val="ListParagraphChar"/>
    <w:uiPriority w:val="34"/>
    <w:qFormat/>
    <w:rsid w:val="00160496"/>
    <w:pPr>
      <w:overflowPunct/>
      <w:autoSpaceDE/>
      <w:autoSpaceDN/>
      <w:adjustRightInd/>
      <w:ind w:left="720"/>
      <w:jc w:val="left"/>
      <w:textAlignment w:val="auto"/>
    </w:pPr>
    <w:rPr>
      <w:szCs w:val="24"/>
    </w:rPr>
  </w:style>
  <w:style w:type="table" w:styleId="TableGrid">
    <w:name w:val="Table Grid"/>
    <w:basedOn w:val="TableNormal"/>
    <w:uiPriority w:val="59"/>
    <w:rsid w:val="0016049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160496"/>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Sarah Cornelius</cp:lastModifiedBy>
  <cp:revision>2</cp:revision>
  <dcterms:created xsi:type="dcterms:W3CDTF">2018-05-02T13:16:00Z</dcterms:created>
  <dcterms:modified xsi:type="dcterms:W3CDTF">2018-06-06T12:55:00Z</dcterms:modified>
</cp:coreProperties>
</file>