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E7A2D" w14:textId="48A96A35" w:rsidR="009271D5" w:rsidRDefault="00C47131" w:rsidP="00C47131">
      <w:pPr>
        <w:ind w:hanging="90"/>
        <w:jc w:val="center"/>
        <w:rPr>
          <w:b/>
          <w:bCs/>
          <w:sz w:val="24"/>
          <w:szCs w:val="24"/>
          <w:u w:val="single"/>
        </w:rPr>
      </w:pPr>
      <w:r w:rsidRPr="009729F4">
        <w:rPr>
          <w:b/>
          <w:bCs/>
          <w:noProof/>
          <w:sz w:val="24"/>
          <w:szCs w:val="24"/>
        </w:rPr>
        <w:drawing>
          <wp:inline distT="0" distB="0" distL="0" distR="0" wp14:anchorId="265C48F9" wp14:editId="257CC719">
            <wp:extent cx="5731510" cy="6408420"/>
            <wp:effectExtent l="0" t="0" r="2540" b="0"/>
            <wp:docPr id="16039053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0534" name="Picture 1" descr="A close-up of a document&#10;&#10;Description automatically generated"/>
                    <pic:cNvPicPr/>
                  </pic:nvPicPr>
                  <pic:blipFill>
                    <a:blip r:embed="rId7"/>
                    <a:stretch>
                      <a:fillRect/>
                    </a:stretch>
                  </pic:blipFill>
                  <pic:spPr>
                    <a:xfrm>
                      <a:off x="0" y="0"/>
                      <a:ext cx="5731510" cy="6408420"/>
                    </a:xfrm>
                    <a:prstGeom prst="rect">
                      <a:avLst/>
                    </a:prstGeom>
                  </pic:spPr>
                </pic:pic>
              </a:graphicData>
            </a:graphic>
          </wp:inline>
        </w:drawing>
      </w:r>
    </w:p>
    <w:p w14:paraId="2D26EB4D" w14:textId="77777777" w:rsidR="009271D5" w:rsidRDefault="009271D5" w:rsidP="00096F03">
      <w:pPr>
        <w:jc w:val="center"/>
        <w:rPr>
          <w:b/>
          <w:bCs/>
          <w:sz w:val="24"/>
          <w:szCs w:val="24"/>
          <w:u w:val="single"/>
        </w:rPr>
      </w:pPr>
    </w:p>
    <w:p w14:paraId="159C592D" w14:textId="77777777" w:rsidR="009271D5" w:rsidRDefault="009271D5" w:rsidP="00096F03">
      <w:pPr>
        <w:jc w:val="center"/>
        <w:rPr>
          <w:b/>
          <w:bCs/>
          <w:sz w:val="24"/>
          <w:szCs w:val="24"/>
          <w:u w:val="single"/>
        </w:rPr>
      </w:pPr>
    </w:p>
    <w:p w14:paraId="23EBD6A0" w14:textId="77777777" w:rsidR="009271D5" w:rsidRDefault="009271D5" w:rsidP="00096F03">
      <w:pPr>
        <w:jc w:val="center"/>
        <w:rPr>
          <w:b/>
          <w:bCs/>
          <w:sz w:val="24"/>
          <w:szCs w:val="24"/>
          <w:u w:val="single"/>
        </w:rPr>
      </w:pPr>
    </w:p>
    <w:p w14:paraId="1B91485F" w14:textId="77777777" w:rsidR="0083383E" w:rsidRDefault="0083383E" w:rsidP="00096F03">
      <w:pPr>
        <w:jc w:val="center"/>
        <w:rPr>
          <w:b/>
          <w:bCs/>
          <w:sz w:val="24"/>
          <w:szCs w:val="24"/>
          <w:u w:val="single"/>
        </w:rPr>
      </w:pPr>
    </w:p>
    <w:p w14:paraId="7542460D" w14:textId="77777777" w:rsidR="0083383E" w:rsidRDefault="0083383E" w:rsidP="00096F03">
      <w:pPr>
        <w:jc w:val="center"/>
        <w:rPr>
          <w:b/>
          <w:bCs/>
          <w:sz w:val="24"/>
          <w:szCs w:val="24"/>
          <w:u w:val="single"/>
        </w:rPr>
      </w:pPr>
    </w:p>
    <w:p w14:paraId="5C6D0205" w14:textId="77777777" w:rsidR="0083383E" w:rsidRDefault="0083383E" w:rsidP="00096F03">
      <w:pPr>
        <w:jc w:val="center"/>
        <w:rPr>
          <w:b/>
          <w:bCs/>
          <w:sz w:val="24"/>
          <w:szCs w:val="24"/>
          <w:u w:val="single"/>
        </w:rPr>
      </w:pPr>
    </w:p>
    <w:p w14:paraId="0E748BA3" w14:textId="77777777" w:rsidR="00233B81" w:rsidRDefault="00233B81" w:rsidP="00096F03">
      <w:pPr>
        <w:jc w:val="center"/>
        <w:rPr>
          <w:b/>
          <w:bCs/>
          <w:sz w:val="24"/>
          <w:szCs w:val="24"/>
          <w:u w:val="single"/>
        </w:rPr>
      </w:pPr>
    </w:p>
    <w:p w14:paraId="3904BC92" w14:textId="77777777" w:rsidR="00233B81" w:rsidRDefault="00233B81" w:rsidP="00096F03">
      <w:pPr>
        <w:jc w:val="center"/>
        <w:rPr>
          <w:b/>
          <w:bCs/>
          <w:sz w:val="24"/>
          <w:szCs w:val="24"/>
          <w:u w:val="single"/>
        </w:rPr>
      </w:pPr>
    </w:p>
    <w:p w14:paraId="2D9D4266" w14:textId="77777777" w:rsidR="00DB0BA8" w:rsidRDefault="00DB0BA8" w:rsidP="00096F03">
      <w:pPr>
        <w:jc w:val="center"/>
        <w:rPr>
          <w:b/>
          <w:bCs/>
          <w:sz w:val="24"/>
          <w:szCs w:val="24"/>
          <w:u w:val="single"/>
        </w:rPr>
      </w:pPr>
    </w:p>
    <w:p w14:paraId="14C9A7F7" w14:textId="2315AEB1" w:rsidR="00DA2A05" w:rsidRDefault="0044363C" w:rsidP="00096F03">
      <w:pPr>
        <w:jc w:val="center"/>
        <w:rPr>
          <w:b/>
          <w:iCs/>
          <w:u w:val="single"/>
        </w:rPr>
      </w:pPr>
      <w:r>
        <w:rPr>
          <w:b/>
          <w:iCs/>
          <w:u w:val="single"/>
        </w:rPr>
        <w:lastRenderedPageBreak/>
        <w:t>TITLE: DISCOUNT FOR LACK OF MARKETABILITY IN HONG KONG</w:t>
      </w:r>
    </w:p>
    <w:p w14:paraId="63A7A99B" w14:textId="77777777" w:rsidR="00133E52" w:rsidRDefault="00133E52" w:rsidP="00096F03">
      <w:pPr>
        <w:jc w:val="center"/>
        <w:rPr>
          <w:b/>
          <w:iCs/>
          <w:u w:val="single"/>
        </w:rPr>
      </w:pPr>
    </w:p>
    <w:p w14:paraId="6EE7013B" w14:textId="77777777" w:rsidR="00BA2F56" w:rsidRDefault="00BA2F56" w:rsidP="00096F03">
      <w:pPr>
        <w:jc w:val="center"/>
        <w:rPr>
          <w:b/>
          <w:iCs/>
          <w:u w:val="single"/>
        </w:rPr>
      </w:pPr>
    </w:p>
    <w:p w14:paraId="01C9BD78" w14:textId="5954D34B" w:rsidR="00170738" w:rsidRDefault="00720EC4" w:rsidP="00096F03">
      <w:pPr>
        <w:jc w:val="center"/>
        <w:rPr>
          <w:b/>
          <w:iCs/>
        </w:rPr>
      </w:pPr>
      <w:r>
        <w:rPr>
          <w:b/>
          <w:iCs/>
        </w:rPr>
        <w:t>INTRODUCTION</w:t>
      </w:r>
    </w:p>
    <w:p w14:paraId="5755A66C" w14:textId="77777777" w:rsidR="00BA2F56" w:rsidRPr="008B1F7F" w:rsidRDefault="00BA2F56" w:rsidP="00096F03">
      <w:pPr>
        <w:jc w:val="center"/>
        <w:rPr>
          <w:b/>
          <w:iCs/>
        </w:rPr>
      </w:pPr>
    </w:p>
    <w:p w14:paraId="4085B922" w14:textId="77777777" w:rsidR="00751840" w:rsidRPr="00751840" w:rsidRDefault="00B04758" w:rsidP="00751840">
      <w:pPr>
        <w:jc w:val="both"/>
        <w:rPr>
          <w:sz w:val="24"/>
          <w:szCs w:val="24"/>
        </w:rPr>
      </w:pPr>
      <w:r w:rsidRPr="00F92DB4">
        <w:rPr>
          <w:sz w:val="24"/>
          <w:szCs w:val="24"/>
        </w:rPr>
        <w:t xml:space="preserve">The Discount for Lack of Marketability (DLOM) </w:t>
      </w:r>
      <w:r w:rsidR="00CB6B77">
        <w:rPr>
          <w:sz w:val="24"/>
          <w:szCs w:val="24"/>
        </w:rPr>
        <w:t xml:space="preserve">is widely applied in the Valuation Industry. </w:t>
      </w:r>
      <w:r w:rsidR="00F92DB4" w:rsidRPr="00F92DB4">
        <w:rPr>
          <w:sz w:val="24"/>
          <w:szCs w:val="24"/>
        </w:rPr>
        <w:t>DLOM is "</w:t>
      </w:r>
      <w:r w:rsidR="00846D9B" w:rsidRPr="00846D9B">
        <w:rPr>
          <w:rFonts w:ascii="Times New Roman" w:eastAsia="Times New Roman" w:hAnsi="Times New Roman" w:cs="Times New Roman"/>
          <w:sz w:val="24"/>
          <w:szCs w:val="24"/>
        </w:rPr>
        <w:t xml:space="preserve"> </w:t>
      </w:r>
      <w:r w:rsidR="00846D9B" w:rsidRPr="00846D9B">
        <w:rPr>
          <w:sz w:val="24"/>
          <w:szCs w:val="24"/>
        </w:rPr>
        <w:t>a deduction from the value of an ownership stake to account for the lack of marketability</w:t>
      </w:r>
      <w:r w:rsidR="00F92DB4" w:rsidRPr="00F92DB4">
        <w:rPr>
          <w:sz w:val="24"/>
          <w:szCs w:val="24"/>
        </w:rPr>
        <w:t xml:space="preserve">," according to the International Valuation Standard (2024), </w:t>
      </w:r>
      <w:r w:rsidR="007C7A0D">
        <w:rPr>
          <w:sz w:val="24"/>
          <w:szCs w:val="24"/>
        </w:rPr>
        <w:t>which</w:t>
      </w:r>
      <w:r w:rsidR="00F92DB4" w:rsidRPr="00F92DB4">
        <w:rPr>
          <w:sz w:val="24"/>
          <w:szCs w:val="24"/>
        </w:rPr>
        <w:t xml:space="preserve"> is frequently employed by valuation professionals when assessing the stock of privately-held enterprises. The International Valuation Standard (2024) asserts that "DLOM must be applied when </w:t>
      </w:r>
      <w:proofErr w:type="spellStart"/>
      <w:r w:rsidR="00F92DB4" w:rsidRPr="00F92DB4">
        <w:rPr>
          <w:sz w:val="24"/>
          <w:szCs w:val="24"/>
        </w:rPr>
        <w:t>comparables</w:t>
      </w:r>
      <w:proofErr w:type="spellEnd"/>
      <w:r w:rsidR="00F92DB4" w:rsidRPr="00F92DB4">
        <w:rPr>
          <w:sz w:val="24"/>
          <w:szCs w:val="24"/>
        </w:rPr>
        <w:t xml:space="preserve"> possess greater marketability than the subject asset." According to </w:t>
      </w:r>
      <w:r w:rsidR="00EE4B17">
        <w:rPr>
          <w:sz w:val="24"/>
          <w:szCs w:val="24"/>
        </w:rPr>
        <w:t>Valuation Standard of Royal Institute of Chartered Surveyor</w:t>
      </w:r>
      <w:r w:rsidR="00F92DB4" w:rsidRPr="00F92DB4">
        <w:rPr>
          <w:sz w:val="24"/>
          <w:szCs w:val="24"/>
        </w:rPr>
        <w:t xml:space="preserve"> (2024), </w:t>
      </w:r>
      <w:r w:rsidR="00751840" w:rsidRPr="00751840">
        <w:rPr>
          <w:sz w:val="24"/>
          <w:szCs w:val="24"/>
        </w:rPr>
        <w:t>A valuer must discover substantial disparities between the subject asset and comparable sales, as well as variances in the subject asset’s marketability relative to similar sales.</w:t>
      </w:r>
    </w:p>
    <w:p w14:paraId="68DB79AE" w14:textId="58008FF8" w:rsidR="0009753B" w:rsidRDefault="0009753B" w:rsidP="00F92DB4">
      <w:pPr>
        <w:jc w:val="both"/>
        <w:rPr>
          <w:sz w:val="24"/>
          <w:szCs w:val="24"/>
        </w:rPr>
      </w:pPr>
    </w:p>
    <w:p w14:paraId="7A5CA57B" w14:textId="77777777" w:rsidR="00651231" w:rsidRDefault="006F35E4" w:rsidP="008B1F7F">
      <w:pPr>
        <w:jc w:val="both"/>
        <w:rPr>
          <w:sz w:val="24"/>
          <w:szCs w:val="24"/>
        </w:rPr>
      </w:pPr>
      <w:r w:rsidRPr="006F35E4">
        <w:rPr>
          <w:sz w:val="24"/>
          <w:szCs w:val="24"/>
        </w:rPr>
        <w:t xml:space="preserve">Although DLOM is widely used by Hong Kong professionals including accountants, lawyers, and actuaries, there is a lack of solid evidence to back it up in the local market. All experts in Hong Kong are obligated to utilize DLOM data and the results of investigations carried out in Europe and the US. </w:t>
      </w:r>
      <w:r w:rsidR="003D527F" w:rsidRPr="003D527F">
        <w:rPr>
          <w:sz w:val="24"/>
          <w:szCs w:val="24"/>
        </w:rPr>
        <w:t xml:space="preserve">Numerous factors influencing DLOM computation and outcomes differ across the United States, Europe, and Hong Kong, including the economy, government policy, and investment environment. </w:t>
      </w:r>
      <w:r w:rsidR="00651231" w:rsidRPr="00651231">
        <w:rPr>
          <w:sz w:val="24"/>
          <w:szCs w:val="24"/>
        </w:rPr>
        <w:t>It would be inappropriate to apply DLOM results from the US market directly to the Hong Kong market. It is necessary to conduct a comprehensive DLOM study using data from Hong Kong in order to supply accurate and relevant DLOM data and results for usage in various sectors in Hong Kong.</w:t>
      </w:r>
    </w:p>
    <w:p w14:paraId="423624F8" w14:textId="5026E855" w:rsidR="00E67773" w:rsidRDefault="00F92DB4" w:rsidP="008B1F7F">
      <w:pPr>
        <w:jc w:val="both"/>
        <w:rPr>
          <w:lang w:eastAsia="en-US"/>
        </w:rPr>
      </w:pPr>
      <w:r w:rsidRPr="00F92DB4">
        <w:rPr>
          <w:sz w:val="24"/>
          <w:szCs w:val="24"/>
        </w:rPr>
        <w:br/>
        <w:t xml:space="preserve">In recent decades, the United States and Europe have generated </w:t>
      </w:r>
      <w:r w:rsidR="00AA52E1">
        <w:rPr>
          <w:sz w:val="24"/>
          <w:szCs w:val="24"/>
        </w:rPr>
        <w:t xml:space="preserve">many </w:t>
      </w:r>
      <w:r w:rsidRPr="00F92DB4">
        <w:rPr>
          <w:sz w:val="24"/>
          <w:szCs w:val="24"/>
        </w:rPr>
        <w:t>empirical research</w:t>
      </w:r>
      <w:r w:rsidR="00AA52E1">
        <w:rPr>
          <w:sz w:val="24"/>
          <w:szCs w:val="24"/>
        </w:rPr>
        <w:t>es</w:t>
      </w:r>
      <w:r w:rsidRPr="00F92DB4">
        <w:rPr>
          <w:sz w:val="24"/>
          <w:szCs w:val="24"/>
        </w:rPr>
        <w:t xml:space="preserve"> on DLOM. In the literature review section of our thesis, we presented and </w:t>
      </w:r>
      <w:proofErr w:type="spellStart"/>
      <w:r w:rsidRPr="00F92DB4">
        <w:rPr>
          <w:sz w:val="24"/>
          <w:szCs w:val="24"/>
        </w:rPr>
        <w:t>analyzed</w:t>
      </w:r>
      <w:proofErr w:type="spellEnd"/>
      <w:r w:rsidRPr="00F92DB4">
        <w:rPr>
          <w:sz w:val="24"/>
          <w:szCs w:val="24"/>
        </w:rPr>
        <w:t xml:space="preserve"> a substantial number of empirical investigations employing both qualitative and quantitative methodologies. In the Qualitative Approach, we identified several deficiencies in the Pre-IPO Method. Z. Christopher Mercer et al. (2011) indicate that there is frequently an inordinate interval between a pre-IPO transaction and a public offering. Furthermore, to guarantee full subscription, pre-IPO transactions are typically </w:t>
      </w:r>
      <w:r w:rsidR="003C22DA">
        <w:rPr>
          <w:sz w:val="24"/>
          <w:szCs w:val="24"/>
        </w:rPr>
        <w:t>undervalu</w:t>
      </w:r>
      <w:r w:rsidRPr="00F92DB4">
        <w:rPr>
          <w:sz w:val="24"/>
          <w:szCs w:val="24"/>
        </w:rPr>
        <w:t xml:space="preserve">ed, as noted by Z. Christopher Mercer et al. (2011). Therefore, our argument excludes the Pre-IPO Method. We identified several deficiencies in the Restricted Stock Method, including its failure to incorporate current market data and the instability of issuer characteristics. Consequently, we will not employ the Restricted Stock Method in our </w:t>
      </w:r>
      <w:r w:rsidR="000B49FC">
        <w:rPr>
          <w:sz w:val="24"/>
          <w:szCs w:val="24"/>
        </w:rPr>
        <w:t>thesis</w:t>
      </w:r>
      <w:r w:rsidRPr="00F92DB4">
        <w:rPr>
          <w:sz w:val="24"/>
          <w:szCs w:val="24"/>
        </w:rPr>
        <w:t xml:space="preserve">. </w:t>
      </w:r>
      <w:r w:rsidR="00F52255">
        <w:rPr>
          <w:sz w:val="24"/>
          <w:szCs w:val="24"/>
        </w:rPr>
        <w:t>On the other hand, t</w:t>
      </w:r>
      <w:r w:rsidRPr="00F92DB4">
        <w:rPr>
          <w:sz w:val="24"/>
          <w:szCs w:val="24"/>
        </w:rPr>
        <w:t xml:space="preserve">he primary drawback of the Quantitative Approach's Option Pricing Model is its failure to account for the qualitative aspects of illiquidity. The financial benefits of possessing the authentic liquidity option are inadequately reflected in certain option pricing models. Critics argue that the absence of strategies to alleviate the price risk linked to nonmarketable assets further renders these models unsuitable for privately held enterprises. Therefore, we shall exclude the Option Pricing Model from consideration. </w:t>
      </w:r>
      <w:r w:rsidR="000E73DF" w:rsidRPr="000E73DF">
        <w:rPr>
          <w:sz w:val="24"/>
          <w:szCs w:val="24"/>
        </w:rPr>
        <w:t>Last but not least, the Shareholder Cash Flow Adjustment Model in Quantitative Approach is flawed since it relies on multiple complex assumptions. Expected cash flows, dividends, risk variables, and growth rates over the long term are all part of the assumptions. As a result, our thesis does not incorporate it. We have settled on a mixed-methods qualitative approach that combines the Transaction Method with the Survey Method after reviewing the relevant literature.</w:t>
      </w:r>
      <w:r w:rsidRPr="00F92DB4">
        <w:rPr>
          <w:sz w:val="24"/>
          <w:szCs w:val="24"/>
        </w:rPr>
        <w:br/>
      </w:r>
    </w:p>
    <w:p w14:paraId="0AE6AEB0" w14:textId="7B704198" w:rsidR="0017557A" w:rsidRDefault="00E67773" w:rsidP="008B1F7F">
      <w:pPr>
        <w:jc w:val="both"/>
        <w:rPr>
          <w:sz w:val="24"/>
          <w:szCs w:val="24"/>
        </w:rPr>
      </w:pPr>
      <w:r w:rsidRPr="00AC28B4">
        <w:rPr>
          <w:b/>
          <w:bCs/>
          <w:lang w:eastAsia="en-US"/>
        </w:rPr>
        <w:t>K</w:t>
      </w:r>
      <w:r w:rsidR="00804747" w:rsidRPr="00AC28B4">
        <w:rPr>
          <w:b/>
          <w:bCs/>
          <w:lang w:eastAsia="en-US"/>
        </w:rPr>
        <w:t>eywords</w:t>
      </w:r>
      <w:r w:rsidRPr="00AC28B4">
        <w:rPr>
          <w:b/>
          <w:bCs/>
          <w:lang w:eastAsia="en-US"/>
        </w:rPr>
        <w:t>:</w:t>
      </w:r>
      <w:r w:rsidR="00D93962">
        <w:rPr>
          <w:lang w:eastAsia="en-US"/>
        </w:rPr>
        <w:t xml:space="preserve"> </w:t>
      </w:r>
      <w:r w:rsidR="005D20C3">
        <w:rPr>
          <w:lang w:eastAsia="en-US"/>
        </w:rPr>
        <w:t xml:space="preserve">Marketability, DLOM, </w:t>
      </w:r>
      <w:r w:rsidRPr="00E527FB">
        <w:rPr>
          <w:sz w:val="24"/>
          <w:szCs w:val="24"/>
        </w:rPr>
        <w:t>Discount for Lack of Marketability</w:t>
      </w:r>
      <w:r>
        <w:rPr>
          <w:lang w:eastAsia="en-US"/>
        </w:rPr>
        <w:t xml:space="preserve">, </w:t>
      </w:r>
      <w:r w:rsidR="007347FB">
        <w:rPr>
          <w:lang w:eastAsia="en-US"/>
        </w:rPr>
        <w:t xml:space="preserve">Value, </w:t>
      </w:r>
      <w:r w:rsidR="003B5E45">
        <w:rPr>
          <w:lang w:eastAsia="en-US"/>
        </w:rPr>
        <w:t xml:space="preserve">Liquidity, </w:t>
      </w:r>
      <w:r w:rsidR="00F67648">
        <w:rPr>
          <w:lang w:eastAsia="en-US"/>
        </w:rPr>
        <w:t>Valuation</w:t>
      </w:r>
      <w:r w:rsidR="00E40A2D">
        <w:rPr>
          <w:lang w:eastAsia="en-US"/>
        </w:rPr>
        <w:t>.</w:t>
      </w:r>
    </w:p>
    <w:p w14:paraId="7AE6E4E6" w14:textId="77777777" w:rsidR="00164198" w:rsidRDefault="00164198" w:rsidP="008B1F7F">
      <w:pPr>
        <w:jc w:val="both"/>
        <w:rPr>
          <w:sz w:val="24"/>
          <w:szCs w:val="24"/>
        </w:rPr>
      </w:pPr>
    </w:p>
    <w:p w14:paraId="4DA2066A" w14:textId="39514880" w:rsidR="00170738" w:rsidRPr="008B1F7F" w:rsidRDefault="008B1F7F" w:rsidP="008B1F7F">
      <w:pPr>
        <w:jc w:val="center"/>
        <w:rPr>
          <w:b/>
          <w:bCs/>
        </w:rPr>
      </w:pPr>
      <w:r w:rsidRPr="008B1F7F">
        <w:rPr>
          <w:b/>
          <w:bCs/>
        </w:rPr>
        <w:t>LITERATURE REVIEW</w:t>
      </w:r>
    </w:p>
    <w:p w14:paraId="0E5D9B32" w14:textId="77777777" w:rsidR="00804747" w:rsidRDefault="00804747" w:rsidP="008B1F7F">
      <w:pPr>
        <w:jc w:val="both"/>
        <w:rPr>
          <w:b/>
          <w:bCs/>
          <w:sz w:val="24"/>
          <w:szCs w:val="24"/>
          <w:u w:val="single"/>
        </w:rPr>
      </w:pPr>
    </w:p>
    <w:p w14:paraId="21DF4DD8" w14:textId="35666996" w:rsidR="00D63584" w:rsidRPr="00D63584" w:rsidRDefault="00760E0D" w:rsidP="00D63584">
      <w:pPr>
        <w:jc w:val="both"/>
        <w:rPr>
          <w:sz w:val="24"/>
          <w:szCs w:val="24"/>
        </w:rPr>
      </w:pPr>
      <w:r w:rsidRPr="00760E0D">
        <w:rPr>
          <w:sz w:val="24"/>
          <w:szCs w:val="24"/>
        </w:rPr>
        <w:t xml:space="preserve">Interest liquidity is what we mean when we talk about marketability. It all comes down to how quickly and easily the owner can turn it into cash whenever they want. </w:t>
      </w:r>
      <w:r w:rsidR="008D70ED" w:rsidRPr="008D70ED">
        <w:rPr>
          <w:sz w:val="24"/>
          <w:szCs w:val="24"/>
        </w:rPr>
        <w:t xml:space="preserve">When investors place a high premium on marketability, they expect to pay a discount for assets with less liquidity than their more liquid equivalents. </w:t>
      </w:r>
      <w:r w:rsidR="00E22548" w:rsidRPr="00E22548">
        <w:rPr>
          <w:sz w:val="24"/>
          <w:szCs w:val="24"/>
        </w:rPr>
        <w:t xml:space="preserve">The marketability of an investment, asset, or business is defined by Lucas Parris (2022) as the ease and rapidity with which it may be converted into cash with minimal outlay of capital, which reflects the property's transferability and saleability. The terms marketability and liquidity are often used interchangeably when talking about the characteristics of assets that investors look for. </w:t>
      </w:r>
      <w:r w:rsidR="008D70ED" w:rsidRPr="008D70ED">
        <w:rPr>
          <w:sz w:val="24"/>
          <w:szCs w:val="24"/>
        </w:rPr>
        <w:t>Lucas Parris (2022) defines liquidity as "the ability to swiftly convert assets to cash or settle a liability," which is similar to marketability. In talks on corporate values, the phrases marketability and liquidity are frequently employed generically. According to James R. Hitchner (2024), most analysts combine liquidity with marketability when calculating the marketability discount for closely owned enterprises, failing to distinguish between the two. Consequently, marketability and liquidity will be used interchangeably in this inquiry.</w:t>
      </w:r>
      <w:r w:rsidR="00896E1C" w:rsidRPr="00896E1C">
        <w:rPr>
          <w:sz w:val="24"/>
          <w:szCs w:val="24"/>
        </w:rPr>
        <w:br/>
      </w:r>
      <w:r w:rsidR="00896E1C" w:rsidRPr="00896E1C">
        <w:rPr>
          <w:sz w:val="24"/>
          <w:szCs w:val="24"/>
        </w:rPr>
        <w:br/>
      </w:r>
      <w:r w:rsidR="007624E7" w:rsidRPr="007624E7">
        <w:rPr>
          <w:sz w:val="24"/>
          <w:szCs w:val="24"/>
        </w:rPr>
        <w:t xml:space="preserve">According to Shannon P. Pratt and Lucas Parris (2022), a product or investment is considered marketable if it can be bought and sold quickly and easily. </w:t>
      </w:r>
      <w:r w:rsidR="00CF3E9C" w:rsidRPr="00CF3E9C">
        <w:rPr>
          <w:sz w:val="24"/>
          <w:szCs w:val="24"/>
        </w:rPr>
        <w:t xml:space="preserve">Additionally, he made the observation that the terms "marketability" and "liquidity" are frequently used synonymously. </w:t>
      </w:r>
      <w:r w:rsidR="002F31D7" w:rsidRPr="002F31D7">
        <w:rPr>
          <w:sz w:val="24"/>
          <w:szCs w:val="24"/>
        </w:rPr>
        <w:t>This study uses Shannon P. Pratt's (2022) and Lucas Parris' (2022) definitions of marketability because most scholars define marketability and liquidity similarly.</w:t>
      </w:r>
      <w:r w:rsidR="00896E1C" w:rsidRPr="00896E1C">
        <w:rPr>
          <w:sz w:val="24"/>
          <w:szCs w:val="24"/>
        </w:rPr>
        <w:br/>
      </w:r>
      <w:r w:rsidR="00896E1C" w:rsidRPr="00896E1C">
        <w:rPr>
          <w:sz w:val="24"/>
          <w:szCs w:val="24"/>
        </w:rPr>
        <w:br/>
      </w:r>
      <w:r w:rsidR="00810416" w:rsidRPr="00810416">
        <w:rPr>
          <w:sz w:val="24"/>
          <w:szCs w:val="24"/>
        </w:rPr>
        <w:t xml:space="preserve">An ownership interest's value is reduced by a certain amount or percentage to reflect its limited marketability, according to the International Valuation Standard (2024), which is known as the Discount for Lack of Marketability (DLOM). </w:t>
      </w:r>
      <w:r w:rsidR="00896E1C" w:rsidRPr="00896E1C">
        <w:rPr>
          <w:sz w:val="24"/>
          <w:szCs w:val="24"/>
        </w:rPr>
        <w:t xml:space="preserve">There exists a valuation disparity between privately owned equities, which frequently lack a functional marketplace, and publicly listed stocks. Divesting from a privately held organization is distinctly more expensive, uncertain, and protracted than liquidating a stock in a publicly traded company. An investment that facilitates immediate liquidity for the owner is more valuable than one that does not allow for speedy divestment. The additional costs, increased uncertainty, and extended timelines related to the sale of atypical assets should compel privately owned companies to transact at a value lower than their actual intrinsic worth. </w:t>
      </w:r>
      <w:r w:rsidR="00896E1C" w:rsidRPr="00896E1C">
        <w:rPr>
          <w:sz w:val="24"/>
          <w:szCs w:val="24"/>
        </w:rPr>
        <w:br/>
      </w:r>
      <w:r w:rsidR="00896E1C" w:rsidRPr="00896E1C">
        <w:rPr>
          <w:sz w:val="24"/>
          <w:szCs w:val="24"/>
        </w:rPr>
        <w:br/>
      </w:r>
      <w:r w:rsidR="00C371E5" w:rsidRPr="00C371E5">
        <w:rPr>
          <w:sz w:val="24"/>
          <w:szCs w:val="24"/>
        </w:rPr>
        <w:t xml:space="preserve">Valuation experts often use DLOM when determining the worth of privately-held companies' equity. When the subject asset's </w:t>
      </w:r>
      <w:proofErr w:type="spellStart"/>
      <w:r w:rsidR="00C371E5" w:rsidRPr="00C371E5">
        <w:rPr>
          <w:sz w:val="24"/>
          <w:szCs w:val="24"/>
        </w:rPr>
        <w:t>comparables</w:t>
      </w:r>
      <w:proofErr w:type="spellEnd"/>
      <w:r w:rsidR="00C371E5" w:rsidRPr="00C371E5">
        <w:rPr>
          <w:sz w:val="24"/>
          <w:szCs w:val="24"/>
        </w:rPr>
        <w:t xml:space="preserve"> have higher marketability, the International Valuation Standard (2024) states that a DLOM should be applied. As per RICS (2024), </w:t>
      </w:r>
      <w:r w:rsidR="001617B2">
        <w:rPr>
          <w:sz w:val="24"/>
          <w:szCs w:val="24"/>
        </w:rPr>
        <w:t>i</w:t>
      </w:r>
      <w:r w:rsidR="001617B2" w:rsidRPr="001617B2">
        <w:rPr>
          <w:sz w:val="24"/>
          <w:szCs w:val="24"/>
        </w:rPr>
        <w:t xml:space="preserve">t is important for a valuer to keep an eye out for material discrepancies between the subject asset and similar sales, as well as variations in the subject asset's marketability compared to those sales. </w:t>
      </w:r>
      <w:r w:rsidR="00C371E5" w:rsidRPr="00C371E5">
        <w:rPr>
          <w:sz w:val="24"/>
          <w:szCs w:val="24"/>
        </w:rPr>
        <w:t>Therefore, it is imperative that valuers understand and use the DLOM in their day-to-day work. A number of factors determine whether or not a given firm's ownership share is marketable, in contrast to assets that can be freely traded in active markets. Included in the factors listed by Shannon P. Pratt (2012) are put rights, dividends or distributions, the size of the potential buyer's market, the likelihood of an initial public offering or acquisition, transfer restrictions, the size and financial stability of the company, and the ratio of the stake in question to the total number of shares outstanding.</w:t>
      </w:r>
      <w:r w:rsidR="00896E1C" w:rsidRPr="00896E1C">
        <w:rPr>
          <w:sz w:val="24"/>
          <w:szCs w:val="24"/>
        </w:rPr>
        <w:br/>
      </w:r>
      <w:r w:rsidR="00D63584" w:rsidRPr="00D63584">
        <w:rPr>
          <w:sz w:val="24"/>
          <w:szCs w:val="24"/>
        </w:rPr>
        <w:br/>
        <w:t xml:space="preserve">Two of the world's most liquid equities interest markets are located in the US and Europe. The marketability of shares is best shown by the stock exchanges in the United States and Europe, where </w:t>
      </w:r>
      <w:r w:rsidR="00FD7109" w:rsidRPr="00FD7109">
        <w:rPr>
          <w:sz w:val="24"/>
          <w:szCs w:val="24"/>
        </w:rPr>
        <w:t xml:space="preserve">You can sell them over the phone for close to the market price and get the money in a few working days. </w:t>
      </w:r>
      <w:r w:rsidR="00D63584" w:rsidRPr="00D63584">
        <w:rPr>
          <w:sz w:val="24"/>
          <w:szCs w:val="24"/>
        </w:rPr>
        <w:t xml:space="preserve">The DLOM has been validated in previous studies in the US and Europe using a variety of qualitative and quantitative methodologies. The methods and outcomes of earlier studies on the DLOM are summarized in the table below. </w:t>
      </w:r>
    </w:p>
    <w:p w14:paraId="37333AB6" w14:textId="0EBA0CF9" w:rsidR="00896E1C" w:rsidRPr="00896E1C" w:rsidRDefault="00896E1C" w:rsidP="00896E1C">
      <w:pPr>
        <w:jc w:val="both"/>
        <w:rPr>
          <w:sz w:val="24"/>
          <w:szCs w:val="24"/>
        </w:rPr>
      </w:pPr>
      <w:r w:rsidRPr="00896E1C">
        <w:rPr>
          <w:sz w:val="24"/>
          <w:szCs w:val="24"/>
        </w:rPr>
        <w:br/>
      </w:r>
    </w:p>
    <w:p w14:paraId="2ED03D4A" w14:textId="77777777" w:rsidR="00BA4329" w:rsidRDefault="00BA4329" w:rsidP="008B1F7F">
      <w:pPr>
        <w:jc w:val="both"/>
        <w:rPr>
          <w:sz w:val="24"/>
          <w:szCs w:val="24"/>
        </w:rPr>
      </w:pPr>
    </w:p>
    <w:p w14:paraId="007EA5BE" w14:textId="04048B8F" w:rsidR="008577B3" w:rsidRDefault="008577B3" w:rsidP="008B1F7F">
      <w:pPr>
        <w:jc w:val="both"/>
        <w:rPr>
          <w:sz w:val="24"/>
          <w:szCs w:val="24"/>
        </w:rPr>
      </w:pPr>
      <w:r w:rsidRPr="008577B3">
        <w:rPr>
          <w:noProof/>
          <w:sz w:val="24"/>
          <w:szCs w:val="24"/>
        </w:rPr>
        <w:drawing>
          <wp:inline distT="0" distB="0" distL="0" distR="0" wp14:anchorId="3D6AA0F3" wp14:editId="69DB17F3">
            <wp:extent cx="5794744" cy="8624004"/>
            <wp:effectExtent l="0" t="0" r="0" b="5715"/>
            <wp:docPr id="735912277" name="Picture 1" descr="A table of information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12277" name="Picture 1" descr="A table of information with numbers and text&#10;&#10;Description automatically generated with medium confidence"/>
                    <pic:cNvPicPr/>
                  </pic:nvPicPr>
                  <pic:blipFill>
                    <a:blip r:embed="rId8"/>
                    <a:stretch>
                      <a:fillRect/>
                    </a:stretch>
                  </pic:blipFill>
                  <pic:spPr>
                    <a:xfrm>
                      <a:off x="0" y="0"/>
                      <a:ext cx="5807143" cy="8642456"/>
                    </a:xfrm>
                    <a:prstGeom prst="rect">
                      <a:avLst/>
                    </a:prstGeom>
                  </pic:spPr>
                </pic:pic>
              </a:graphicData>
            </a:graphic>
          </wp:inline>
        </w:drawing>
      </w:r>
    </w:p>
    <w:p w14:paraId="0989AD36" w14:textId="41924AE3" w:rsidR="00E001C5" w:rsidRDefault="00E001C5" w:rsidP="008B1F7F">
      <w:pPr>
        <w:jc w:val="both"/>
        <w:rPr>
          <w:sz w:val="24"/>
          <w:szCs w:val="24"/>
        </w:rPr>
      </w:pPr>
      <w:r w:rsidRPr="00E001C5">
        <w:rPr>
          <w:noProof/>
          <w:sz w:val="24"/>
          <w:szCs w:val="24"/>
        </w:rPr>
        <w:drawing>
          <wp:inline distT="0" distB="0" distL="0" distR="0" wp14:anchorId="244FC267" wp14:editId="7180EE0F">
            <wp:extent cx="5707502" cy="8452884"/>
            <wp:effectExtent l="0" t="0" r="7620" b="5715"/>
            <wp:docPr id="202560118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01187" name="Picture 1" descr="A white sheet with black text&#10;&#10;Description automatically generated"/>
                    <pic:cNvPicPr/>
                  </pic:nvPicPr>
                  <pic:blipFill>
                    <a:blip r:embed="rId9"/>
                    <a:stretch>
                      <a:fillRect/>
                    </a:stretch>
                  </pic:blipFill>
                  <pic:spPr>
                    <a:xfrm>
                      <a:off x="0" y="0"/>
                      <a:ext cx="5719467" cy="8470605"/>
                    </a:xfrm>
                    <a:prstGeom prst="rect">
                      <a:avLst/>
                    </a:prstGeom>
                  </pic:spPr>
                </pic:pic>
              </a:graphicData>
            </a:graphic>
          </wp:inline>
        </w:drawing>
      </w:r>
    </w:p>
    <w:p w14:paraId="16273EB6" w14:textId="77777777" w:rsidR="00E001C5" w:rsidRDefault="00E001C5" w:rsidP="008B1F7F">
      <w:pPr>
        <w:jc w:val="both"/>
        <w:rPr>
          <w:sz w:val="24"/>
          <w:szCs w:val="24"/>
        </w:rPr>
      </w:pPr>
    </w:p>
    <w:p w14:paraId="7373EEEA" w14:textId="2545A51E" w:rsidR="00E001C5" w:rsidRDefault="00E001C5" w:rsidP="008B1F7F">
      <w:pPr>
        <w:jc w:val="both"/>
        <w:rPr>
          <w:sz w:val="24"/>
          <w:szCs w:val="24"/>
        </w:rPr>
      </w:pPr>
      <w:r w:rsidRPr="00E001C5">
        <w:rPr>
          <w:noProof/>
          <w:sz w:val="24"/>
          <w:szCs w:val="24"/>
        </w:rPr>
        <w:drawing>
          <wp:inline distT="0" distB="0" distL="0" distR="0" wp14:anchorId="7BDC3A00" wp14:editId="282A03AE">
            <wp:extent cx="5699051" cy="8641835"/>
            <wp:effectExtent l="0" t="0" r="0" b="6985"/>
            <wp:docPr id="43056393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63938" name="Picture 1" descr="A white sheet with black text&#10;&#10;Description automatically generated"/>
                    <pic:cNvPicPr/>
                  </pic:nvPicPr>
                  <pic:blipFill>
                    <a:blip r:embed="rId10"/>
                    <a:stretch>
                      <a:fillRect/>
                    </a:stretch>
                  </pic:blipFill>
                  <pic:spPr>
                    <a:xfrm>
                      <a:off x="0" y="0"/>
                      <a:ext cx="5706886" cy="8653715"/>
                    </a:xfrm>
                    <a:prstGeom prst="rect">
                      <a:avLst/>
                    </a:prstGeom>
                  </pic:spPr>
                </pic:pic>
              </a:graphicData>
            </a:graphic>
          </wp:inline>
        </w:drawing>
      </w:r>
    </w:p>
    <w:p w14:paraId="753E6D5F" w14:textId="45C2EF68" w:rsidR="00E001C5" w:rsidRDefault="00E001C5" w:rsidP="008B1F7F">
      <w:pPr>
        <w:jc w:val="both"/>
        <w:rPr>
          <w:sz w:val="24"/>
          <w:szCs w:val="24"/>
        </w:rPr>
      </w:pPr>
      <w:r w:rsidRPr="00E001C5">
        <w:rPr>
          <w:noProof/>
          <w:sz w:val="24"/>
          <w:szCs w:val="24"/>
        </w:rPr>
        <w:drawing>
          <wp:inline distT="0" distB="0" distL="0" distR="0" wp14:anchorId="62674ADC" wp14:editId="566B6E22">
            <wp:extent cx="5707367" cy="4125433"/>
            <wp:effectExtent l="0" t="0" r="8255" b="8890"/>
            <wp:docPr id="209051749" name="Picture 1"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1749" name="Picture 1" descr="A table of information&#10;&#10;Description automatically generated with medium confidence"/>
                    <pic:cNvPicPr/>
                  </pic:nvPicPr>
                  <pic:blipFill>
                    <a:blip r:embed="rId11"/>
                    <a:stretch>
                      <a:fillRect/>
                    </a:stretch>
                  </pic:blipFill>
                  <pic:spPr>
                    <a:xfrm>
                      <a:off x="0" y="0"/>
                      <a:ext cx="5714100" cy="4130300"/>
                    </a:xfrm>
                    <a:prstGeom prst="rect">
                      <a:avLst/>
                    </a:prstGeom>
                  </pic:spPr>
                </pic:pic>
              </a:graphicData>
            </a:graphic>
          </wp:inline>
        </w:drawing>
      </w:r>
    </w:p>
    <w:p w14:paraId="0EB89ECB" w14:textId="298EFAD3" w:rsidR="00C11622" w:rsidRPr="00C11622" w:rsidRDefault="008577B3" w:rsidP="00C11622">
      <w:pPr>
        <w:rPr>
          <w:sz w:val="24"/>
          <w:szCs w:val="24"/>
        </w:rPr>
      </w:pPr>
      <w:r w:rsidRPr="008577B3">
        <w:rPr>
          <w:sz w:val="24"/>
          <w:szCs w:val="24"/>
        </w:rPr>
        <w:br/>
      </w:r>
      <w:r w:rsidRPr="008577B3">
        <w:rPr>
          <w:b/>
          <w:bCs/>
          <w:sz w:val="24"/>
          <w:szCs w:val="24"/>
        </w:rPr>
        <w:t>Qualitative Methodology</w:t>
      </w:r>
      <w:r w:rsidRPr="008577B3">
        <w:rPr>
          <w:b/>
          <w:bCs/>
          <w:sz w:val="24"/>
          <w:szCs w:val="24"/>
        </w:rPr>
        <w:br/>
      </w:r>
      <w:r w:rsidR="00C11622" w:rsidRPr="00C11622">
        <w:rPr>
          <w:sz w:val="24"/>
          <w:szCs w:val="24"/>
        </w:rPr>
        <w:t xml:space="preserve">John W. Creswell (2024) says that qualitative research serves to explore individuals' social realities, including their beliefs, attitudes, and motives, by gathering and </w:t>
      </w:r>
      <w:proofErr w:type="spellStart"/>
      <w:r w:rsidR="00C11622" w:rsidRPr="00C11622">
        <w:rPr>
          <w:sz w:val="24"/>
          <w:szCs w:val="24"/>
        </w:rPr>
        <w:t>analyzing</w:t>
      </w:r>
      <w:proofErr w:type="spellEnd"/>
      <w:r w:rsidR="00C11622" w:rsidRPr="00C11622">
        <w:rPr>
          <w:sz w:val="24"/>
          <w:szCs w:val="24"/>
        </w:rPr>
        <w:t xml:space="preserve"> non-numerical descriptive data. </w:t>
      </w:r>
      <w:r w:rsidR="00CE0AA6" w:rsidRPr="00CE0AA6">
        <w:rPr>
          <w:sz w:val="24"/>
          <w:szCs w:val="24"/>
        </w:rPr>
        <w:t xml:space="preserve">In order to gather detailed and contextualized data, the qualitative method makes use of in-depth interviews, focus groups, and field observations. </w:t>
      </w:r>
      <w:r w:rsidR="00B8531F">
        <w:rPr>
          <w:sz w:val="24"/>
          <w:szCs w:val="24"/>
        </w:rPr>
        <w:t>It</w:t>
      </w:r>
      <w:r w:rsidR="00C11622" w:rsidRPr="00C11622">
        <w:rPr>
          <w:sz w:val="24"/>
          <w:szCs w:val="24"/>
        </w:rPr>
        <w:t xml:space="preserve"> typically the preferred method for comprehending complex phenomena or individuals' distinct perspectives and experiences. This is particularly beneficial in research focused on understanding individuals' inner motives or the meanings they attribute to their experiences. Two prominent studies illustrate the disparity between the prices of publicly traded equities and those of comparable or nearly identical stocks that are not publicly tradable at the valuation date. The terms "pre-IPO studies" </w:t>
      </w:r>
      <w:r w:rsidR="00CE0AA6">
        <w:rPr>
          <w:sz w:val="24"/>
          <w:szCs w:val="24"/>
        </w:rPr>
        <w:t xml:space="preserve">and </w:t>
      </w:r>
      <w:r w:rsidR="00CE0AA6" w:rsidRPr="00C11622">
        <w:rPr>
          <w:sz w:val="24"/>
          <w:szCs w:val="24"/>
        </w:rPr>
        <w:t xml:space="preserve">"restricted stock studies" </w:t>
      </w:r>
      <w:r w:rsidR="00C11622" w:rsidRPr="00C11622">
        <w:rPr>
          <w:sz w:val="24"/>
          <w:szCs w:val="24"/>
        </w:rPr>
        <w:t xml:space="preserve">refer to these two categories of study. Acquisition Studies are a recognized qualitative method for calculating DLOM. </w:t>
      </w:r>
    </w:p>
    <w:p w14:paraId="47766826" w14:textId="5BB083CC" w:rsidR="00B8603C" w:rsidRDefault="00B8603C" w:rsidP="00B8603C">
      <w:pPr>
        <w:rPr>
          <w:sz w:val="24"/>
          <w:szCs w:val="24"/>
        </w:rPr>
      </w:pPr>
    </w:p>
    <w:p w14:paraId="513AD070" w14:textId="77777777" w:rsidR="00866191" w:rsidRPr="00866191" w:rsidRDefault="008577B3" w:rsidP="00866191">
      <w:pPr>
        <w:rPr>
          <w:sz w:val="24"/>
          <w:szCs w:val="24"/>
        </w:rPr>
      </w:pPr>
      <w:r w:rsidRPr="00A53FB3">
        <w:rPr>
          <w:sz w:val="24"/>
          <w:szCs w:val="24"/>
          <w:u w:val="single"/>
        </w:rPr>
        <w:t xml:space="preserve">Restricted Stock </w:t>
      </w:r>
      <w:r w:rsidR="00E07B23">
        <w:rPr>
          <w:sz w:val="24"/>
          <w:szCs w:val="24"/>
          <w:u w:val="single"/>
        </w:rPr>
        <w:t>Method</w:t>
      </w:r>
      <w:r w:rsidRPr="00A53FB3">
        <w:rPr>
          <w:sz w:val="24"/>
          <w:szCs w:val="24"/>
          <w:u w:val="single"/>
        </w:rPr>
        <w:br/>
      </w:r>
      <w:r w:rsidR="00866191" w:rsidRPr="00866191">
        <w:rPr>
          <w:sz w:val="24"/>
          <w:szCs w:val="24"/>
        </w:rPr>
        <w:t xml:space="preserve">By contrasting the selling prices of restricted shares and publicly traded shares from the same firm, this technique assesses the impact of limited marketability. With the exception of their marketability, these shares are indistinguishable. Because restricted stock allows for the comparison of normally freely traded shares within the same firm, sometimes all at once, the presented findings are quite convincing. </w:t>
      </w:r>
    </w:p>
    <w:p w14:paraId="63D2E340" w14:textId="3E41C053" w:rsidR="00E469C5" w:rsidRPr="00E469C5" w:rsidRDefault="001B6FD8" w:rsidP="00E469C5">
      <w:pPr>
        <w:rPr>
          <w:sz w:val="24"/>
          <w:szCs w:val="24"/>
        </w:rPr>
      </w:pPr>
      <w:r w:rsidRPr="001B6FD8">
        <w:rPr>
          <w:sz w:val="24"/>
          <w:szCs w:val="24"/>
        </w:rPr>
        <w:br/>
      </w:r>
      <w:r w:rsidR="00E469C5" w:rsidRPr="00E469C5">
        <w:rPr>
          <w:sz w:val="24"/>
          <w:szCs w:val="24"/>
        </w:rPr>
        <w:t xml:space="preserve">Registration with the SEC has been mandatory for investment firms since 1969 in order to reveal the methods used to determine the value of restricted securities and other transaction data. Due to the data's accessibility, analysts were able to establish that investment firms' acquired assets did not have a marketability discount, which they then used to calculate the discount on closely held interests. </w:t>
      </w:r>
      <w:r w:rsidR="004C74B7" w:rsidRPr="004C74B7">
        <w:rPr>
          <w:sz w:val="24"/>
          <w:szCs w:val="24"/>
        </w:rPr>
        <w:t xml:space="preserve">Several notable studies on restricted stock have been conducted by various organizations and individuals. These include the SEC institutional investor (1971), Gelman (1972), Moroney (1973), Maher (1976), Trout (1977), Arneson (1981), Stryker and Pittock (1983), Wruck (1989), Silber (1991), Hertzel and Smith (1993), Hall and Polacek (1994), Johnson (1999), Columbia Financial Advisors, Inc. (Study 1 &amp; Study 2) (2000), Bajaj et al. (2001), Barclay et al. (2007), </w:t>
      </w:r>
      <w:proofErr w:type="spellStart"/>
      <w:r w:rsidR="004C74B7" w:rsidRPr="004C74B7">
        <w:rPr>
          <w:sz w:val="24"/>
          <w:szCs w:val="24"/>
        </w:rPr>
        <w:t>Pluris</w:t>
      </w:r>
      <w:proofErr w:type="spellEnd"/>
      <w:r w:rsidR="004C74B7" w:rsidRPr="004C74B7">
        <w:rPr>
          <w:sz w:val="24"/>
          <w:szCs w:val="24"/>
        </w:rPr>
        <w:t xml:space="preserve"> (2007), Willamette Management Associates (2007), Management Planning, Inc. (2009), SRR (2011), </w:t>
      </w:r>
      <w:proofErr w:type="spellStart"/>
      <w:r w:rsidR="004C74B7" w:rsidRPr="004C74B7">
        <w:rPr>
          <w:sz w:val="24"/>
          <w:szCs w:val="24"/>
        </w:rPr>
        <w:t>Trugman</w:t>
      </w:r>
      <w:proofErr w:type="spellEnd"/>
      <w:r w:rsidR="004C74B7" w:rsidRPr="004C74B7">
        <w:rPr>
          <w:sz w:val="24"/>
          <w:szCs w:val="24"/>
        </w:rPr>
        <w:t xml:space="preserve"> Valuation Associates Inc. (2011), FMV Opinions (2015), Stout (2023)</w:t>
      </w:r>
      <w:r w:rsidR="00907F2C">
        <w:rPr>
          <w:sz w:val="24"/>
          <w:szCs w:val="24"/>
        </w:rPr>
        <w:t xml:space="preserve">, and </w:t>
      </w:r>
      <w:r w:rsidR="00907F2C" w:rsidRPr="004C74B7">
        <w:rPr>
          <w:sz w:val="24"/>
          <w:szCs w:val="24"/>
        </w:rPr>
        <w:t>BVR Survey (2021)</w:t>
      </w:r>
      <w:r w:rsidR="004C74B7" w:rsidRPr="004C74B7">
        <w:rPr>
          <w:sz w:val="24"/>
          <w:szCs w:val="24"/>
        </w:rPr>
        <w:t>.</w:t>
      </w:r>
    </w:p>
    <w:p w14:paraId="77FC7267" w14:textId="3DD32F2A" w:rsidR="001B6FD8" w:rsidRPr="001B6FD8" w:rsidRDefault="001B6FD8" w:rsidP="001B6FD8">
      <w:pPr>
        <w:rPr>
          <w:sz w:val="24"/>
          <w:szCs w:val="24"/>
        </w:rPr>
      </w:pPr>
      <w:r w:rsidRPr="001B6FD8">
        <w:rPr>
          <w:sz w:val="24"/>
          <w:szCs w:val="24"/>
        </w:rPr>
        <w:br/>
        <w:t xml:space="preserve">Numerous grievances have arisen over the utilization of </w:t>
      </w:r>
      <w:r w:rsidR="004B1431">
        <w:rPr>
          <w:sz w:val="24"/>
          <w:szCs w:val="24"/>
        </w:rPr>
        <w:t xml:space="preserve">the </w:t>
      </w:r>
      <w:r w:rsidR="004B1431" w:rsidRPr="004B1431">
        <w:rPr>
          <w:sz w:val="24"/>
          <w:szCs w:val="24"/>
        </w:rPr>
        <w:t>Restricted Stock Method</w:t>
      </w:r>
      <w:r w:rsidR="004B1431" w:rsidRPr="001B6FD8">
        <w:rPr>
          <w:sz w:val="24"/>
          <w:szCs w:val="24"/>
        </w:rPr>
        <w:t xml:space="preserve"> </w:t>
      </w:r>
      <w:r w:rsidRPr="001B6FD8">
        <w:rPr>
          <w:sz w:val="24"/>
          <w:szCs w:val="24"/>
        </w:rPr>
        <w:t xml:space="preserve">to substantiate non-marketability discounts for interests in privately held companies. </w:t>
      </w:r>
      <w:r w:rsidR="00F80670">
        <w:rPr>
          <w:sz w:val="24"/>
          <w:szCs w:val="24"/>
        </w:rPr>
        <w:t>T</w:t>
      </w:r>
      <w:r w:rsidRPr="001B6FD8">
        <w:rPr>
          <w:sz w:val="24"/>
          <w:szCs w:val="24"/>
        </w:rPr>
        <w:t xml:space="preserve">he primary disadvantages include: </w:t>
      </w:r>
      <w:r w:rsidR="00F14BC4" w:rsidRPr="00F14BC4">
        <w:rPr>
          <w:sz w:val="24"/>
          <w:szCs w:val="24"/>
        </w:rPr>
        <w:t xml:space="preserve">(1) Outdated market data; (2) Different issuer traits; (3) Discounts implying excessively high returns; (4) </w:t>
      </w:r>
      <w:r w:rsidR="009E0587" w:rsidRPr="009E0587">
        <w:rPr>
          <w:sz w:val="24"/>
          <w:szCs w:val="24"/>
        </w:rPr>
        <w:t xml:space="preserve">Economic factors beyond price cuts that show product unmarketability; </w:t>
      </w:r>
      <w:r w:rsidR="00F14BC4" w:rsidRPr="00F14BC4">
        <w:rPr>
          <w:sz w:val="24"/>
          <w:szCs w:val="24"/>
        </w:rPr>
        <w:t xml:space="preserve">and (5) </w:t>
      </w:r>
      <w:r w:rsidR="00F711E3" w:rsidRPr="00F711E3">
        <w:rPr>
          <w:sz w:val="24"/>
          <w:szCs w:val="24"/>
        </w:rPr>
        <w:t xml:space="preserve">Contrary to what restricted stock analysis suggests, hedging strategies would lead to reduced discounts. </w:t>
      </w:r>
      <w:r w:rsidR="00F14BC4" w:rsidRPr="00F14BC4">
        <w:rPr>
          <w:sz w:val="24"/>
          <w:szCs w:val="24"/>
        </w:rPr>
        <w:t>Therefore, we refrained from using this tactic in our thesis.</w:t>
      </w:r>
    </w:p>
    <w:p w14:paraId="299C2512" w14:textId="77777777" w:rsidR="00A37A50" w:rsidRDefault="008577B3" w:rsidP="00254E0E">
      <w:pPr>
        <w:rPr>
          <w:sz w:val="24"/>
          <w:szCs w:val="24"/>
        </w:rPr>
      </w:pPr>
      <w:r w:rsidRPr="008577B3">
        <w:rPr>
          <w:sz w:val="24"/>
          <w:szCs w:val="24"/>
        </w:rPr>
        <w:br/>
      </w:r>
      <w:r w:rsidRPr="00A53FB3">
        <w:rPr>
          <w:sz w:val="24"/>
          <w:szCs w:val="24"/>
          <w:u w:val="single"/>
        </w:rPr>
        <w:t xml:space="preserve">Pre-IPO </w:t>
      </w:r>
      <w:r w:rsidR="00E07B23">
        <w:rPr>
          <w:sz w:val="24"/>
          <w:szCs w:val="24"/>
          <w:u w:val="single"/>
        </w:rPr>
        <w:t>Method</w:t>
      </w:r>
      <w:r w:rsidRPr="00A53FB3">
        <w:rPr>
          <w:sz w:val="24"/>
          <w:szCs w:val="24"/>
          <w:u w:val="single"/>
        </w:rPr>
        <w:br/>
      </w:r>
      <w:r w:rsidR="00C128EE" w:rsidRPr="00C128EE">
        <w:rPr>
          <w:sz w:val="24"/>
          <w:szCs w:val="24"/>
        </w:rPr>
        <w:t xml:space="preserve">Incorporating pre-IPO analysis into DLOM assessments dates back to the 1970s. In doing so, they evaluate a company's equity position based on its SEC filings and the post-IPO market price of common shares. Before the initial public offering (IPO), shares are considered illiquid; after the IPO, shares are considered completely liquid and can be traded freely. For the purpose of illustrating differences in marketability, the disparity between the two prices is essential. We looked at four major pre-IPO studies, including </w:t>
      </w:r>
      <w:r w:rsidR="00907F2C" w:rsidRPr="00C128EE">
        <w:rPr>
          <w:sz w:val="24"/>
          <w:szCs w:val="24"/>
        </w:rPr>
        <w:t xml:space="preserve">Emory </w:t>
      </w:r>
      <w:r w:rsidR="00907F2C">
        <w:rPr>
          <w:sz w:val="24"/>
          <w:szCs w:val="24"/>
        </w:rPr>
        <w:t>(2012)</w:t>
      </w:r>
      <w:r w:rsidR="00907F2C">
        <w:rPr>
          <w:sz w:val="24"/>
          <w:szCs w:val="24"/>
        </w:rPr>
        <w:t xml:space="preserve">, </w:t>
      </w:r>
      <w:r w:rsidR="00907F2C" w:rsidRPr="00C128EE">
        <w:rPr>
          <w:sz w:val="24"/>
          <w:szCs w:val="24"/>
        </w:rPr>
        <w:t>Hitchner and Morris</w:t>
      </w:r>
      <w:r w:rsidR="00907F2C">
        <w:rPr>
          <w:sz w:val="24"/>
          <w:szCs w:val="24"/>
        </w:rPr>
        <w:t xml:space="preserve"> (2011)</w:t>
      </w:r>
      <w:r w:rsidR="008D1F56">
        <w:rPr>
          <w:sz w:val="24"/>
          <w:szCs w:val="24"/>
        </w:rPr>
        <w:t xml:space="preserve">, </w:t>
      </w:r>
      <w:r w:rsidR="00C128EE" w:rsidRPr="00C128EE">
        <w:rPr>
          <w:sz w:val="24"/>
          <w:szCs w:val="24"/>
        </w:rPr>
        <w:t xml:space="preserve">Willamette Management Associates </w:t>
      </w:r>
      <w:r w:rsidR="002F77C2">
        <w:rPr>
          <w:sz w:val="24"/>
          <w:szCs w:val="24"/>
        </w:rPr>
        <w:t>(2009)</w:t>
      </w:r>
      <w:r w:rsidR="00DD7E32">
        <w:rPr>
          <w:sz w:val="24"/>
          <w:szCs w:val="24"/>
        </w:rPr>
        <w:t>,</w:t>
      </w:r>
      <w:r w:rsidR="00C128EE" w:rsidRPr="00C128EE">
        <w:rPr>
          <w:sz w:val="24"/>
          <w:szCs w:val="24"/>
        </w:rPr>
        <w:t xml:space="preserve"> </w:t>
      </w:r>
      <w:r w:rsidR="008D1F56">
        <w:rPr>
          <w:sz w:val="24"/>
          <w:szCs w:val="24"/>
        </w:rPr>
        <w:t xml:space="preserve">and </w:t>
      </w:r>
      <w:r w:rsidR="00C128EE" w:rsidRPr="00C128EE">
        <w:rPr>
          <w:sz w:val="24"/>
          <w:szCs w:val="24"/>
        </w:rPr>
        <w:t>Valuation Advisors</w:t>
      </w:r>
      <w:r w:rsidR="002F77C2">
        <w:rPr>
          <w:sz w:val="24"/>
          <w:szCs w:val="24"/>
        </w:rPr>
        <w:t xml:space="preserve"> (</w:t>
      </w:r>
      <w:r w:rsidR="002F77C2" w:rsidRPr="00C128EE">
        <w:rPr>
          <w:sz w:val="24"/>
          <w:szCs w:val="24"/>
        </w:rPr>
        <w:t>2007</w:t>
      </w:r>
      <w:r w:rsidR="002F77C2">
        <w:rPr>
          <w:sz w:val="24"/>
          <w:szCs w:val="24"/>
        </w:rPr>
        <w:t>)</w:t>
      </w:r>
      <w:r w:rsidR="008D1F56">
        <w:rPr>
          <w:sz w:val="24"/>
          <w:szCs w:val="24"/>
        </w:rPr>
        <w:t>.</w:t>
      </w:r>
      <w:r w:rsidR="00A33E83" w:rsidRPr="00A33E83">
        <w:rPr>
          <w:sz w:val="24"/>
          <w:szCs w:val="24"/>
        </w:rPr>
        <w:br/>
      </w:r>
      <w:r w:rsidR="00A33E83" w:rsidRPr="00A33E83">
        <w:rPr>
          <w:sz w:val="24"/>
          <w:szCs w:val="24"/>
        </w:rPr>
        <w:br/>
        <w:t xml:space="preserve">The </w:t>
      </w:r>
      <w:r w:rsidR="0021519A">
        <w:rPr>
          <w:sz w:val="24"/>
          <w:szCs w:val="24"/>
        </w:rPr>
        <w:t>P</w:t>
      </w:r>
      <w:r w:rsidR="00A33E83" w:rsidRPr="00A33E83">
        <w:rPr>
          <w:sz w:val="24"/>
          <w:szCs w:val="24"/>
        </w:rPr>
        <w:t xml:space="preserve">re-IPO </w:t>
      </w:r>
      <w:r w:rsidR="0021519A">
        <w:rPr>
          <w:sz w:val="24"/>
          <w:szCs w:val="24"/>
        </w:rPr>
        <w:t>Method</w:t>
      </w:r>
      <w:r w:rsidR="00A33E83" w:rsidRPr="00A33E83">
        <w:rPr>
          <w:sz w:val="24"/>
          <w:szCs w:val="24"/>
        </w:rPr>
        <w:t xml:space="preserve"> exhibits certain drawbacks. Z. Christopher Mercer et al. (2011) assert that the duration from a pre-IPO agreement to an IPO is frequently protracted. </w:t>
      </w:r>
      <w:r w:rsidR="00322273" w:rsidRPr="008F790B">
        <w:rPr>
          <w:sz w:val="24"/>
          <w:szCs w:val="24"/>
        </w:rPr>
        <w:t xml:space="preserve">Unlike </w:t>
      </w:r>
      <w:r w:rsidR="00322273">
        <w:rPr>
          <w:sz w:val="24"/>
          <w:szCs w:val="24"/>
        </w:rPr>
        <w:t>Restric</w:t>
      </w:r>
      <w:r w:rsidR="00322273" w:rsidRPr="008F790B">
        <w:rPr>
          <w:sz w:val="24"/>
          <w:szCs w:val="24"/>
        </w:rPr>
        <w:t xml:space="preserve">ted </w:t>
      </w:r>
      <w:r w:rsidR="00322273">
        <w:rPr>
          <w:sz w:val="24"/>
          <w:szCs w:val="24"/>
        </w:rPr>
        <w:t>S</w:t>
      </w:r>
      <w:r w:rsidR="00322273" w:rsidRPr="008F790B">
        <w:rPr>
          <w:sz w:val="24"/>
          <w:szCs w:val="24"/>
        </w:rPr>
        <w:t xml:space="preserve">tock </w:t>
      </w:r>
      <w:r w:rsidR="00322273">
        <w:rPr>
          <w:sz w:val="24"/>
          <w:szCs w:val="24"/>
        </w:rPr>
        <w:t>Method</w:t>
      </w:r>
      <w:r w:rsidR="00322273" w:rsidRPr="008F790B">
        <w:rPr>
          <w:sz w:val="24"/>
          <w:szCs w:val="24"/>
        </w:rPr>
        <w:t xml:space="preserve">, which compare the two stocks' prices at the same time, pre-IPO studies do not. </w:t>
      </w:r>
      <w:r w:rsidR="00A33E83" w:rsidRPr="00A33E83">
        <w:rPr>
          <w:sz w:val="24"/>
          <w:szCs w:val="24"/>
        </w:rPr>
        <w:t xml:space="preserve">Analysis of private transactions occurring between five months and three years preceding the IPO reveals other, unrelated factors contributing to the price escalation. </w:t>
      </w:r>
      <w:r w:rsidR="008F790B" w:rsidRPr="008F790B">
        <w:rPr>
          <w:sz w:val="24"/>
          <w:szCs w:val="24"/>
        </w:rPr>
        <w:t xml:space="preserve">So, changes in price have a major impact on the company's fundamentals and its marketability. Contrarily, according to Z. Christopher Mercer et al. (2011), undervaluation is common practice in pre-IPO agreements in order to ensure complete subscription. Criticisms of pre-IPO studies include the following points: (1) </w:t>
      </w:r>
      <w:r w:rsidR="00286ADE" w:rsidRPr="00286ADE">
        <w:rPr>
          <w:sz w:val="24"/>
          <w:szCs w:val="24"/>
        </w:rPr>
        <w:t>elements unrelated to marketability being considered</w:t>
      </w:r>
      <w:r w:rsidR="008F790B" w:rsidRPr="008F790B">
        <w:rPr>
          <w:sz w:val="24"/>
          <w:szCs w:val="24"/>
        </w:rPr>
        <w:t xml:space="preserve">; (2) </w:t>
      </w:r>
      <w:r w:rsidR="00E376DE" w:rsidRPr="00E376DE">
        <w:rPr>
          <w:sz w:val="24"/>
          <w:szCs w:val="24"/>
        </w:rPr>
        <w:t xml:space="preserve">the use of price comparisons that do not take into account the current market circumstances; </w:t>
      </w:r>
      <w:r w:rsidR="008F790B" w:rsidRPr="008F790B">
        <w:rPr>
          <w:sz w:val="24"/>
          <w:szCs w:val="24"/>
        </w:rPr>
        <w:t xml:space="preserve">(3) </w:t>
      </w:r>
      <w:r w:rsidR="00CA5996" w:rsidRPr="00CA5996">
        <w:rPr>
          <w:sz w:val="24"/>
          <w:szCs w:val="24"/>
        </w:rPr>
        <w:t xml:space="preserve">inflation due to the passage of time; </w:t>
      </w:r>
      <w:r w:rsidR="008F790B" w:rsidRPr="008F790B">
        <w:rPr>
          <w:sz w:val="24"/>
          <w:szCs w:val="24"/>
        </w:rPr>
        <w:t>(4)</w:t>
      </w:r>
      <w:r w:rsidR="007D6110" w:rsidRPr="007D6110">
        <w:t xml:space="preserve"> </w:t>
      </w:r>
      <w:r w:rsidR="007D6110" w:rsidRPr="007D6110">
        <w:rPr>
          <w:sz w:val="24"/>
          <w:szCs w:val="24"/>
        </w:rPr>
        <w:t xml:space="preserve">remuneration for insider services being represented; </w:t>
      </w:r>
      <w:r w:rsidR="008F790B" w:rsidRPr="008F790B">
        <w:rPr>
          <w:sz w:val="24"/>
          <w:szCs w:val="24"/>
        </w:rPr>
        <w:t xml:space="preserve">(5) </w:t>
      </w:r>
      <w:r w:rsidR="0010663C" w:rsidRPr="0010663C">
        <w:rPr>
          <w:sz w:val="24"/>
          <w:szCs w:val="24"/>
        </w:rPr>
        <w:t xml:space="preserve">overstatement due to biases in self-selection and survivorship; </w:t>
      </w:r>
      <w:r w:rsidR="008F790B" w:rsidRPr="008F790B">
        <w:rPr>
          <w:sz w:val="24"/>
          <w:szCs w:val="24"/>
        </w:rPr>
        <w:t xml:space="preserve">(6) </w:t>
      </w:r>
      <w:r w:rsidR="00143361" w:rsidRPr="00143361">
        <w:rPr>
          <w:sz w:val="24"/>
          <w:szCs w:val="24"/>
        </w:rPr>
        <w:t xml:space="preserve">suggestion of extremely big profits; </w:t>
      </w:r>
      <w:r w:rsidR="008F790B" w:rsidRPr="008F790B">
        <w:rPr>
          <w:sz w:val="24"/>
          <w:szCs w:val="24"/>
        </w:rPr>
        <w:t xml:space="preserve">(7) manifestation of IPO price speculation; (8) </w:t>
      </w:r>
      <w:r w:rsidR="001531BA" w:rsidRPr="001531BA">
        <w:rPr>
          <w:sz w:val="24"/>
          <w:szCs w:val="24"/>
        </w:rPr>
        <w:t>initial public offerings (IPOs) coincide with rising profits</w:t>
      </w:r>
      <w:r w:rsidR="008F790B" w:rsidRPr="008F790B">
        <w:rPr>
          <w:sz w:val="24"/>
          <w:szCs w:val="24"/>
        </w:rPr>
        <w:t xml:space="preserve">; and (9) </w:t>
      </w:r>
      <w:r w:rsidR="002849D5" w:rsidRPr="002849D5">
        <w:rPr>
          <w:sz w:val="24"/>
          <w:szCs w:val="24"/>
        </w:rPr>
        <w:t xml:space="preserve">the presence of inaccurate data. </w:t>
      </w:r>
      <w:r w:rsidR="00272808">
        <w:rPr>
          <w:sz w:val="24"/>
          <w:szCs w:val="24"/>
        </w:rPr>
        <w:t>Therefore, this</w:t>
      </w:r>
      <w:r w:rsidR="008F790B" w:rsidRPr="008F790B">
        <w:rPr>
          <w:sz w:val="24"/>
          <w:szCs w:val="24"/>
        </w:rPr>
        <w:t xml:space="preserve"> </w:t>
      </w:r>
      <w:r w:rsidR="00272808">
        <w:rPr>
          <w:sz w:val="24"/>
          <w:szCs w:val="24"/>
        </w:rPr>
        <w:t>method</w:t>
      </w:r>
      <w:r w:rsidR="008F790B" w:rsidRPr="008F790B">
        <w:rPr>
          <w:sz w:val="24"/>
          <w:szCs w:val="24"/>
        </w:rPr>
        <w:t xml:space="preserve"> </w:t>
      </w:r>
      <w:r w:rsidR="00272808">
        <w:rPr>
          <w:sz w:val="24"/>
          <w:szCs w:val="24"/>
        </w:rPr>
        <w:t xml:space="preserve">is not adopted </w:t>
      </w:r>
      <w:r w:rsidR="008F790B" w:rsidRPr="008F790B">
        <w:rPr>
          <w:sz w:val="24"/>
          <w:szCs w:val="24"/>
        </w:rPr>
        <w:t>in our thesis.</w:t>
      </w:r>
      <w:r w:rsidR="00A33E83" w:rsidRPr="00A33E83">
        <w:rPr>
          <w:sz w:val="24"/>
          <w:szCs w:val="24"/>
        </w:rPr>
        <w:br/>
      </w:r>
      <w:r w:rsidRPr="008577B3">
        <w:rPr>
          <w:sz w:val="24"/>
          <w:szCs w:val="24"/>
        </w:rPr>
        <w:br/>
      </w:r>
      <w:r w:rsidRPr="00A53FB3">
        <w:rPr>
          <w:sz w:val="24"/>
          <w:szCs w:val="24"/>
          <w:u w:val="single"/>
        </w:rPr>
        <w:t xml:space="preserve">Acquisition </w:t>
      </w:r>
      <w:r w:rsidR="00E07B23">
        <w:rPr>
          <w:sz w:val="24"/>
          <w:szCs w:val="24"/>
          <w:u w:val="single"/>
        </w:rPr>
        <w:t>Method</w:t>
      </w:r>
      <w:r w:rsidRPr="00A53FB3">
        <w:rPr>
          <w:sz w:val="24"/>
          <w:szCs w:val="24"/>
          <w:u w:val="single"/>
        </w:rPr>
        <w:br/>
      </w:r>
      <w:r w:rsidR="00A37A50" w:rsidRPr="00A37A50">
        <w:rPr>
          <w:sz w:val="24"/>
          <w:szCs w:val="24"/>
        </w:rPr>
        <w:t xml:space="preserve">With this strategy, we can see how private companies stack up against similar public companies in terms of purchase price multiples. According to the fundamental principle of the technique, illiquidity may be indicated by the fact that private enterprises are typically valued at lower pricing multiples than public companies. Although some analysts utilize these studies to support DLOMs, others use them to choose and adjust market multiples in the market approach. </w:t>
      </w:r>
      <w:r w:rsidR="00B54940" w:rsidRPr="00B54940">
        <w:rPr>
          <w:sz w:val="24"/>
          <w:szCs w:val="24"/>
        </w:rPr>
        <w:t xml:space="preserve">The Historical Acquisition Studies encompass the following works: Koeplin Study (2000), Kooli (2003), Officer (2007), Block (2007), Paglia (2010), Gus De Franco (2011), Kim van </w:t>
      </w:r>
      <w:proofErr w:type="spellStart"/>
      <w:r w:rsidR="00B54940" w:rsidRPr="00B54940">
        <w:rPr>
          <w:sz w:val="24"/>
          <w:szCs w:val="24"/>
        </w:rPr>
        <w:t>Oeveren</w:t>
      </w:r>
      <w:proofErr w:type="spellEnd"/>
      <w:r w:rsidR="00B54940" w:rsidRPr="00B54940">
        <w:rPr>
          <w:sz w:val="24"/>
          <w:szCs w:val="24"/>
        </w:rPr>
        <w:t xml:space="preserve"> (2018), Emanuel Bagna (2020), Peter L Lohrey (2020), </w:t>
      </w:r>
      <w:r w:rsidR="00313487" w:rsidRPr="00B54940">
        <w:rPr>
          <w:sz w:val="24"/>
          <w:szCs w:val="24"/>
        </w:rPr>
        <w:t>Patrick Rozario and Kenneth Ma (2024)</w:t>
      </w:r>
      <w:r w:rsidR="00D2474A">
        <w:rPr>
          <w:sz w:val="24"/>
          <w:szCs w:val="24"/>
        </w:rPr>
        <w:t xml:space="preserve"> and </w:t>
      </w:r>
      <w:r w:rsidR="00B54940" w:rsidRPr="00B54940">
        <w:rPr>
          <w:sz w:val="24"/>
          <w:szCs w:val="24"/>
        </w:rPr>
        <w:t xml:space="preserve">Alfred Karlsson &amp; Emil Jönsson (2022). </w:t>
      </w:r>
    </w:p>
    <w:p w14:paraId="6D7271E3" w14:textId="5CD15946" w:rsidR="00254E0E" w:rsidRPr="00254E0E" w:rsidRDefault="00B54940" w:rsidP="00254E0E">
      <w:pPr>
        <w:rPr>
          <w:sz w:val="24"/>
          <w:szCs w:val="24"/>
        </w:rPr>
      </w:pPr>
      <w:r w:rsidRPr="00B54940">
        <w:rPr>
          <w:sz w:val="24"/>
          <w:szCs w:val="24"/>
        </w:rPr>
        <w:br/>
      </w:r>
      <w:r w:rsidR="00254E0E" w:rsidRPr="00254E0E">
        <w:rPr>
          <w:sz w:val="24"/>
          <w:szCs w:val="24"/>
        </w:rPr>
        <w:t>We shall use the Acquisition Method in our thesis. In the market method of valuation, some analysts use assessments to pick and adjust market multiples; in the acquisition method, they typically use a discount for lack of marketability. The DLOM in Hong Kong was studied quarterly and annually by Patrick Rozario and Kenneth Ma (2024), however their research only covered that period and didn't include any analysis or data from other months. A three</w:t>
      </w:r>
      <w:r w:rsidR="0006088B">
        <w:rPr>
          <w:sz w:val="24"/>
          <w:szCs w:val="24"/>
        </w:rPr>
        <w:t xml:space="preserve"> to five </w:t>
      </w:r>
      <w:r w:rsidR="00254E0E" w:rsidRPr="00254E0E">
        <w:rPr>
          <w:sz w:val="24"/>
          <w:szCs w:val="24"/>
        </w:rPr>
        <w:t xml:space="preserve">year DLOM result would be more relevant and useful, according to experts and consumers, because DLOM is usually used in appraisals that include long-term cash flow predictions. For this reason, we conduct an analysis of the DLOM using data collected over the past five years using the Acquisition Approach, allowing us to draw more accurate conclusions. </w:t>
      </w:r>
    </w:p>
    <w:p w14:paraId="60BDA408" w14:textId="67D53EF3" w:rsidR="0062226A" w:rsidRPr="0062226A" w:rsidRDefault="008577B3" w:rsidP="0062226A">
      <w:pPr>
        <w:rPr>
          <w:sz w:val="24"/>
          <w:szCs w:val="24"/>
        </w:rPr>
      </w:pPr>
      <w:r w:rsidRPr="008577B3">
        <w:rPr>
          <w:sz w:val="24"/>
          <w:szCs w:val="24"/>
        </w:rPr>
        <w:br/>
      </w:r>
      <w:r w:rsidRPr="008577B3">
        <w:rPr>
          <w:b/>
          <w:bCs/>
          <w:sz w:val="24"/>
          <w:szCs w:val="24"/>
        </w:rPr>
        <w:t xml:space="preserve">Quantitative </w:t>
      </w:r>
      <w:r>
        <w:rPr>
          <w:b/>
          <w:bCs/>
          <w:sz w:val="24"/>
          <w:szCs w:val="24"/>
        </w:rPr>
        <w:t>Approach</w:t>
      </w:r>
      <w:r w:rsidRPr="008577B3">
        <w:rPr>
          <w:sz w:val="24"/>
          <w:szCs w:val="24"/>
        </w:rPr>
        <w:br/>
      </w:r>
      <w:r w:rsidR="009B0DDC" w:rsidRPr="009B0DDC">
        <w:rPr>
          <w:sz w:val="24"/>
          <w:szCs w:val="24"/>
        </w:rPr>
        <w:t xml:space="preserve">The focus of the Quantitative Approach is on the quantification of data gathering and analysis, as stated by Alan Bryman et al. (2021). </w:t>
      </w:r>
      <w:r w:rsidR="0029088A" w:rsidRPr="0029088A">
        <w:rPr>
          <w:sz w:val="24"/>
          <w:szCs w:val="24"/>
        </w:rPr>
        <w:t>It is based on a deductive procedure that places an emphasis on testing theories and is informed by positivism and empiricism. Its wide research approach spanning different academic subjects is demonstrated by the deployment of several quantitative methods and techniques, which support this achievement. The DLOM can be quantitatively estimated using either an option pricing model or a shareholder cash flow adjustment model.</w:t>
      </w:r>
    </w:p>
    <w:p w14:paraId="53352DB1" w14:textId="3C0A46CC" w:rsidR="00FC1789" w:rsidRDefault="008577B3" w:rsidP="00BF7C0D">
      <w:pPr>
        <w:rPr>
          <w:sz w:val="24"/>
          <w:szCs w:val="24"/>
        </w:rPr>
      </w:pPr>
      <w:r w:rsidRPr="008577B3">
        <w:rPr>
          <w:sz w:val="24"/>
          <w:szCs w:val="24"/>
        </w:rPr>
        <w:br/>
      </w:r>
      <w:r w:rsidRPr="00A53FB3">
        <w:rPr>
          <w:sz w:val="24"/>
          <w:szCs w:val="24"/>
          <w:u w:val="single"/>
        </w:rPr>
        <w:t xml:space="preserve">Option Pricing Models </w:t>
      </w:r>
      <w:r w:rsidRPr="00A53FB3">
        <w:rPr>
          <w:sz w:val="24"/>
          <w:szCs w:val="24"/>
          <w:u w:val="single"/>
        </w:rPr>
        <w:br/>
      </w:r>
      <w:r w:rsidR="005A2142" w:rsidRPr="005A2142">
        <w:rPr>
          <w:sz w:val="24"/>
          <w:szCs w:val="24"/>
        </w:rPr>
        <w:t>Over the years, a plethora of option pricing models have emerged</w:t>
      </w:r>
      <w:r w:rsidR="005A2142">
        <w:rPr>
          <w:sz w:val="24"/>
          <w:szCs w:val="24"/>
        </w:rPr>
        <w:t>. E</w:t>
      </w:r>
      <w:r w:rsidR="00F9510E" w:rsidRPr="00F9510E">
        <w:rPr>
          <w:sz w:val="24"/>
          <w:szCs w:val="24"/>
        </w:rPr>
        <w:t xml:space="preserve">ach based on distinct assumptions regarding the opportunity costs encountered by investors. Nonmarketable investments may require liquidation at significant discounts. Investors face opportunity costs stemming from legislative restrictions on stock resale, exacerbating the price penalty linked to illiquidity. In the realm of option pricing, these decreases are rational when considering the inherent volatility, risk, holding period, and occasionally, dividend yields of the underlying investment. Opportunity cost, sometimes referred to as the idea of foregone choices, is an economic principle utilized by option pricing models to evaluate DLOM. </w:t>
      </w:r>
      <w:r w:rsidR="00200C3A" w:rsidRPr="00200C3A">
        <w:rPr>
          <w:sz w:val="24"/>
          <w:szCs w:val="24"/>
        </w:rPr>
        <w:t>Successful investors have a knack for diversifying their holdings, spotting exciting new investment opportunities, and making a profit with little outlay of capital. The absence of attractive liquidity options results in an opportunity cost for investors holding nonmarketable assets. In order to make up for the opportunities lost because of market frictions making it impossible to resell unmarketable stock, investors are demanding steep discounts. Assuming the best-case scenario, a shareholder with illiquid shares could buy a put option to sell them</w:t>
      </w:r>
      <w:r w:rsidR="00C07CC9">
        <w:rPr>
          <w:sz w:val="24"/>
          <w:szCs w:val="24"/>
        </w:rPr>
        <w:t xml:space="preserve">. </w:t>
      </w:r>
      <w:r w:rsidR="00C07CC9" w:rsidRPr="00C07CC9">
        <w:rPr>
          <w:sz w:val="24"/>
          <w:szCs w:val="24"/>
        </w:rPr>
        <w:t>One can determine the opportunity costs of lost financial gains during the security's restricted time by applying the option's price, which is derived from pricing models.</w:t>
      </w:r>
      <w:r w:rsidR="00200C3A" w:rsidRPr="00200C3A">
        <w:rPr>
          <w:sz w:val="24"/>
          <w:szCs w:val="24"/>
        </w:rPr>
        <w:t xml:space="preserve"> </w:t>
      </w:r>
      <w:r w:rsidR="00F9510E" w:rsidRPr="00F9510E">
        <w:rPr>
          <w:sz w:val="24"/>
          <w:szCs w:val="24"/>
        </w:rPr>
        <w:t xml:space="preserve">Prominent option pricing models include those developed by </w:t>
      </w:r>
      <w:r w:rsidR="00984BF0" w:rsidRPr="00F9510E">
        <w:rPr>
          <w:sz w:val="24"/>
          <w:szCs w:val="24"/>
        </w:rPr>
        <w:t xml:space="preserve">Longstaff (1995), </w:t>
      </w:r>
      <w:r w:rsidR="00F9510E" w:rsidRPr="00F9510E">
        <w:rPr>
          <w:sz w:val="24"/>
          <w:szCs w:val="24"/>
        </w:rPr>
        <w:t xml:space="preserve">Chaffe (1993), and Finnerty (2012). </w:t>
      </w:r>
      <w:r w:rsidR="00F9510E" w:rsidRPr="00F9510E">
        <w:rPr>
          <w:sz w:val="24"/>
          <w:szCs w:val="24"/>
        </w:rPr>
        <w:br/>
      </w:r>
      <w:r w:rsidR="00F9510E" w:rsidRPr="00F9510E">
        <w:rPr>
          <w:sz w:val="24"/>
          <w:szCs w:val="24"/>
        </w:rPr>
        <w:br/>
      </w:r>
      <w:r w:rsidR="006E7487" w:rsidRPr="006E7487">
        <w:rPr>
          <w:sz w:val="24"/>
          <w:szCs w:val="24"/>
        </w:rPr>
        <w:t xml:space="preserve">But the Option Pricing Model has a lot of problems. Contrary to well-established DLOM theory, Chaffe's model predicts that the DLOM should rise when interest rates fall. Limiting the model to companies that pay dividends, distributions weaken DLOM's basis by making put options and implied DLOM more valuable. This model might not be sufficient for long-term DLOM assessments due to the fact that the Black-Scholes put value falls as the option term increases after reaching its peak. Since other qualitative elements impact DLOM, the approach "should be employed exclusively as a proxy" about DLOM. Investors utilizing Longstaff's strategy ought to not bank on dividend payments from the underlying asset. </w:t>
      </w:r>
      <w:r w:rsidR="00A323BA" w:rsidRPr="00A323BA">
        <w:rPr>
          <w:sz w:val="24"/>
          <w:szCs w:val="24"/>
        </w:rPr>
        <w:t xml:space="preserve">Overvaluation of the discount on dividend-yielding assets occurs in the model because payouts are expected to, in theory, reduce marketability discounts. The model's economic alternative differs from the actual liquidity choice. </w:t>
      </w:r>
      <w:r w:rsidR="00FC32AB" w:rsidRPr="00FC32AB">
        <w:rPr>
          <w:sz w:val="24"/>
          <w:szCs w:val="24"/>
        </w:rPr>
        <w:t xml:space="preserve">Throughout the duration of the option, the holder of a Longstaff option can repurchase shares at the maximum price of the option. No holder of the option may sell shares at the present market price while the option is in force. If there are qualitative considerations that impact the marketability discount, the model will not take them into account. </w:t>
      </w:r>
      <w:r w:rsidR="00F9510E" w:rsidRPr="00F9510E">
        <w:rPr>
          <w:sz w:val="24"/>
          <w:szCs w:val="24"/>
        </w:rPr>
        <w:t xml:space="preserve">The expiry rewards for the actual liquidity option may be elevated in Longstaff's model. Upon the expiration of an average-strike put option, the holder may liquidate their shares at the average realized price from prior transactions. Due to the elevated liquidity, the holder can liquidate it at any moment at the prevailing market rate. Provided the dividend yield is sufficiently high, the model's sensitivity analysis indicates that the anticipated DLOM diminishes as the holding time extends. This discovery contradicts the DLOM theory. The model disregards all qualitative characteristics while determining the marketability discount. Consequently, our argument does not utilize the Option Pricing Model. </w:t>
      </w:r>
      <w:r w:rsidR="00F9510E" w:rsidRPr="00F9510E">
        <w:rPr>
          <w:sz w:val="24"/>
          <w:szCs w:val="24"/>
        </w:rPr>
        <w:br/>
      </w:r>
      <w:r w:rsidRPr="008577B3">
        <w:rPr>
          <w:sz w:val="24"/>
          <w:szCs w:val="24"/>
        </w:rPr>
        <w:br/>
      </w:r>
      <w:r w:rsidRPr="00A53FB3">
        <w:rPr>
          <w:sz w:val="24"/>
          <w:szCs w:val="24"/>
          <w:u w:val="single"/>
        </w:rPr>
        <w:t xml:space="preserve">Shareholder Cash Flow Adjustment Models </w:t>
      </w:r>
      <w:r w:rsidRPr="00A53FB3">
        <w:rPr>
          <w:sz w:val="24"/>
          <w:szCs w:val="24"/>
          <w:u w:val="single"/>
        </w:rPr>
        <w:br/>
      </w:r>
      <w:r w:rsidR="00BF7C0D" w:rsidRPr="00BF7C0D">
        <w:rPr>
          <w:sz w:val="24"/>
          <w:szCs w:val="24"/>
        </w:rPr>
        <w:t xml:space="preserve">The Quantitative Marketability Discount Model (2020) (QMDM) and the NERA CAPM-Based Method (2002) are two prominent methods for adjusting shareholder cash flow. </w:t>
      </w:r>
      <w:r w:rsidR="00580172" w:rsidRPr="00580172">
        <w:rPr>
          <w:sz w:val="24"/>
          <w:szCs w:val="24"/>
        </w:rPr>
        <w:t>The QMDM theory suggests a marketability discount based on the linear relationship between the intrinsic value of a company and the valuations placed on it by its shareholders. The value to the company is often more than the value to the shareholders. Using discounted cash flow inputs, the QMDM considers the interests of minority owners when applied to privately held enterprises. The QMDM employs a concurrent enterprise valuation alongside the assessment of nonmarketable minority claims since business estimations are highly correlated with shareholder expectations for growth, risk, and cash flows.</w:t>
      </w:r>
    </w:p>
    <w:p w14:paraId="645C23F8" w14:textId="37867938" w:rsidR="009271D5" w:rsidRPr="00BF7C0D" w:rsidRDefault="00BF7C0D" w:rsidP="00BF7C0D">
      <w:pPr>
        <w:rPr>
          <w:sz w:val="24"/>
          <w:szCs w:val="24"/>
        </w:rPr>
      </w:pPr>
      <w:r w:rsidRPr="00BF7C0D">
        <w:rPr>
          <w:sz w:val="24"/>
          <w:szCs w:val="24"/>
        </w:rPr>
        <w:br/>
      </w:r>
      <w:r w:rsidR="00E33558" w:rsidRPr="00E33558">
        <w:rPr>
          <w:sz w:val="24"/>
          <w:szCs w:val="24"/>
        </w:rPr>
        <w:t xml:space="preserve">Nevertheless, Shareholder Cash Flow Adjustment Models do have a few flaws. When considering the amount of assumptions needed for a comprehensive review, concerns about the model's assumption requirements don't seem to matter. </w:t>
      </w:r>
      <w:r w:rsidR="00197ED4" w:rsidRPr="00197ED4">
        <w:rPr>
          <w:sz w:val="24"/>
          <w:szCs w:val="24"/>
        </w:rPr>
        <w:t xml:space="preserve">The DLOM process begins with the enterprise value, which is dependent on a multitude of intricate assumptions; it is sometimes called the equity value before discounts. </w:t>
      </w:r>
      <w:r w:rsidR="00E33558" w:rsidRPr="00E33558">
        <w:rPr>
          <w:sz w:val="24"/>
          <w:szCs w:val="24"/>
        </w:rPr>
        <w:t xml:space="preserve">There are certain assumptions that are inherent to valuation, regardless of the methodology that is used. For instance, in order to use discounted future cash flow analysis, a long set of growth, risk, and cash flow assumptions must be compiled. </w:t>
      </w:r>
      <w:r w:rsidRPr="00BF7C0D">
        <w:rPr>
          <w:sz w:val="24"/>
          <w:szCs w:val="24"/>
        </w:rPr>
        <w:t xml:space="preserve">To employ a market method, it is essential to identify comparable transactions and/or publicly listed entities pertinent to your interest. Consequently, condemning the QMDM for excessive dependence on assumptions becomes myopic. The valuation approach of the NERA CAPM-Based Method entails specific assumptions, irrespective of the value assessment. </w:t>
      </w:r>
      <w:r w:rsidR="00A90318" w:rsidRPr="00A90318">
        <w:rPr>
          <w:sz w:val="24"/>
          <w:szCs w:val="24"/>
        </w:rPr>
        <w:t xml:space="preserve">The Tabak model's equity risk premium is a point of controversy. </w:t>
      </w:r>
      <w:r w:rsidRPr="00BF7C0D">
        <w:rPr>
          <w:sz w:val="24"/>
          <w:szCs w:val="24"/>
        </w:rPr>
        <w:t xml:space="preserve">Consequently, our argument does not employ the Shareholder Cash Flow Adjustment Model. </w:t>
      </w:r>
      <w:r w:rsidRPr="00BF7C0D">
        <w:rPr>
          <w:sz w:val="24"/>
          <w:szCs w:val="24"/>
        </w:rPr>
        <w:br/>
      </w:r>
    </w:p>
    <w:p w14:paraId="363F400E" w14:textId="246CEB33" w:rsidR="00720EC4" w:rsidRPr="00720EC4" w:rsidRDefault="00720EC4" w:rsidP="00720EC4">
      <w:pPr>
        <w:ind w:left="720"/>
        <w:jc w:val="center"/>
        <w:rPr>
          <w:b/>
          <w:iCs/>
        </w:rPr>
      </w:pPr>
      <w:r w:rsidRPr="00720EC4">
        <w:rPr>
          <w:b/>
          <w:iCs/>
        </w:rPr>
        <w:t>RESEARCH AIM(S) AND OBJECTIVES</w:t>
      </w:r>
    </w:p>
    <w:p w14:paraId="74CD86E6" w14:textId="77777777" w:rsidR="00312BEF" w:rsidRDefault="00312BEF" w:rsidP="001A3A60">
      <w:pPr>
        <w:jc w:val="both"/>
        <w:rPr>
          <w:rFonts w:eastAsia="宋体"/>
          <w:sz w:val="24"/>
          <w:szCs w:val="24"/>
        </w:rPr>
      </w:pPr>
    </w:p>
    <w:p w14:paraId="5A3249FE" w14:textId="16F88630" w:rsidR="00720EC4" w:rsidRDefault="00A6706C" w:rsidP="008F4295">
      <w:pPr>
        <w:jc w:val="both"/>
        <w:rPr>
          <w:rFonts w:eastAsia="宋体"/>
          <w:sz w:val="24"/>
          <w:szCs w:val="24"/>
        </w:rPr>
      </w:pPr>
      <w:r>
        <w:rPr>
          <w:rFonts w:eastAsia="宋体"/>
          <w:sz w:val="24"/>
          <w:szCs w:val="24"/>
        </w:rPr>
        <w:t xml:space="preserve">Aim of our research is to derive a DLOM of Hong Kong market. </w:t>
      </w:r>
      <w:r w:rsidR="00312BEF">
        <w:rPr>
          <w:rFonts w:eastAsia="宋体"/>
          <w:sz w:val="24"/>
          <w:szCs w:val="24"/>
        </w:rPr>
        <w:t>Based on the literature review,</w:t>
      </w:r>
      <w:r w:rsidR="00E62739">
        <w:rPr>
          <w:rFonts w:eastAsia="宋体"/>
          <w:sz w:val="24"/>
          <w:szCs w:val="24"/>
        </w:rPr>
        <w:t xml:space="preserve"> </w:t>
      </w:r>
      <w:r w:rsidR="000C39B0">
        <w:rPr>
          <w:sz w:val="24"/>
          <w:szCs w:val="24"/>
        </w:rPr>
        <w:t xml:space="preserve">both </w:t>
      </w:r>
      <w:r w:rsidR="000C39B0">
        <w:rPr>
          <w:rFonts w:eastAsia="宋体"/>
          <w:sz w:val="24"/>
          <w:szCs w:val="24"/>
        </w:rPr>
        <w:t>Acquisition Method and Survey Method of Qualitative Approach</w:t>
      </w:r>
      <w:r w:rsidR="00791FE6">
        <w:rPr>
          <w:rFonts w:eastAsia="宋体"/>
          <w:sz w:val="24"/>
          <w:szCs w:val="24"/>
        </w:rPr>
        <w:t xml:space="preserve"> will be adopted in our research</w:t>
      </w:r>
      <w:r w:rsidR="0067134A">
        <w:rPr>
          <w:rFonts w:eastAsia="宋体"/>
          <w:sz w:val="24"/>
          <w:szCs w:val="24"/>
        </w:rPr>
        <w:t>.</w:t>
      </w:r>
      <w:r w:rsidR="000F52C4">
        <w:rPr>
          <w:rFonts w:eastAsia="宋体"/>
          <w:sz w:val="24"/>
          <w:szCs w:val="24"/>
        </w:rPr>
        <w:t xml:space="preserve"> </w:t>
      </w:r>
      <w:r w:rsidR="006C2D13" w:rsidRPr="006C2D13">
        <w:rPr>
          <w:sz w:val="24"/>
          <w:szCs w:val="24"/>
        </w:rPr>
        <w:t xml:space="preserve">Our </w:t>
      </w:r>
      <w:r w:rsidR="006C2D13">
        <w:rPr>
          <w:sz w:val="24"/>
          <w:szCs w:val="24"/>
        </w:rPr>
        <w:t>thesis</w:t>
      </w:r>
      <w:r w:rsidR="006C2D13" w:rsidRPr="006C2D13">
        <w:rPr>
          <w:sz w:val="24"/>
          <w:szCs w:val="24"/>
        </w:rPr>
        <w:t xml:space="preserve"> will be the first of its kind to examine the DLOM in the Hong Kong market because no previous research has done so in a thorough or credible manner.</w:t>
      </w:r>
    </w:p>
    <w:p w14:paraId="35A59AEC" w14:textId="77777777" w:rsidR="00B86979" w:rsidRDefault="00B86979" w:rsidP="00720EC4">
      <w:pPr>
        <w:ind w:left="720"/>
        <w:jc w:val="center"/>
        <w:rPr>
          <w:b/>
          <w:iCs/>
        </w:rPr>
      </w:pPr>
    </w:p>
    <w:p w14:paraId="564D6A9E" w14:textId="15F6BC61" w:rsidR="00720EC4" w:rsidRDefault="00720EC4" w:rsidP="00720EC4">
      <w:pPr>
        <w:ind w:left="720"/>
        <w:jc w:val="center"/>
        <w:rPr>
          <w:b/>
          <w:iCs/>
        </w:rPr>
      </w:pPr>
      <w:r w:rsidRPr="00720EC4">
        <w:rPr>
          <w:b/>
          <w:iCs/>
        </w:rPr>
        <w:t>PROPOSED METHODOLOGY</w:t>
      </w:r>
    </w:p>
    <w:p w14:paraId="6B1B82FC" w14:textId="77777777" w:rsidR="00B86979" w:rsidRPr="00720EC4" w:rsidRDefault="00B86979" w:rsidP="00720EC4">
      <w:pPr>
        <w:ind w:left="720"/>
        <w:jc w:val="center"/>
        <w:rPr>
          <w:b/>
          <w:iCs/>
        </w:rPr>
      </w:pPr>
    </w:p>
    <w:p w14:paraId="09762F90" w14:textId="371B6C2F" w:rsidR="0078413D" w:rsidRDefault="001937B7" w:rsidP="005D4A80">
      <w:pPr>
        <w:jc w:val="both"/>
        <w:rPr>
          <w:rFonts w:eastAsia="宋体"/>
          <w:sz w:val="24"/>
          <w:szCs w:val="24"/>
        </w:rPr>
      </w:pPr>
      <w:r>
        <w:rPr>
          <w:rFonts w:eastAsia="宋体"/>
          <w:sz w:val="24"/>
          <w:szCs w:val="24"/>
        </w:rPr>
        <w:t xml:space="preserve">In the </w:t>
      </w:r>
      <w:r w:rsidR="005D4A80">
        <w:rPr>
          <w:rFonts w:eastAsia="宋体"/>
          <w:sz w:val="24"/>
          <w:szCs w:val="24"/>
        </w:rPr>
        <w:t>Acquisition Method</w:t>
      </w:r>
      <w:r w:rsidR="00E8749D">
        <w:rPr>
          <w:rFonts w:eastAsia="宋体"/>
          <w:sz w:val="24"/>
          <w:szCs w:val="24"/>
        </w:rPr>
        <w:t xml:space="preserve">, we </w:t>
      </w:r>
      <w:r w:rsidR="00E66CFB">
        <w:rPr>
          <w:rFonts w:eastAsia="宋体"/>
          <w:sz w:val="24"/>
          <w:szCs w:val="24"/>
        </w:rPr>
        <w:t xml:space="preserve">follow the methodology of empirical study from US and Europe that </w:t>
      </w:r>
      <w:r w:rsidR="00E8749D">
        <w:rPr>
          <w:rFonts w:eastAsia="宋体"/>
          <w:sz w:val="24"/>
          <w:szCs w:val="24"/>
        </w:rPr>
        <w:t>compare the Ratio</w:t>
      </w:r>
      <w:r w:rsidR="00534627">
        <w:rPr>
          <w:rFonts w:eastAsia="宋体"/>
          <w:sz w:val="24"/>
          <w:szCs w:val="24"/>
        </w:rPr>
        <w:t xml:space="preserve"> </w:t>
      </w:r>
      <w:r w:rsidR="0008214D">
        <w:rPr>
          <w:rFonts w:eastAsia="宋体"/>
          <w:sz w:val="24"/>
          <w:szCs w:val="24"/>
        </w:rPr>
        <w:t>Price/Sales, Price/Earnings and Price/Book between</w:t>
      </w:r>
      <w:r w:rsidR="00534627">
        <w:rPr>
          <w:rFonts w:eastAsia="宋体"/>
          <w:sz w:val="24"/>
          <w:szCs w:val="24"/>
        </w:rPr>
        <w:t xml:space="preserve"> the acquirer </w:t>
      </w:r>
      <w:r w:rsidR="0008214D">
        <w:rPr>
          <w:rFonts w:eastAsia="宋体"/>
          <w:sz w:val="24"/>
          <w:szCs w:val="24"/>
        </w:rPr>
        <w:t>(</w:t>
      </w:r>
      <w:r w:rsidR="00077B70">
        <w:rPr>
          <w:rFonts w:eastAsia="宋体"/>
          <w:sz w:val="24"/>
          <w:szCs w:val="24"/>
        </w:rPr>
        <w:t>a listed</w:t>
      </w:r>
      <w:r w:rsidR="00326143">
        <w:rPr>
          <w:rFonts w:eastAsia="宋体"/>
          <w:sz w:val="24"/>
          <w:szCs w:val="24"/>
        </w:rPr>
        <w:t xml:space="preserve"> company) </w:t>
      </w:r>
      <w:r w:rsidR="00534627">
        <w:rPr>
          <w:rFonts w:eastAsia="宋体"/>
          <w:sz w:val="24"/>
          <w:szCs w:val="24"/>
        </w:rPr>
        <w:t xml:space="preserve">and the </w:t>
      </w:r>
      <w:r w:rsidR="00CD5B27">
        <w:rPr>
          <w:rFonts w:eastAsia="宋体"/>
          <w:sz w:val="24"/>
          <w:szCs w:val="24"/>
        </w:rPr>
        <w:t xml:space="preserve">target </w:t>
      </w:r>
      <w:r w:rsidR="00077B70">
        <w:rPr>
          <w:rFonts w:eastAsia="宋体"/>
          <w:sz w:val="24"/>
          <w:szCs w:val="24"/>
        </w:rPr>
        <w:t>(a non-listed company) in</w:t>
      </w:r>
      <w:r w:rsidR="00CD5B27">
        <w:rPr>
          <w:rFonts w:eastAsia="宋体"/>
          <w:sz w:val="24"/>
          <w:szCs w:val="24"/>
        </w:rPr>
        <w:t xml:space="preserve"> an acquisition </w:t>
      </w:r>
      <w:r w:rsidR="00077B70">
        <w:rPr>
          <w:rFonts w:eastAsia="宋体"/>
          <w:sz w:val="24"/>
          <w:szCs w:val="24"/>
        </w:rPr>
        <w:t xml:space="preserve">transaction </w:t>
      </w:r>
      <w:r w:rsidR="00CD5B27">
        <w:rPr>
          <w:rFonts w:eastAsia="宋体"/>
          <w:sz w:val="24"/>
          <w:szCs w:val="24"/>
        </w:rPr>
        <w:t xml:space="preserve">in order to derive </w:t>
      </w:r>
      <w:r w:rsidR="00CA2CD4">
        <w:rPr>
          <w:rFonts w:eastAsia="宋体"/>
          <w:sz w:val="24"/>
          <w:szCs w:val="24"/>
        </w:rPr>
        <w:t xml:space="preserve">a difference </w:t>
      </w:r>
      <w:r w:rsidR="006C4A5E">
        <w:rPr>
          <w:rFonts w:eastAsia="宋体"/>
          <w:sz w:val="24"/>
          <w:szCs w:val="24"/>
        </w:rPr>
        <w:t>(the “Difference”</w:t>
      </w:r>
      <w:r w:rsidR="00184A29">
        <w:rPr>
          <w:rFonts w:eastAsia="宋体"/>
          <w:sz w:val="24"/>
          <w:szCs w:val="24"/>
        </w:rPr>
        <w:t>)</w:t>
      </w:r>
      <w:r w:rsidR="00F24608">
        <w:rPr>
          <w:rFonts w:eastAsia="宋体"/>
          <w:sz w:val="24"/>
          <w:szCs w:val="24"/>
        </w:rPr>
        <w:t xml:space="preserve"> </w:t>
      </w:r>
      <w:r w:rsidR="0078413D">
        <w:rPr>
          <w:rFonts w:eastAsia="宋体"/>
          <w:sz w:val="24"/>
          <w:szCs w:val="24"/>
        </w:rPr>
        <w:t xml:space="preserve">of these three Ratios between the acquirer and the </w:t>
      </w:r>
      <w:r w:rsidR="00B47485">
        <w:rPr>
          <w:rFonts w:eastAsia="宋体"/>
          <w:sz w:val="24"/>
          <w:szCs w:val="24"/>
        </w:rPr>
        <w:t>target</w:t>
      </w:r>
      <w:r w:rsidR="0078413D">
        <w:rPr>
          <w:rFonts w:eastAsia="宋体"/>
          <w:sz w:val="24"/>
          <w:szCs w:val="24"/>
        </w:rPr>
        <w:t>.</w:t>
      </w:r>
      <w:r w:rsidR="0002538F">
        <w:rPr>
          <w:rFonts w:eastAsia="宋体"/>
          <w:sz w:val="24"/>
          <w:szCs w:val="24"/>
        </w:rPr>
        <w:t xml:space="preserve"> </w:t>
      </w:r>
      <w:r w:rsidR="00BB761C" w:rsidRPr="00BB761C">
        <w:rPr>
          <w:rFonts w:eastAsia="宋体"/>
          <w:sz w:val="24"/>
          <w:szCs w:val="24"/>
        </w:rPr>
        <w:t>If these Ratios are different for listed and non-listed companies, then the value of the former is discounted.</w:t>
      </w:r>
    </w:p>
    <w:p w14:paraId="67AEEA28" w14:textId="77777777" w:rsidR="00E761CA" w:rsidRDefault="00E761CA" w:rsidP="00CF14BF">
      <w:pPr>
        <w:spacing w:line="240" w:lineRule="auto"/>
        <w:jc w:val="both"/>
        <w:rPr>
          <w:rFonts w:eastAsia="宋体"/>
          <w:sz w:val="24"/>
          <w:szCs w:val="24"/>
        </w:rPr>
      </w:pPr>
    </w:p>
    <w:p w14:paraId="042AB904" w14:textId="275C125B" w:rsidR="00720EC4" w:rsidRPr="00CF14BF" w:rsidRDefault="00CF14BF" w:rsidP="00645277">
      <w:pPr>
        <w:jc w:val="both"/>
        <w:rPr>
          <w:rFonts w:eastAsia="宋体"/>
          <w:sz w:val="24"/>
          <w:szCs w:val="24"/>
        </w:rPr>
      </w:pPr>
      <w:r>
        <w:rPr>
          <w:rFonts w:eastAsia="宋体"/>
          <w:sz w:val="24"/>
          <w:szCs w:val="24"/>
        </w:rPr>
        <w:t>In the Sur</w:t>
      </w:r>
      <w:r w:rsidR="0097183D">
        <w:rPr>
          <w:rFonts w:eastAsia="宋体"/>
          <w:sz w:val="24"/>
          <w:szCs w:val="24"/>
        </w:rPr>
        <w:t xml:space="preserve">vey Method, </w:t>
      </w:r>
      <w:r w:rsidR="00390720">
        <w:rPr>
          <w:rFonts w:eastAsia="宋体"/>
          <w:sz w:val="24"/>
          <w:szCs w:val="24"/>
        </w:rPr>
        <w:t xml:space="preserve">following the </w:t>
      </w:r>
      <w:r w:rsidR="0085053D">
        <w:rPr>
          <w:rFonts w:eastAsia="宋体"/>
          <w:sz w:val="24"/>
          <w:szCs w:val="24"/>
        </w:rPr>
        <w:t xml:space="preserve">methodology of empirical study from US and Europe, </w:t>
      </w:r>
      <w:r w:rsidR="00244964">
        <w:rPr>
          <w:rFonts w:eastAsia="宋体"/>
          <w:sz w:val="24"/>
          <w:szCs w:val="24"/>
        </w:rPr>
        <w:t xml:space="preserve">more than </w:t>
      </w:r>
      <w:r w:rsidR="009A0DB1">
        <w:rPr>
          <w:rFonts w:eastAsia="宋体"/>
          <w:sz w:val="24"/>
          <w:szCs w:val="24"/>
        </w:rPr>
        <w:t>5</w:t>
      </w:r>
      <w:r w:rsidR="00250D89">
        <w:rPr>
          <w:rFonts w:eastAsia="宋体"/>
          <w:sz w:val="24"/>
          <w:szCs w:val="24"/>
        </w:rPr>
        <w:t xml:space="preserve">0 </w:t>
      </w:r>
      <w:r w:rsidR="00244964">
        <w:rPr>
          <w:rFonts w:eastAsia="宋体"/>
          <w:sz w:val="24"/>
          <w:szCs w:val="24"/>
        </w:rPr>
        <w:t>Chief Executive Officer</w:t>
      </w:r>
      <w:r w:rsidR="00250D89">
        <w:rPr>
          <w:rFonts w:eastAsia="宋体"/>
          <w:sz w:val="24"/>
          <w:szCs w:val="24"/>
        </w:rPr>
        <w:t>s</w:t>
      </w:r>
      <w:r w:rsidR="00244964">
        <w:rPr>
          <w:rFonts w:eastAsia="宋体"/>
          <w:sz w:val="24"/>
          <w:szCs w:val="24"/>
        </w:rPr>
        <w:t xml:space="preserve"> </w:t>
      </w:r>
      <w:r w:rsidR="009A0DB1">
        <w:rPr>
          <w:rFonts w:eastAsia="宋体"/>
          <w:sz w:val="24"/>
          <w:szCs w:val="24"/>
        </w:rPr>
        <w:t>or</w:t>
      </w:r>
      <w:r w:rsidR="00244964">
        <w:rPr>
          <w:rFonts w:eastAsia="宋体"/>
          <w:sz w:val="24"/>
          <w:szCs w:val="24"/>
        </w:rPr>
        <w:t xml:space="preserve"> Chief Financial Officer</w:t>
      </w:r>
      <w:r w:rsidR="00250D89">
        <w:rPr>
          <w:rFonts w:eastAsia="宋体"/>
          <w:sz w:val="24"/>
          <w:szCs w:val="24"/>
        </w:rPr>
        <w:t xml:space="preserve">s </w:t>
      </w:r>
      <w:r w:rsidR="00FE79A6">
        <w:rPr>
          <w:rFonts w:eastAsia="宋体"/>
          <w:sz w:val="24"/>
          <w:szCs w:val="24"/>
        </w:rPr>
        <w:t>from</w:t>
      </w:r>
      <w:r w:rsidR="009A0DB1">
        <w:rPr>
          <w:rFonts w:eastAsia="宋体"/>
          <w:sz w:val="24"/>
          <w:szCs w:val="24"/>
        </w:rPr>
        <w:t xml:space="preserve"> both listed and non-listed companies in Hong Kong </w:t>
      </w:r>
      <w:r w:rsidR="009D136A">
        <w:rPr>
          <w:rFonts w:eastAsia="宋体"/>
          <w:sz w:val="24"/>
          <w:szCs w:val="24"/>
        </w:rPr>
        <w:t xml:space="preserve">will be interviewed </w:t>
      </w:r>
      <w:r w:rsidR="00250D89">
        <w:rPr>
          <w:rFonts w:eastAsia="宋体"/>
          <w:sz w:val="24"/>
          <w:szCs w:val="24"/>
        </w:rPr>
        <w:t>about their expected DLOM</w:t>
      </w:r>
      <w:r w:rsidR="00BD697B">
        <w:rPr>
          <w:rFonts w:eastAsia="宋体"/>
          <w:sz w:val="24"/>
          <w:szCs w:val="24"/>
        </w:rPr>
        <w:t xml:space="preserve">. </w:t>
      </w:r>
    </w:p>
    <w:p w14:paraId="76088DEA" w14:textId="77777777" w:rsidR="00720EC4" w:rsidRPr="00672499" w:rsidRDefault="00720EC4" w:rsidP="00720EC4">
      <w:pPr>
        <w:ind w:left="720"/>
        <w:jc w:val="both"/>
        <w:rPr>
          <w:rFonts w:eastAsia="宋体"/>
          <w:sz w:val="24"/>
          <w:szCs w:val="24"/>
        </w:rPr>
      </w:pPr>
    </w:p>
    <w:p w14:paraId="41394471" w14:textId="74904B86" w:rsidR="00720EC4" w:rsidRPr="00720EC4" w:rsidRDefault="00720EC4" w:rsidP="00720EC4">
      <w:pPr>
        <w:ind w:left="720"/>
        <w:jc w:val="center"/>
        <w:rPr>
          <w:b/>
          <w:iCs/>
        </w:rPr>
      </w:pPr>
      <w:r w:rsidRPr="00720EC4">
        <w:rPr>
          <w:b/>
          <w:iCs/>
        </w:rPr>
        <w:t>EXPECTED OUTCOMES AND CONTRIBUTIONS</w:t>
      </w:r>
    </w:p>
    <w:p w14:paraId="1E5EF973" w14:textId="77777777" w:rsidR="001F78E0" w:rsidRDefault="001F78E0" w:rsidP="00720EC4">
      <w:pPr>
        <w:ind w:left="720"/>
        <w:jc w:val="both"/>
        <w:rPr>
          <w:sz w:val="24"/>
          <w:szCs w:val="24"/>
        </w:rPr>
      </w:pPr>
    </w:p>
    <w:p w14:paraId="24555D99" w14:textId="5B87991E" w:rsidR="001F78E0" w:rsidRDefault="001F78E0" w:rsidP="008D5E93">
      <w:pPr>
        <w:jc w:val="both"/>
        <w:rPr>
          <w:rFonts w:eastAsia="宋体"/>
          <w:sz w:val="24"/>
          <w:szCs w:val="24"/>
        </w:rPr>
      </w:pPr>
      <w:r>
        <w:rPr>
          <w:rFonts w:eastAsia="宋体"/>
          <w:sz w:val="24"/>
          <w:szCs w:val="24"/>
        </w:rPr>
        <w:t>According to the listing rule of Hong Kong Stock Exchange, both acquirer and the target should be in same or similar business and industry, which guarantee the Difference is due to the difference of marketability but not the business between the Acquirer and the Target</w:t>
      </w:r>
      <w:r w:rsidR="006705B3">
        <w:rPr>
          <w:rFonts w:eastAsia="宋体"/>
          <w:sz w:val="24"/>
          <w:szCs w:val="24"/>
        </w:rPr>
        <w:t xml:space="preserve"> in the Acquisition Method</w:t>
      </w:r>
      <w:r>
        <w:rPr>
          <w:rFonts w:eastAsia="宋体"/>
          <w:sz w:val="24"/>
          <w:szCs w:val="24"/>
        </w:rPr>
        <w:t>.</w:t>
      </w:r>
    </w:p>
    <w:p w14:paraId="0C39E519" w14:textId="77777777" w:rsidR="001F78E0" w:rsidRPr="008D5E93" w:rsidRDefault="001F78E0" w:rsidP="008D5E93">
      <w:pPr>
        <w:jc w:val="both"/>
        <w:rPr>
          <w:rFonts w:eastAsia="宋体"/>
          <w:sz w:val="24"/>
          <w:szCs w:val="24"/>
        </w:rPr>
      </w:pPr>
    </w:p>
    <w:p w14:paraId="10B0A03C" w14:textId="21383D34" w:rsidR="00185844" w:rsidRDefault="00317E4B" w:rsidP="008D5E93">
      <w:pPr>
        <w:jc w:val="both"/>
        <w:rPr>
          <w:rFonts w:eastAsia="宋体"/>
          <w:sz w:val="24"/>
          <w:szCs w:val="24"/>
        </w:rPr>
      </w:pPr>
      <w:r>
        <w:rPr>
          <w:rFonts w:eastAsia="宋体"/>
          <w:sz w:val="24"/>
          <w:szCs w:val="24"/>
        </w:rPr>
        <w:t xml:space="preserve">In the Survey Method, we </w:t>
      </w:r>
      <w:r w:rsidR="00F4770D">
        <w:rPr>
          <w:rFonts w:eastAsia="宋体"/>
          <w:sz w:val="24"/>
          <w:szCs w:val="24"/>
        </w:rPr>
        <w:t>will</w:t>
      </w:r>
      <w:r>
        <w:rPr>
          <w:rFonts w:eastAsia="宋体"/>
          <w:sz w:val="24"/>
          <w:szCs w:val="24"/>
        </w:rPr>
        <w:t xml:space="preserve"> summarize and analyse the findings and see if it match the DLOM resulted from the Acquisition Method. The DLOM obtained from the Survey</w:t>
      </w:r>
      <w:r w:rsidR="0068347B">
        <w:rPr>
          <w:rFonts w:eastAsia="宋体"/>
          <w:sz w:val="24"/>
          <w:szCs w:val="24"/>
        </w:rPr>
        <w:t xml:space="preserve"> Method may even provide an future estimate</w:t>
      </w:r>
      <w:r w:rsidR="00BE4A25">
        <w:rPr>
          <w:rFonts w:eastAsia="宋体"/>
          <w:sz w:val="24"/>
          <w:szCs w:val="24"/>
        </w:rPr>
        <w:t xml:space="preserve"> or future prospect but not only confine to historical </w:t>
      </w:r>
      <w:r w:rsidR="00895D88">
        <w:rPr>
          <w:rFonts w:eastAsia="宋体"/>
          <w:sz w:val="24"/>
          <w:szCs w:val="24"/>
        </w:rPr>
        <w:t>and current element in the Acquis</w:t>
      </w:r>
      <w:r w:rsidR="00B968FF">
        <w:rPr>
          <w:rFonts w:eastAsia="宋体"/>
          <w:sz w:val="24"/>
          <w:szCs w:val="24"/>
        </w:rPr>
        <w:t>ition Method.</w:t>
      </w:r>
    </w:p>
    <w:p w14:paraId="28832D25" w14:textId="77777777" w:rsidR="00317E4B" w:rsidRDefault="00317E4B" w:rsidP="008D5E93">
      <w:pPr>
        <w:jc w:val="both"/>
        <w:rPr>
          <w:rFonts w:eastAsia="宋体"/>
          <w:sz w:val="24"/>
          <w:szCs w:val="24"/>
        </w:rPr>
      </w:pPr>
    </w:p>
    <w:p w14:paraId="4D037566" w14:textId="2904DF64" w:rsidR="00720EC4" w:rsidRPr="008D5E93" w:rsidRDefault="00963E9C" w:rsidP="008D5E93">
      <w:pPr>
        <w:jc w:val="both"/>
        <w:rPr>
          <w:rFonts w:eastAsia="宋体"/>
          <w:sz w:val="24"/>
          <w:szCs w:val="24"/>
        </w:rPr>
      </w:pPr>
      <w:r w:rsidRPr="008D5E93">
        <w:rPr>
          <w:rFonts w:eastAsia="宋体"/>
          <w:sz w:val="24"/>
          <w:szCs w:val="24"/>
        </w:rPr>
        <w:t>After all, both t</w:t>
      </w:r>
      <w:r w:rsidR="00C741A5" w:rsidRPr="008D5E93">
        <w:rPr>
          <w:rFonts w:eastAsia="宋体"/>
          <w:sz w:val="24"/>
          <w:szCs w:val="24"/>
        </w:rPr>
        <w:t xml:space="preserve">he United States and Europe have produced </w:t>
      </w:r>
      <w:r w:rsidR="00B04D02" w:rsidRPr="008D5E93">
        <w:rPr>
          <w:rFonts w:eastAsia="宋体"/>
          <w:sz w:val="24"/>
          <w:szCs w:val="24"/>
        </w:rPr>
        <w:t>ample</w:t>
      </w:r>
      <w:r w:rsidR="00C741A5" w:rsidRPr="008D5E93">
        <w:rPr>
          <w:rFonts w:eastAsia="宋体"/>
          <w:sz w:val="24"/>
          <w:szCs w:val="24"/>
        </w:rPr>
        <w:t xml:space="preserve"> empirical research</w:t>
      </w:r>
      <w:r w:rsidR="00FA378E" w:rsidRPr="008D5E93">
        <w:rPr>
          <w:rFonts w:eastAsia="宋体"/>
          <w:sz w:val="24"/>
          <w:szCs w:val="24"/>
        </w:rPr>
        <w:t>es</w:t>
      </w:r>
      <w:r w:rsidR="00C741A5" w:rsidRPr="008D5E93">
        <w:rPr>
          <w:rFonts w:eastAsia="宋体"/>
          <w:sz w:val="24"/>
          <w:szCs w:val="24"/>
        </w:rPr>
        <w:t xml:space="preserve"> on DLOM in the last several decades.</w:t>
      </w:r>
      <w:r w:rsidR="00B04D02" w:rsidRPr="008D5E93">
        <w:rPr>
          <w:rFonts w:eastAsia="宋体"/>
          <w:sz w:val="24"/>
          <w:szCs w:val="24"/>
        </w:rPr>
        <w:t xml:space="preserve"> T</w:t>
      </w:r>
      <w:r w:rsidR="00A95B16" w:rsidRPr="008D5E93">
        <w:rPr>
          <w:rFonts w:eastAsia="宋体"/>
          <w:sz w:val="24"/>
          <w:szCs w:val="24"/>
        </w:rPr>
        <w:t>o certain degree, t</w:t>
      </w:r>
      <w:r w:rsidR="00B04D02" w:rsidRPr="008D5E93">
        <w:rPr>
          <w:rFonts w:eastAsia="宋体"/>
          <w:sz w:val="24"/>
          <w:szCs w:val="24"/>
        </w:rPr>
        <w:t>hose</w:t>
      </w:r>
      <w:r w:rsidR="00036270" w:rsidRPr="008D5E93">
        <w:rPr>
          <w:rFonts w:eastAsia="宋体"/>
          <w:sz w:val="24"/>
          <w:szCs w:val="24"/>
        </w:rPr>
        <w:t xml:space="preserve"> research</w:t>
      </w:r>
      <w:r w:rsidR="00FA378E" w:rsidRPr="008D5E93">
        <w:rPr>
          <w:rFonts w:eastAsia="宋体"/>
          <w:sz w:val="24"/>
          <w:szCs w:val="24"/>
        </w:rPr>
        <w:t>es</w:t>
      </w:r>
      <w:r w:rsidR="00036270" w:rsidRPr="008D5E93">
        <w:rPr>
          <w:rFonts w:eastAsia="宋体"/>
          <w:sz w:val="24"/>
          <w:szCs w:val="24"/>
        </w:rPr>
        <w:t xml:space="preserve"> reflect</w:t>
      </w:r>
      <w:r w:rsidR="00FA378E" w:rsidRPr="008D5E93">
        <w:rPr>
          <w:rFonts w:eastAsia="宋体"/>
          <w:sz w:val="24"/>
          <w:szCs w:val="24"/>
        </w:rPr>
        <w:t xml:space="preserve">ed </w:t>
      </w:r>
      <w:r w:rsidR="00C623F3" w:rsidRPr="008D5E93">
        <w:rPr>
          <w:rFonts w:eastAsia="宋体"/>
          <w:sz w:val="24"/>
          <w:szCs w:val="24"/>
        </w:rPr>
        <w:t xml:space="preserve">a representative DLOM in the global market. We </w:t>
      </w:r>
      <w:r w:rsidR="00DD603F" w:rsidRPr="008D5E93">
        <w:rPr>
          <w:rFonts w:eastAsia="宋体"/>
          <w:sz w:val="24"/>
          <w:szCs w:val="24"/>
        </w:rPr>
        <w:t xml:space="preserve">expect the results from out research will be similar to that </w:t>
      </w:r>
      <w:r w:rsidR="00FC78BF" w:rsidRPr="008D5E93">
        <w:rPr>
          <w:rFonts w:eastAsia="宋体"/>
          <w:sz w:val="24"/>
          <w:szCs w:val="24"/>
        </w:rPr>
        <w:t xml:space="preserve">of empirical researches although it is the first </w:t>
      </w:r>
      <w:r w:rsidR="00434364" w:rsidRPr="008D5E93">
        <w:rPr>
          <w:rFonts w:eastAsia="宋体"/>
          <w:sz w:val="24"/>
          <w:szCs w:val="24"/>
        </w:rPr>
        <w:t>comprehensive DLOM research in Hong Kong.</w:t>
      </w:r>
      <w:r w:rsidR="0042149E" w:rsidRPr="008D5E93">
        <w:rPr>
          <w:rFonts w:eastAsia="宋体"/>
          <w:sz w:val="24"/>
          <w:szCs w:val="24"/>
        </w:rPr>
        <w:t xml:space="preserve"> </w:t>
      </w:r>
    </w:p>
    <w:p w14:paraId="331700AE" w14:textId="77777777" w:rsidR="00B04D02" w:rsidRDefault="00B04D02" w:rsidP="00720EC4">
      <w:pPr>
        <w:ind w:left="720"/>
        <w:jc w:val="both"/>
        <w:rPr>
          <w:rFonts w:eastAsia="宋体"/>
          <w:sz w:val="24"/>
          <w:szCs w:val="24"/>
        </w:rPr>
      </w:pPr>
    </w:p>
    <w:p w14:paraId="3F18DFF0" w14:textId="77777777" w:rsidR="00720EC4" w:rsidRPr="00672499" w:rsidRDefault="00720EC4" w:rsidP="00720EC4">
      <w:pPr>
        <w:ind w:left="720"/>
        <w:jc w:val="both"/>
        <w:rPr>
          <w:rFonts w:eastAsia="宋体"/>
          <w:sz w:val="24"/>
          <w:szCs w:val="24"/>
        </w:rPr>
      </w:pPr>
    </w:p>
    <w:p w14:paraId="3853E171" w14:textId="584B84FC" w:rsidR="00720EC4" w:rsidRPr="00720EC4" w:rsidRDefault="00720EC4" w:rsidP="00720EC4">
      <w:pPr>
        <w:ind w:left="720"/>
        <w:jc w:val="center"/>
        <w:rPr>
          <w:b/>
          <w:iCs/>
        </w:rPr>
      </w:pPr>
      <w:r w:rsidRPr="00720EC4">
        <w:rPr>
          <w:b/>
          <w:iCs/>
        </w:rPr>
        <w:t>RESEARCH PLAN OF WORK AND TIMETABLE</w:t>
      </w:r>
    </w:p>
    <w:p w14:paraId="04FC6B12" w14:textId="1375EDA1" w:rsidR="00720EC4" w:rsidRDefault="00BE3A08" w:rsidP="002F622F">
      <w:pPr>
        <w:jc w:val="both"/>
        <w:rPr>
          <w:rFonts w:eastAsia="宋体"/>
          <w:sz w:val="24"/>
          <w:szCs w:val="24"/>
        </w:rPr>
      </w:pPr>
      <w:r>
        <w:rPr>
          <w:rFonts w:eastAsia="宋体"/>
          <w:sz w:val="24"/>
          <w:szCs w:val="24"/>
        </w:rPr>
        <w:t xml:space="preserve">Then research timeline start at </w:t>
      </w:r>
      <w:r w:rsidR="00BF4D70">
        <w:rPr>
          <w:rFonts w:eastAsia="宋体"/>
          <w:sz w:val="24"/>
          <w:szCs w:val="24"/>
        </w:rPr>
        <w:t xml:space="preserve">May 2925 and end at </w:t>
      </w:r>
      <w:r w:rsidR="00012156">
        <w:rPr>
          <w:rFonts w:eastAsia="宋体"/>
          <w:sz w:val="24"/>
          <w:szCs w:val="24"/>
        </w:rPr>
        <w:t>April 2028</w:t>
      </w:r>
      <w:r w:rsidR="009F6A5B">
        <w:rPr>
          <w:rFonts w:eastAsia="宋体"/>
          <w:sz w:val="24"/>
          <w:szCs w:val="24"/>
        </w:rPr>
        <w:t xml:space="preserve">. </w:t>
      </w:r>
      <w:r w:rsidR="0014522D">
        <w:rPr>
          <w:rFonts w:eastAsia="宋体"/>
          <w:sz w:val="24"/>
          <w:szCs w:val="24"/>
        </w:rPr>
        <w:t xml:space="preserve">The </w:t>
      </w:r>
      <w:r w:rsidR="0014522D" w:rsidRPr="002B6100">
        <w:rPr>
          <w:rFonts w:eastAsia="宋体"/>
          <w:sz w:val="24"/>
          <w:szCs w:val="24"/>
        </w:rPr>
        <w:t>Gantt cha</w:t>
      </w:r>
      <w:r w:rsidR="0014522D">
        <w:rPr>
          <w:rFonts w:eastAsia="宋体"/>
          <w:sz w:val="24"/>
          <w:szCs w:val="24"/>
        </w:rPr>
        <w:t>rt below show the details.</w:t>
      </w:r>
    </w:p>
    <w:p w14:paraId="4E052AD4" w14:textId="0323093F" w:rsidR="00634254" w:rsidRPr="002B6100" w:rsidRDefault="009F6A5B" w:rsidP="00634254">
      <w:pPr>
        <w:ind w:left="720" w:hanging="720"/>
        <w:jc w:val="both"/>
        <w:rPr>
          <w:rFonts w:eastAsia="宋体"/>
          <w:sz w:val="24"/>
          <w:szCs w:val="24"/>
        </w:rPr>
      </w:pPr>
      <w:r w:rsidRPr="009F6A5B">
        <w:rPr>
          <w:rFonts w:eastAsia="宋体"/>
          <w:noProof/>
          <w:sz w:val="24"/>
          <w:szCs w:val="24"/>
        </w:rPr>
        <w:drawing>
          <wp:inline distT="0" distB="0" distL="0" distR="0" wp14:anchorId="7226726D" wp14:editId="275B9A08">
            <wp:extent cx="5731510" cy="2682875"/>
            <wp:effectExtent l="0" t="0" r="2540" b="3175"/>
            <wp:docPr id="51137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73934" name=""/>
                    <pic:cNvPicPr/>
                  </pic:nvPicPr>
                  <pic:blipFill>
                    <a:blip r:embed="rId12"/>
                    <a:stretch>
                      <a:fillRect/>
                    </a:stretch>
                  </pic:blipFill>
                  <pic:spPr>
                    <a:xfrm>
                      <a:off x="0" y="0"/>
                      <a:ext cx="5731510" cy="2682875"/>
                    </a:xfrm>
                    <a:prstGeom prst="rect">
                      <a:avLst/>
                    </a:prstGeom>
                  </pic:spPr>
                </pic:pic>
              </a:graphicData>
            </a:graphic>
          </wp:inline>
        </w:drawing>
      </w:r>
    </w:p>
    <w:p w14:paraId="1033958E" w14:textId="77777777" w:rsidR="008824A5" w:rsidRDefault="008824A5" w:rsidP="001A7DA5">
      <w:pPr>
        <w:rPr>
          <w:b/>
          <w:bCs/>
          <w:sz w:val="24"/>
          <w:szCs w:val="24"/>
          <w:u w:val="single"/>
        </w:rPr>
      </w:pPr>
    </w:p>
    <w:p w14:paraId="6FA6793C" w14:textId="25CCE3A9" w:rsidR="00096F03" w:rsidRPr="008B1F7F" w:rsidRDefault="008B1F7F" w:rsidP="008B1F7F">
      <w:pPr>
        <w:jc w:val="center"/>
        <w:rPr>
          <w:b/>
          <w:bCs/>
          <w:sz w:val="24"/>
          <w:szCs w:val="24"/>
        </w:rPr>
      </w:pPr>
      <w:bookmarkStart w:id="0" w:name="_Hlk176633564"/>
      <w:r w:rsidRPr="008B1F7F">
        <w:rPr>
          <w:b/>
          <w:bCs/>
          <w:sz w:val="24"/>
          <w:szCs w:val="24"/>
        </w:rPr>
        <w:t>ANNOTATED BIBLIOGRAPHY</w:t>
      </w:r>
    </w:p>
    <w:bookmarkEnd w:id="0"/>
    <w:p w14:paraId="0CAAF9B1" w14:textId="77777777" w:rsidR="0040202D" w:rsidRPr="008B3DE8" w:rsidRDefault="0040202D" w:rsidP="008B1F7F">
      <w:pPr>
        <w:spacing w:line="240" w:lineRule="auto"/>
        <w:jc w:val="both"/>
        <w:rPr>
          <w:rFonts w:eastAsia="Times New Roman"/>
          <w:sz w:val="24"/>
          <w:szCs w:val="24"/>
        </w:rPr>
      </w:pPr>
    </w:p>
    <w:p w14:paraId="1639B18D" w14:textId="28A2788E" w:rsidR="0040202D" w:rsidRPr="00387D57" w:rsidRDefault="00FE3088" w:rsidP="00387D57">
      <w:pPr>
        <w:pStyle w:val="ListParagraph"/>
        <w:numPr>
          <w:ilvl w:val="0"/>
          <w:numId w:val="8"/>
        </w:numPr>
        <w:jc w:val="both"/>
        <w:rPr>
          <w:sz w:val="24"/>
          <w:szCs w:val="24"/>
        </w:rPr>
      </w:pPr>
      <w:r w:rsidRPr="00387D57">
        <w:rPr>
          <w:sz w:val="24"/>
          <w:szCs w:val="24"/>
        </w:rPr>
        <w:t>Aaron M. Stumpf, et al. (2011)</w:t>
      </w:r>
      <w:r w:rsidR="008824A5">
        <w:rPr>
          <w:sz w:val="24"/>
          <w:szCs w:val="24"/>
        </w:rPr>
        <w:t>,</w:t>
      </w:r>
      <w:r w:rsidRPr="00387D57">
        <w:rPr>
          <w:sz w:val="24"/>
          <w:szCs w:val="24"/>
        </w:rPr>
        <w:t xml:space="preserve"> </w:t>
      </w:r>
      <w:r w:rsidR="0040202D" w:rsidRPr="008824A5">
        <w:rPr>
          <w:i/>
          <w:iCs/>
          <w:sz w:val="24"/>
          <w:szCs w:val="24"/>
        </w:rPr>
        <w:t>The SRR Restricted Stock Study</w:t>
      </w:r>
      <w:r w:rsidR="0040202D" w:rsidRPr="00387D57">
        <w:rPr>
          <w:sz w:val="24"/>
          <w:szCs w:val="24"/>
        </w:rPr>
        <w:t>, Business Valuation Review (2011), 30 (1), pp. 7–19.</w:t>
      </w:r>
    </w:p>
    <w:p w14:paraId="3E5D352E" w14:textId="77777777" w:rsidR="0040202D" w:rsidRDefault="0040202D" w:rsidP="008B1F7F">
      <w:pPr>
        <w:jc w:val="both"/>
        <w:rPr>
          <w:sz w:val="24"/>
          <w:szCs w:val="24"/>
        </w:rPr>
      </w:pPr>
    </w:p>
    <w:p w14:paraId="18CE0014" w14:textId="77777777" w:rsidR="0040202D" w:rsidRPr="00387D57" w:rsidRDefault="0040202D" w:rsidP="00387D57">
      <w:pPr>
        <w:pStyle w:val="ListParagraph"/>
        <w:ind w:left="1440"/>
        <w:jc w:val="both"/>
        <w:rPr>
          <w:sz w:val="24"/>
          <w:szCs w:val="24"/>
        </w:rPr>
      </w:pPr>
      <w:r w:rsidRPr="00387D57">
        <w:rPr>
          <w:sz w:val="24"/>
          <w:szCs w:val="24"/>
        </w:rPr>
        <w:t xml:space="preserve">SRR determined the discount for the sample of 98 transactions by comparing the transaction price to the price one day before the announcement. </w:t>
      </w:r>
    </w:p>
    <w:p w14:paraId="31E5B4FE" w14:textId="77777777" w:rsidR="0040202D" w:rsidRDefault="0040202D" w:rsidP="008B1F7F">
      <w:pPr>
        <w:jc w:val="both"/>
        <w:rPr>
          <w:sz w:val="24"/>
          <w:szCs w:val="24"/>
        </w:rPr>
      </w:pPr>
    </w:p>
    <w:p w14:paraId="3E92955E" w14:textId="4211FA2D" w:rsidR="0096155F" w:rsidRPr="0096155F" w:rsidRDefault="0096155F" w:rsidP="0096155F">
      <w:pPr>
        <w:pStyle w:val="ListParagraph"/>
        <w:numPr>
          <w:ilvl w:val="0"/>
          <w:numId w:val="8"/>
        </w:numPr>
        <w:jc w:val="both"/>
        <w:rPr>
          <w:sz w:val="24"/>
          <w:szCs w:val="24"/>
        </w:rPr>
      </w:pPr>
      <w:r w:rsidRPr="0096155F">
        <w:rPr>
          <w:sz w:val="24"/>
          <w:szCs w:val="24"/>
        </w:rPr>
        <w:t>Alan Bryman,</w:t>
      </w:r>
      <w:r>
        <w:rPr>
          <w:sz w:val="24"/>
          <w:szCs w:val="24"/>
        </w:rPr>
        <w:t xml:space="preserve"> </w:t>
      </w:r>
      <w:r w:rsidRPr="00387D57">
        <w:rPr>
          <w:sz w:val="24"/>
          <w:szCs w:val="24"/>
        </w:rPr>
        <w:t>et al.</w:t>
      </w:r>
      <w:r>
        <w:rPr>
          <w:sz w:val="24"/>
          <w:szCs w:val="24"/>
        </w:rPr>
        <w:t xml:space="preserve"> (2021)</w:t>
      </w:r>
      <w:r w:rsidR="008824A5">
        <w:rPr>
          <w:sz w:val="24"/>
          <w:szCs w:val="24"/>
        </w:rPr>
        <w:t>,</w:t>
      </w:r>
      <w:r>
        <w:rPr>
          <w:sz w:val="24"/>
          <w:szCs w:val="24"/>
        </w:rPr>
        <w:t xml:space="preserve"> </w:t>
      </w:r>
      <w:r w:rsidRPr="008824A5">
        <w:rPr>
          <w:i/>
          <w:iCs/>
          <w:sz w:val="24"/>
          <w:szCs w:val="24"/>
        </w:rPr>
        <w:t>Social Research Methods</w:t>
      </w:r>
      <w:r>
        <w:rPr>
          <w:sz w:val="24"/>
          <w:szCs w:val="24"/>
        </w:rPr>
        <w:t xml:space="preserve">, </w:t>
      </w:r>
      <w:r w:rsidRPr="0096155F">
        <w:rPr>
          <w:sz w:val="24"/>
          <w:szCs w:val="24"/>
        </w:rPr>
        <w:t xml:space="preserve">6th </w:t>
      </w:r>
      <w:proofErr w:type="spellStart"/>
      <w:r w:rsidRPr="0096155F">
        <w:rPr>
          <w:sz w:val="24"/>
          <w:szCs w:val="24"/>
        </w:rPr>
        <w:t>ed</w:t>
      </w:r>
      <w:r>
        <w:rPr>
          <w:sz w:val="24"/>
          <w:szCs w:val="24"/>
        </w:rPr>
        <w:t>n</w:t>
      </w:r>
      <w:proofErr w:type="spellEnd"/>
      <w:r>
        <w:rPr>
          <w:sz w:val="24"/>
          <w:szCs w:val="24"/>
        </w:rPr>
        <w:t xml:space="preserve">. </w:t>
      </w:r>
      <w:r w:rsidRPr="0096155F">
        <w:rPr>
          <w:sz w:val="24"/>
          <w:szCs w:val="24"/>
        </w:rPr>
        <w:t>Leicester</w:t>
      </w:r>
      <w:r>
        <w:rPr>
          <w:sz w:val="24"/>
          <w:szCs w:val="24"/>
        </w:rPr>
        <w:t xml:space="preserve">: </w:t>
      </w:r>
      <w:r w:rsidRPr="0096155F">
        <w:rPr>
          <w:sz w:val="24"/>
          <w:szCs w:val="24"/>
        </w:rPr>
        <w:t xml:space="preserve">Oxford University Press </w:t>
      </w:r>
    </w:p>
    <w:p w14:paraId="6A0FAA47" w14:textId="77777777" w:rsidR="0096155F" w:rsidRDefault="0096155F" w:rsidP="0096155F">
      <w:pPr>
        <w:pStyle w:val="ListParagraph"/>
        <w:ind w:left="1440"/>
        <w:jc w:val="both"/>
        <w:rPr>
          <w:sz w:val="24"/>
          <w:szCs w:val="24"/>
        </w:rPr>
      </w:pPr>
    </w:p>
    <w:p w14:paraId="0A01EE18" w14:textId="434FDE4B" w:rsidR="0096155F" w:rsidRDefault="0096155F" w:rsidP="0096155F">
      <w:pPr>
        <w:pStyle w:val="ListParagraph"/>
        <w:ind w:left="1440"/>
        <w:jc w:val="both"/>
        <w:rPr>
          <w:sz w:val="24"/>
          <w:szCs w:val="24"/>
        </w:rPr>
      </w:pPr>
      <w:r w:rsidRPr="0096155F">
        <w:rPr>
          <w:sz w:val="24"/>
          <w:szCs w:val="24"/>
        </w:rPr>
        <w:t xml:space="preserve">It is clear, comprehensive, and pays equal attention to both qualitative and quantitative methods, while offering practical, step-by-step advice to students through all stages of the research process. This includes formulating questions, choosing methods, recruiting participants, </w:t>
      </w:r>
      <w:proofErr w:type="spellStart"/>
      <w:r w:rsidRPr="0096155F">
        <w:rPr>
          <w:sz w:val="24"/>
          <w:szCs w:val="24"/>
        </w:rPr>
        <w:t>analyzing</w:t>
      </w:r>
      <w:proofErr w:type="spellEnd"/>
      <w:r w:rsidRPr="0096155F">
        <w:rPr>
          <w:sz w:val="24"/>
          <w:szCs w:val="24"/>
        </w:rPr>
        <w:t xml:space="preserve"> the data, and writing up the results. </w:t>
      </w:r>
    </w:p>
    <w:p w14:paraId="3678FEB7" w14:textId="77777777" w:rsidR="0096155F" w:rsidRDefault="0096155F" w:rsidP="008B1F7F">
      <w:pPr>
        <w:jc w:val="both"/>
        <w:rPr>
          <w:sz w:val="24"/>
          <w:szCs w:val="24"/>
        </w:rPr>
      </w:pPr>
    </w:p>
    <w:p w14:paraId="545D30D1" w14:textId="6152D714" w:rsidR="0040202D" w:rsidRPr="00387D57" w:rsidRDefault="0040202D" w:rsidP="00387D57">
      <w:pPr>
        <w:pStyle w:val="ListParagraph"/>
        <w:numPr>
          <w:ilvl w:val="0"/>
          <w:numId w:val="8"/>
        </w:numPr>
        <w:jc w:val="both"/>
        <w:rPr>
          <w:sz w:val="24"/>
          <w:szCs w:val="24"/>
        </w:rPr>
      </w:pPr>
      <w:r w:rsidRPr="00387D57">
        <w:rPr>
          <w:sz w:val="24"/>
          <w:szCs w:val="24"/>
        </w:rPr>
        <w:t>Alberto Crisostomo (2020)</w:t>
      </w:r>
      <w:r w:rsidR="008824A5">
        <w:rPr>
          <w:sz w:val="24"/>
          <w:szCs w:val="24"/>
        </w:rPr>
        <w:t>,</w:t>
      </w:r>
      <w:r w:rsidRPr="00387D57">
        <w:rPr>
          <w:sz w:val="24"/>
          <w:szCs w:val="24"/>
        </w:rPr>
        <w:t xml:space="preserve"> </w:t>
      </w:r>
      <w:r w:rsidRPr="008824A5">
        <w:rPr>
          <w:i/>
          <w:iCs/>
          <w:sz w:val="24"/>
          <w:szCs w:val="24"/>
        </w:rPr>
        <w:t>The Discount for Lack of Marketability: An Investigation of Privately Held Companies in North Italy</w:t>
      </w:r>
      <w:r w:rsidRPr="00387D57">
        <w:rPr>
          <w:sz w:val="24"/>
          <w:szCs w:val="24"/>
        </w:rPr>
        <w:t>, Master Thesis, Ca' Foscari University</w:t>
      </w:r>
    </w:p>
    <w:p w14:paraId="162692C7" w14:textId="77777777" w:rsidR="0040202D" w:rsidRDefault="0040202D" w:rsidP="008B1F7F">
      <w:pPr>
        <w:jc w:val="both"/>
        <w:rPr>
          <w:sz w:val="24"/>
          <w:szCs w:val="24"/>
        </w:rPr>
      </w:pPr>
    </w:p>
    <w:p w14:paraId="60D98F64" w14:textId="77777777" w:rsidR="0040202D" w:rsidRPr="00387D57" w:rsidRDefault="0040202D" w:rsidP="00387D57">
      <w:pPr>
        <w:pStyle w:val="ListParagraph"/>
        <w:ind w:left="1440"/>
        <w:jc w:val="both"/>
        <w:rPr>
          <w:sz w:val="24"/>
          <w:szCs w:val="24"/>
        </w:rPr>
      </w:pPr>
      <w:r w:rsidRPr="00387D57">
        <w:rPr>
          <w:sz w:val="24"/>
          <w:szCs w:val="24"/>
        </w:rPr>
        <w:t>Alberto Crisostomo provides a thorough analysis of the DLOM's concept, outlining the aspects that have the greatest impact on its computation as well as how it has evolved over time. He finds that the discount for lack of marketability ranges from 23,96% to 32,44%.</w:t>
      </w:r>
    </w:p>
    <w:p w14:paraId="155EEAE3" w14:textId="77777777" w:rsidR="0040202D" w:rsidRPr="008B3DE8" w:rsidRDefault="0040202D" w:rsidP="008B1F7F">
      <w:pPr>
        <w:spacing w:line="240" w:lineRule="auto"/>
        <w:ind w:left="720"/>
        <w:jc w:val="both"/>
        <w:rPr>
          <w:rFonts w:eastAsia="Times New Roman"/>
          <w:sz w:val="24"/>
          <w:szCs w:val="24"/>
        </w:rPr>
      </w:pPr>
    </w:p>
    <w:p w14:paraId="7565CE18" w14:textId="1F56D5C0" w:rsidR="0040202D" w:rsidRPr="00387D57" w:rsidRDefault="0040202D" w:rsidP="00387D57">
      <w:pPr>
        <w:pStyle w:val="ListParagraph"/>
        <w:numPr>
          <w:ilvl w:val="0"/>
          <w:numId w:val="8"/>
        </w:numPr>
        <w:jc w:val="both"/>
        <w:rPr>
          <w:sz w:val="24"/>
          <w:szCs w:val="24"/>
        </w:rPr>
      </w:pPr>
      <w:r w:rsidRPr="00387D57">
        <w:rPr>
          <w:sz w:val="24"/>
          <w:szCs w:val="24"/>
        </w:rPr>
        <w:t>Alfred Karlsson &amp; Emil Jönsson (2022)</w:t>
      </w:r>
      <w:r w:rsidR="008824A5">
        <w:rPr>
          <w:sz w:val="24"/>
          <w:szCs w:val="24"/>
        </w:rPr>
        <w:t>,</w:t>
      </w:r>
      <w:r w:rsidRPr="00387D57">
        <w:rPr>
          <w:sz w:val="24"/>
          <w:szCs w:val="24"/>
        </w:rPr>
        <w:t xml:space="preserve"> </w:t>
      </w:r>
      <w:r w:rsidRPr="008824A5">
        <w:rPr>
          <w:i/>
          <w:iCs/>
          <w:sz w:val="24"/>
          <w:szCs w:val="24"/>
        </w:rPr>
        <w:t>The Private Company Discount: An acquisition study of public and private companies on the Swedish market</w:t>
      </w:r>
      <w:r w:rsidRPr="00387D57">
        <w:rPr>
          <w:sz w:val="24"/>
          <w:szCs w:val="24"/>
        </w:rPr>
        <w:t>, Bachelor Thesis, Linnaeus University</w:t>
      </w:r>
    </w:p>
    <w:p w14:paraId="5DA0616F" w14:textId="77777777" w:rsidR="0040202D" w:rsidRPr="008B3DE8" w:rsidRDefault="0040202D" w:rsidP="008B1F7F">
      <w:pPr>
        <w:pStyle w:val="FootnoteText"/>
        <w:ind w:left="720"/>
        <w:jc w:val="both"/>
        <w:rPr>
          <w:rFonts w:ascii="Arial" w:hAnsi="Arial" w:cs="Arial"/>
          <w:sz w:val="24"/>
          <w:szCs w:val="24"/>
        </w:rPr>
      </w:pPr>
    </w:p>
    <w:p w14:paraId="6CC6BCC2" w14:textId="6EA8A205" w:rsidR="0040202D" w:rsidRPr="00387D57" w:rsidRDefault="0040202D" w:rsidP="00387D57">
      <w:pPr>
        <w:pStyle w:val="ListParagraph"/>
        <w:ind w:left="1440"/>
        <w:jc w:val="both"/>
        <w:rPr>
          <w:sz w:val="24"/>
          <w:szCs w:val="24"/>
        </w:rPr>
      </w:pPr>
      <w:r w:rsidRPr="00387D57">
        <w:rPr>
          <w:sz w:val="24"/>
          <w:szCs w:val="24"/>
        </w:rPr>
        <w:t>The study will be performed on the Swedish market and all data have been</w:t>
      </w:r>
      <w:r w:rsidR="00387D57">
        <w:rPr>
          <w:sz w:val="24"/>
          <w:szCs w:val="24"/>
        </w:rPr>
        <w:t xml:space="preserve"> </w:t>
      </w:r>
      <w:r w:rsidRPr="00387D57">
        <w:rPr>
          <w:sz w:val="24"/>
          <w:szCs w:val="24"/>
        </w:rPr>
        <w:t>collected through Thomson Reuters Eikon Refinitiv. A minimum of one million US dollars must be the reported deal value for each deal that is offered, and at least 50% of the company's shares must be acquired.</w:t>
      </w:r>
    </w:p>
    <w:p w14:paraId="1F444BB9" w14:textId="77777777" w:rsidR="0040202D" w:rsidRPr="008B3DE8" w:rsidRDefault="0040202D" w:rsidP="008B1F7F">
      <w:pPr>
        <w:pStyle w:val="FootnoteText"/>
        <w:ind w:left="720"/>
        <w:jc w:val="both"/>
        <w:rPr>
          <w:rFonts w:ascii="Arial" w:hAnsi="Arial" w:cs="Arial"/>
          <w:sz w:val="24"/>
          <w:szCs w:val="24"/>
        </w:rPr>
      </w:pPr>
    </w:p>
    <w:p w14:paraId="1A19CBC1" w14:textId="4C276B93" w:rsidR="0040202D" w:rsidRPr="00387D57" w:rsidRDefault="0040202D" w:rsidP="00387D57">
      <w:pPr>
        <w:pStyle w:val="ListParagraph"/>
        <w:numPr>
          <w:ilvl w:val="0"/>
          <w:numId w:val="8"/>
        </w:numPr>
        <w:jc w:val="both"/>
        <w:rPr>
          <w:sz w:val="24"/>
          <w:szCs w:val="24"/>
        </w:rPr>
      </w:pPr>
      <w:r w:rsidRPr="00387D57">
        <w:rPr>
          <w:sz w:val="24"/>
          <w:szCs w:val="24"/>
        </w:rPr>
        <w:t>Arneson, George S. (1981)</w:t>
      </w:r>
      <w:r w:rsidR="008824A5">
        <w:rPr>
          <w:sz w:val="24"/>
          <w:szCs w:val="24"/>
        </w:rPr>
        <w:t>,</w:t>
      </w:r>
      <w:r w:rsidRPr="00387D57">
        <w:rPr>
          <w:sz w:val="24"/>
          <w:szCs w:val="24"/>
        </w:rPr>
        <w:t xml:space="preserve"> </w:t>
      </w:r>
      <w:r w:rsidRPr="008824A5">
        <w:rPr>
          <w:i/>
          <w:iCs/>
          <w:sz w:val="24"/>
          <w:szCs w:val="24"/>
        </w:rPr>
        <w:t>Non</w:t>
      </w:r>
      <w:r w:rsidR="00E67FDF" w:rsidRPr="008824A5">
        <w:rPr>
          <w:i/>
          <w:iCs/>
          <w:sz w:val="24"/>
          <w:szCs w:val="24"/>
        </w:rPr>
        <w:t>-</w:t>
      </w:r>
      <w:r w:rsidRPr="008824A5">
        <w:rPr>
          <w:i/>
          <w:iCs/>
          <w:sz w:val="24"/>
          <w:szCs w:val="24"/>
        </w:rPr>
        <w:t>marketability Discounts Should Exceed Fifty Percent</w:t>
      </w:r>
      <w:r w:rsidRPr="00387D57">
        <w:rPr>
          <w:sz w:val="24"/>
          <w:szCs w:val="24"/>
        </w:rPr>
        <w:t>, Taxes (January), pp. 25–31.</w:t>
      </w:r>
    </w:p>
    <w:p w14:paraId="6AAA72E4" w14:textId="77777777" w:rsidR="0040202D" w:rsidRPr="008B3DE8" w:rsidRDefault="0040202D" w:rsidP="008B1F7F">
      <w:pPr>
        <w:spacing w:line="280" w:lineRule="exact"/>
        <w:ind w:left="720"/>
        <w:jc w:val="both"/>
        <w:rPr>
          <w:sz w:val="24"/>
          <w:szCs w:val="24"/>
        </w:rPr>
      </w:pPr>
    </w:p>
    <w:p w14:paraId="2806957B" w14:textId="77777777" w:rsidR="0040202D" w:rsidRPr="00387D57" w:rsidRDefault="0040202D" w:rsidP="00387D57">
      <w:pPr>
        <w:pStyle w:val="ListParagraph"/>
        <w:ind w:left="1440"/>
        <w:jc w:val="both"/>
        <w:rPr>
          <w:sz w:val="24"/>
          <w:szCs w:val="24"/>
        </w:rPr>
      </w:pPr>
      <w:r w:rsidRPr="00387D57">
        <w:rPr>
          <w:sz w:val="24"/>
          <w:szCs w:val="24"/>
        </w:rPr>
        <w:t xml:space="preserve">Arneson assessed research on investment firms' acquisitions of letter stock. He cited research by Maher and Moroney, which suggested that a closely held company's DLOM should be approximately 35 percent. </w:t>
      </w:r>
    </w:p>
    <w:p w14:paraId="1FA164CE" w14:textId="77777777" w:rsidR="0040202D" w:rsidRDefault="0040202D" w:rsidP="008B1F7F">
      <w:pPr>
        <w:jc w:val="both"/>
        <w:rPr>
          <w:sz w:val="24"/>
          <w:szCs w:val="24"/>
        </w:rPr>
      </w:pPr>
    </w:p>
    <w:p w14:paraId="0DA4F381" w14:textId="09A41820" w:rsidR="0040202D" w:rsidRPr="00387D57" w:rsidRDefault="0040202D" w:rsidP="00387D57">
      <w:pPr>
        <w:pStyle w:val="ListParagraph"/>
        <w:numPr>
          <w:ilvl w:val="0"/>
          <w:numId w:val="8"/>
        </w:numPr>
        <w:jc w:val="both"/>
        <w:rPr>
          <w:sz w:val="24"/>
          <w:szCs w:val="24"/>
        </w:rPr>
      </w:pPr>
      <w:r w:rsidRPr="00387D57">
        <w:rPr>
          <w:sz w:val="24"/>
          <w:szCs w:val="24"/>
        </w:rPr>
        <w:t>Block, S. (2007)</w:t>
      </w:r>
      <w:r w:rsidR="008824A5">
        <w:rPr>
          <w:sz w:val="24"/>
          <w:szCs w:val="24"/>
        </w:rPr>
        <w:t>,</w:t>
      </w:r>
      <w:r w:rsidRPr="00387D57">
        <w:rPr>
          <w:sz w:val="24"/>
          <w:szCs w:val="24"/>
        </w:rPr>
        <w:t xml:space="preserve"> </w:t>
      </w:r>
      <w:r w:rsidRPr="008824A5">
        <w:rPr>
          <w:i/>
          <w:iCs/>
          <w:sz w:val="24"/>
          <w:szCs w:val="24"/>
        </w:rPr>
        <w:t>The Liquidity Discount in Valuing Privately Owned Companies</w:t>
      </w:r>
      <w:r w:rsidRPr="00387D57">
        <w:rPr>
          <w:sz w:val="24"/>
          <w:szCs w:val="24"/>
        </w:rPr>
        <w:t>, The Journal of Applied Finance, 17(2), pp, 33-40.</w:t>
      </w:r>
    </w:p>
    <w:p w14:paraId="0C1E45FA" w14:textId="77777777" w:rsidR="0040202D" w:rsidRPr="008B3DE8" w:rsidRDefault="0040202D" w:rsidP="008B1F7F">
      <w:pPr>
        <w:pStyle w:val="FootnoteText"/>
        <w:ind w:left="720"/>
        <w:jc w:val="both"/>
        <w:rPr>
          <w:rFonts w:ascii="Arial" w:hAnsi="Arial" w:cs="Arial"/>
          <w:sz w:val="24"/>
          <w:szCs w:val="24"/>
        </w:rPr>
      </w:pPr>
    </w:p>
    <w:p w14:paraId="006F3E72" w14:textId="77777777" w:rsidR="0040202D" w:rsidRPr="00387D57" w:rsidRDefault="0040202D" w:rsidP="00387D57">
      <w:pPr>
        <w:pStyle w:val="ListParagraph"/>
        <w:ind w:left="1440"/>
        <w:jc w:val="both"/>
        <w:rPr>
          <w:sz w:val="24"/>
          <w:szCs w:val="24"/>
        </w:rPr>
      </w:pPr>
      <w:r w:rsidRPr="00387D57">
        <w:rPr>
          <w:sz w:val="24"/>
          <w:szCs w:val="24"/>
        </w:rPr>
        <w:t>Private company discount indications of 14% based on enterprise value to book value pricing multiple analyses and 24% based on enterprise value to revenue pricing multiple analyses were reported by the Block study, as published in 2007.</w:t>
      </w:r>
    </w:p>
    <w:p w14:paraId="46BB5ED9" w14:textId="77777777" w:rsidR="0040202D" w:rsidRPr="008B3DE8" w:rsidRDefault="0040202D" w:rsidP="008B1F7F">
      <w:pPr>
        <w:spacing w:line="280" w:lineRule="exact"/>
        <w:ind w:left="720"/>
        <w:jc w:val="both"/>
        <w:rPr>
          <w:sz w:val="24"/>
          <w:szCs w:val="24"/>
        </w:rPr>
      </w:pPr>
    </w:p>
    <w:p w14:paraId="1D3296F5" w14:textId="73237863" w:rsidR="0040202D" w:rsidRPr="00387D57" w:rsidRDefault="0040202D" w:rsidP="00387D57">
      <w:pPr>
        <w:pStyle w:val="ListParagraph"/>
        <w:numPr>
          <w:ilvl w:val="0"/>
          <w:numId w:val="8"/>
        </w:numPr>
        <w:jc w:val="both"/>
        <w:rPr>
          <w:sz w:val="24"/>
          <w:szCs w:val="24"/>
        </w:rPr>
      </w:pPr>
      <w:r w:rsidRPr="00387D57">
        <w:rPr>
          <w:sz w:val="24"/>
          <w:szCs w:val="24"/>
        </w:rPr>
        <w:t xml:space="preserve">BVR Survey </w:t>
      </w:r>
      <w:r w:rsidR="00D259A6" w:rsidRPr="00387D57">
        <w:rPr>
          <w:sz w:val="24"/>
          <w:szCs w:val="24"/>
        </w:rPr>
        <w:t>(2021)</w:t>
      </w:r>
      <w:r w:rsidR="008824A5">
        <w:rPr>
          <w:sz w:val="24"/>
          <w:szCs w:val="24"/>
        </w:rPr>
        <w:t>,</w:t>
      </w:r>
      <w:r w:rsidR="00D259A6" w:rsidRPr="00387D57">
        <w:rPr>
          <w:sz w:val="24"/>
          <w:szCs w:val="24"/>
        </w:rPr>
        <w:t xml:space="preserve"> </w:t>
      </w:r>
      <w:r w:rsidRPr="008824A5">
        <w:rPr>
          <w:i/>
          <w:iCs/>
          <w:sz w:val="24"/>
          <w:szCs w:val="24"/>
        </w:rPr>
        <w:t>Methods Used for Estimating a Discount for Lack of Marketability</w:t>
      </w:r>
      <w:r w:rsidR="00D259A6" w:rsidRPr="00387D57">
        <w:rPr>
          <w:sz w:val="24"/>
          <w:szCs w:val="24"/>
        </w:rPr>
        <w:t xml:space="preserve">, </w:t>
      </w:r>
      <w:r w:rsidRPr="00387D57">
        <w:rPr>
          <w:sz w:val="24"/>
          <w:szCs w:val="24"/>
        </w:rPr>
        <w:t>July 2021, Business Valuation Resources, LLC</w:t>
      </w:r>
      <w:r w:rsidR="00C4113A" w:rsidRPr="00387D57">
        <w:rPr>
          <w:sz w:val="24"/>
          <w:szCs w:val="24"/>
        </w:rPr>
        <w:t xml:space="preserve">. Available at: </w:t>
      </w:r>
      <w:hyperlink r:id="rId13" w:history="1">
        <w:r w:rsidR="00C4113A" w:rsidRPr="00387D57">
          <w:rPr>
            <w:rStyle w:val="Hyperlink"/>
            <w:sz w:val="24"/>
            <w:szCs w:val="24"/>
          </w:rPr>
          <w:t>https://sub.bvresources.com/pdfs/BVR-2021-DLOM-Survey-Results.pdf</w:t>
        </w:r>
      </w:hyperlink>
      <w:r w:rsidR="00C4113A" w:rsidRPr="00387D57">
        <w:rPr>
          <w:sz w:val="24"/>
          <w:szCs w:val="24"/>
        </w:rPr>
        <w:t xml:space="preserve"> [Visited at September 2024]</w:t>
      </w:r>
    </w:p>
    <w:p w14:paraId="38D5F811" w14:textId="77777777" w:rsidR="0040202D" w:rsidRDefault="0040202D" w:rsidP="008B1F7F">
      <w:pPr>
        <w:ind w:left="720"/>
        <w:jc w:val="both"/>
        <w:rPr>
          <w:sz w:val="24"/>
          <w:szCs w:val="24"/>
        </w:rPr>
      </w:pPr>
    </w:p>
    <w:p w14:paraId="039A6D76" w14:textId="77777777" w:rsidR="0040202D" w:rsidRPr="00387D57" w:rsidRDefault="0040202D" w:rsidP="00387D57">
      <w:pPr>
        <w:pStyle w:val="ListParagraph"/>
        <w:ind w:left="1440"/>
        <w:jc w:val="both"/>
        <w:rPr>
          <w:sz w:val="24"/>
          <w:szCs w:val="24"/>
        </w:rPr>
      </w:pPr>
      <w:r w:rsidRPr="00387D57">
        <w:rPr>
          <w:sz w:val="24"/>
          <w:szCs w:val="24"/>
        </w:rPr>
        <w:t>BVR Survey questioned 202 interviewees whether they would apply a DLOM to a 100% interest in a private company. Among the 202 interviewees, 67 (33.17%) answered “Yes”, 54 (26.73%) answered "No”, and 81 (40.10%) answered "Maybe”.</w:t>
      </w:r>
    </w:p>
    <w:p w14:paraId="5665EDB4" w14:textId="77777777" w:rsidR="0040202D" w:rsidRDefault="0040202D" w:rsidP="008B1F7F">
      <w:pPr>
        <w:jc w:val="both"/>
        <w:rPr>
          <w:sz w:val="24"/>
          <w:szCs w:val="24"/>
        </w:rPr>
      </w:pPr>
    </w:p>
    <w:p w14:paraId="1F5D082E" w14:textId="00630E2D" w:rsidR="0040202D" w:rsidRPr="00387D57" w:rsidRDefault="0040202D" w:rsidP="00387D57">
      <w:pPr>
        <w:pStyle w:val="ListParagraph"/>
        <w:numPr>
          <w:ilvl w:val="0"/>
          <w:numId w:val="8"/>
        </w:numPr>
        <w:jc w:val="both"/>
        <w:rPr>
          <w:sz w:val="24"/>
          <w:szCs w:val="24"/>
        </w:rPr>
      </w:pPr>
      <w:r w:rsidRPr="00387D57">
        <w:rPr>
          <w:sz w:val="24"/>
          <w:szCs w:val="24"/>
        </w:rPr>
        <w:t>Chaffe III, D. B. (1993)</w:t>
      </w:r>
      <w:r w:rsidR="008824A5">
        <w:rPr>
          <w:sz w:val="24"/>
          <w:szCs w:val="24"/>
        </w:rPr>
        <w:t>,</w:t>
      </w:r>
      <w:r w:rsidRPr="00387D57">
        <w:rPr>
          <w:sz w:val="24"/>
          <w:szCs w:val="24"/>
        </w:rPr>
        <w:t xml:space="preserve"> </w:t>
      </w:r>
      <w:r w:rsidRPr="008824A5">
        <w:rPr>
          <w:i/>
          <w:iCs/>
          <w:sz w:val="24"/>
          <w:szCs w:val="24"/>
        </w:rPr>
        <w:t>Option pricing as a proxy for discount for lack of marketability in private company valuations</w:t>
      </w:r>
      <w:r w:rsidRPr="00387D57">
        <w:rPr>
          <w:sz w:val="24"/>
          <w:szCs w:val="24"/>
        </w:rPr>
        <w:t>, Business Valuation Review, pp. 182-188</w:t>
      </w:r>
    </w:p>
    <w:p w14:paraId="4F0F94DE" w14:textId="77777777" w:rsidR="0040202D" w:rsidRPr="008B3DE8" w:rsidRDefault="0040202D" w:rsidP="008B1F7F">
      <w:pPr>
        <w:pStyle w:val="FootnoteText"/>
        <w:ind w:left="720"/>
        <w:jc w:val="both"/>
        <w:rPr>
          <w:rFonts w:ascii="Arial" w:hAnsi="Arial" w:cs="Arial"/>
          <w:sz w:val="24"/>
          <w:szCs w:val="24"/>
          <w:lang w:val="en-US"/>
        </w:rPr>
      </w:pPr>
    </w:p>
    <w:p w14:paraId="23CEDF6B" w14:textId="77777777" w:rsidR="0040202D" w:rsidRPr="00387D57" w:rsidRDefault="0040202D" w:rsidP="00387D57">
      <w:pPr>
        <w:pStyle w:val="ListParagraph"/>
        <w:ind w:left="1440"/>
        <w:jc w:val="both"/>
        <w:rPr>
          <w:sz w:val="24"/>
          <w:szCs w:val="24"/>
        </w:rPr>
      </w:pPr>
      <w:r w:rsidRPr="00387D57">
        <w:rPr>
          <w:sz w:val="24"/>
          <w:szCs w:val="24"/>
        </w:rPr>
        <w:t xml:space="preserve">Chaffe proposed that a Black-Scholes option pricing model at-the-money European put option might be used to replicate the marketability discount. An ATM European put option is a financial instrument that gives the holder the choice, but not the duty, to sell shares at the option's expiration date in accordance with the stock's strike price. </w:t>
      </w:r>
    </w:p>
    <w:p w14:paraId="525DCC62" w14:textId="77777777" w:rsidR="0040202D" w:rsidRPr="00800ADE" w:rsidRDefault="0040202D" w:rsidP="008B1F7F">
      <w:pPr>
        <w:pStyle w:val="FootnoteText"/>
        <w:ind w:left="720"/>
        <w:jc w:val="both"/>
        <w:rPr>
          <w:rFonts w:ascii="Arial" w:hAnsi="Arial" w:cs="Arial"/>
          <w:sz w:val="24"/>
          <w:szCs w:val="24"/>
        </w:rPr>
      </w:pPr>
    </w:p>
    <w:p w14:paraId="7376B480" w14:textId="16A516FF" w:rsidR="0040202D" w:rsidRPr="00387D57" w:rsidRDefault="0040202D" w:rsidP="00387D57">
      <w:pPr>
        <w:pStyle w:val="ListParagraph"/>
        <w:numPr>
          <w:ilvl w:val="0"/>
          <w:numId w:val="8"/>
        </w:numPr>
        <w:jc w:val="both"/>
        <w:rPr>
          <w:sz w:val="24"/>
          <w:szCs w:val="24"/>
        </w:rPr>
      </w:pPr>
      <w:r w:rsidRPr="00387D57">
        <w:rPr>
          <w:sz w:val="24"/>
          <w:szCs w:val="24"/>
        </w:rPr>
        <w:t>David Tabak</w:t>
      </w:r>
      <w:r w:rsidR="008824A5">
        <w:rPr>
          <w:sz w:val="24"/>
          <w:szCs w:val="24"/>
        </w:rPr>
        <w:t xml:space="preserve"> (2002) </w:t>
      </w:r>
      <w:r w:rsidRPr="00387D57">
        <w:rPr>
          <w:sz w:val="24"/>
          <w:szCs w:val="24"/>
        </w:rPr>
        <w:t xml:space="preserve">, </w:t>
      </w:r>
      <w:r w:rsidRPr="008824A5">
        <w:rPr>
          <w:i/>
          <w:iCs/>
          <w:sz w:val="24"/>
          <w:szCs w:val="24"/>
        </w:rPr>
        <w:t>A CAPM-Based Approach to Calculating Illiquidity Discounts</w:t>
      </w:r>
      <w:r w:rsidRPr="00387D57">
        <w:rPr>
          <w:sz w:val="24"/>
          <w:szCs w:val="24"/>
        </w:rPr>
        <w:t>, NERA Economic Consulting (Marsh &amp; McLennan Companies), listed on www.nera.com, November 11, 2002.</w:t>
      </w:r>
    </w:p>
    <w:p w14:paraId="2BF777BB" w14:textId="77777777" w:rsidR="0040202D" w:rsidRPr="008B3DE8" w:rsidRDefault="0040202D" w:rsidP="008B1F7F">
      <w:pPr>
        <w:pStyle w:val="FootnoteText"/>
        <w:ind w:left="720"/>
        <w:jc w:val="both"/>
        <w:rPr>
          <w:rFonts w:ascii="Arial" w:hAnsi="Arial" w:cs="Arial"/>
          <w:sz w:val="24"/>
          <w:szCs w:val="24"/>
        </w:rPr>
      </w:pPr>
    </w:p>
    <w:p w14:paraId="4FB903B2" w14:textId="77777777" w:rsidR="0040202D" w:rsidRPr="00387D57" w:rsidRDefault="0040202D" w:rsidP="00387D57">
      <w:pPr>
        <w:pStyle w:val="ListParagraph"/>
        <w:ind w:left="1440"/>
        <w:jc w:val="both"/>
        <w:rPr>
          <w:sz w:val="24"/>
          <w:szCs w:val="24"/>
        </w:rPr>
      </w:pPr>
      <w:r w:rsidRPr="00387D57">
        <w:rPr>
          <w:sz w:val="24"/>
          <w:szCs w:val="24"/>
        </w:rPr>
        <w:t>It integrated the two assumptions into an excess required rate of return that can be objectively evaluated, whereas the QMDM requires separate assumptions for the expected growth rate of the asset and the investor's necessary rate of return.</w:t>
      </w:r>
    </w:p>
    <w:p w14:paraId="07CF9770" w14:textId="77777777" w:rsidR="0040202D" w:rsidRPr="008B3DE8" w:rsidRDefault="0040202D" w:rsidP="008B1F7F">
      <w:pPr>
        <w:pStyle w:val="FootnoteText"/>
        <w:ind w:left="720"/>
        <w:jc w:val="both"/>
        <w:rPr>
          <w:rFonts w:ascii="Arial" w:hAnsi="Arial" w:cs="Arial"/>
          <w:sz w:val="24"/>
          <w:szCs w:val="24"/>
        </w:rPr>
      </w:pPr>
    </w:p>
    <w:p w14:paraId="41F15A03" w14:textId="046A032C" w:rsidR="0040202D" w:rsidRPr="00387D57" w:rsidRDefault="0040202D" w:rsidP="00387D57">
      <w:pPr>
        <w:pStyle w:val="ListParagraph"/>
        <w:numPr>
          <w:ilvl w:val="0"/>
          <w:numId w:val="8"/>
        </w:numPr>
        <w:jc w:val="both"/>
        <w:rPr>
          <w:sz w:val="24"/>
          <w:szCs w:val="24"/>
        </w:rPr>
      </w:pPr>
      <w:r w:rsidRPr="00387D57">
        <w:rPr>
          <w:sz w:val="24"/>
          <w:szCs w:val="24"/>
        </w:rPr>
        <w:t xml:space="preserve">De Franco, Gus and </w:t>
      </w:r>
      <w:proofErr w:type="spellStart"/>
      <w:r w:rsidRPr="00387D57">
        <w:rPr>
          <w:sz w:val="24"/>
          <w:szCs w:val="24"/>
        </w:rPr>
        <w:t>Gavious</w:t>
      </w:r>
      <w:proofErr w:type="spellEnd"/>
      <w:r w:rsidRPr="00387D57">
        <w:rPr>
          <w:sz w:val="24"/>
          <w:szCs w:val="24"/>
        </w:rPr>
        <w:t xml:space="preserve">, Ilanit and Richardson, Gordon D. and Jin, Justin Y., </w:t>
      </w:r>
      <w:r w:rsidRPr="008824A5">
        <w:rPr>
          <w:i/>
          <w:iCs/>
          <w:sz w:val="24"/>
          <w:szCs w:val="24"/>
        </w:rPr>
        <w:t>Do Private Company Targets that Hire Big 4 Auditors Receive Higher Proceeds</w:t>
      </w:r>
      <w:r w:rsidRPr="00387D57">
        <w:rPr>
          <w:sz w:val="24"/>
          <w:szCs w:val="24"/>
        </w:rPr>
        <w:t xml:space="preserve"> (June 22, 2009). Available at SSRN: </w:t>
      </w:r>
      <w:hyperlink r:id="rId14" w:tgtFrame="_blank" w:history="1">
        <w:r w:rsidRPr="008B3DE8">
          <w:t>https://ssrn.com/abstract=1640496</w:t>
        </w:r>
      </w:hyperlink>
      <w:r w:rsidRPr="00387D57">
        <w:rPr>
          <w:sz w:val="24"/>
          <w:szCs w:val="24"/>
        </w:rPr>
        <w:t> or </w:t>
      </w:r>
      <w:hyperlink r:id="rId15" w:tgtFrame="_blank" w:history="1">
        <w:r w:rsidRPr="008B3DE8">
          <w:t>http://dx.doi.org/10.2139/ssrn.1640496</w:t>
        </w:r>
      </w:hyperlink>
    </w:p>
    <w:p w14:paraId="6316F303" w14:textId="77777777" w:rsidR="0040202D" w:rsidRPr="008B3DE8" w:rsidRDefault="0040202D" w:rsidP="008B1F7F">
      <w:pPr>
        <w:pStyle w:val="FootnoteText"/>
        <w:ind w:left="720"/>
        <w:jc w:val="both"/>
        <w:rPr>
          <w:rFonts w:ascii="Arial" w:hAnsi="Arial" w:cs="Arial"/>
          <w:sz w:val="24"/>
          <w:szCs w:val="24"/>
        </w:rPr>
      </w:pPr>
    </w:p>
    <w:p w14:paraId="0275B6B3" w14:textId="77777777" w:rsidR="0040202D" w:rsidRPr="00387D57" w:rsidRDefault="0040202D" w:rsidP="00387D57">
      <w:pPr>
        <w:pStyle w:val="ListParagraph"/>
        <w:ind w:left="1440"/>
        <w:jc w:val="both"/>
        <w:rPr>
          <w:sz w:val="24"/>
          <w:szCs w:val="24"/>
        </w:rPr>
      </w:pPr>
      <w:r w:rsidRPr="00387D57">
        <w:rPr>
          <w:sz w:val="24"/>
          <w:szCs w:val="24"/>
        </w:rPr>
        <w:t>It contrasted purchases of public corporations in 2006 with private acquisitions of 100% ownership stakes in privately owned U.S. companies. There were 2,249 public enterprises and 673 private companies in the sample. According to the survey, marketability reductions ranged from 21% to 37% when purchasing private businesses.</w:t>
      </w:r>
    </w:p>
    <w:p w14:paraId="78EEA71F" w14:textId="77777777" w:rsidR="0040202D" w:rsidRDefault="0040202D" w:rsidP="008B1F7F">
      <w:pPr>
        <w:ind w:left="720"/>
        <w:jc w:val="both"/>
        <w:rPr>
          <w:sz w:val="24"/>
          <w:szCs w:val="24"/>
        </w:rPr>
      </w:pPr>
    </w:p>
    <w:p w14:paraId="768E5602" w14:textId="678E94B8" w:rsidR="0040202D" w:rsidRPr="00387D57" w:rsidRDefault="0040202D" w:rsidP="00387D57">
      <w:pPr>
        <w:pStyle w:val="ListParagraph"/>
        <w:numPr>
          <w:ilvl w:val="0"/>
          <w:numId w:val="8"/>
        </w:numPr>
        <w:jc w:val="both"/>
        <w:rPr>
          <w:sz w:val="24"/>
          <w:szCs w:val="24"/>
        </w:rPr>
      </w:pPr>
      <w:r w:rsidRPr="00387D57">
        <w:rPr>
          <w:sz w:val="24"/>
          <w:szCs w:val="24"/>
        </w:rPr>
        <w:t xml:space="preserve">DONG </w:t>
      </w:r>
      <w:proofErr w:type="spellStart"/>
      <w:r w:rsidRPr="00387D57">
        <w:rPr>
          <w:sz w:val="24"/>
          <w:szCs w:val="24"/>
        </w:rPr>
        <w:t>Jichang</w:t>
      </w:r>
      <w:proofErr w:type="spellEnd"/>
      <w:r w:rsidRPr="00387D57">
        <w:rPr>
          <w:sz w:val="24"/>
          <w:szCs w:val="24"/>
        </w:rPr>
        <w:t xml:space="preserve">, JIAO </w:t>
      </w:r>
      <w:proofErr w:type="spellStart"/>
      <w:r w:rsidRPr="00387D57">
        <w:rPr>
          <w:sz w:val="24"/>
          <w:szCs w:val="24"/>
        </w:rPr>
        <w:t>Danxiao</w:t>
      </w:r>
      <w:proofErr w:type="spellEnd"/>
      <w:r w:rsidRPr="00387D57">
        <w:rPr>
          <w:sz w:val="24"/>
          <w:szCs w:val="24"/>
        </w:rPr>
        <w:t xml:space="preserve">, and SUN </w:t>
      </w:r>
      <w:proofErr w:type="spellStart"/>
      <w:r w:rsidRPr="00387D57">
        <w:rPr>
          <w:sz w:val="24"/>
          <w:szCs w:val="24"/>
        </w:rPr>
        <w:t>Xilong</w:t>
      </w:r>
      <w:proofErr w:type="spellEnd"/>
      <w:r w:rsidRPr="00387D57">
        <w:rPr>
          <w:sz w:val="24"/>
          <w:szCs w:val="24"/>
        </w:rPr>
        <w:t xml:space="preserve"> (2017)</w:t>
      </w:r>
      <w:r w:rsidR="00711055">
        <w:rPr>
          <w:sz w:val="24"/>
          <w:szCs w:val="24"/>
        </w:rPr>
        <w:t>,</w:t>
      </w:r>
      <w:r w:rsidRPr="00387D57">
        <w:rPr>
          <w:sz w:val="24"/>
          <w:szCs w:val="24"/>
        </w:rPr>
        <w:t xml:space="preserve"> </w:t>
      </w:r>
      <w:r w:rsidRPr="00711055">
        <w:rPr>
          <w:i/>
          <w:iCs/>
          <w:sz w:val="24"/>
          <w:szCs w:val="24"/>
        </w:rPr>
        <w:t>Acquisition Discount and Valuation Effect of Private M&amp;As in China</w:t>
      </w:r>
      <w:r w:rsidRPr="00387D57">
        <w:rPr>
          <w:sz w:val="24"/>
          <w:szCs w:val="24"/>
        </w:rPr>
        <w:t xml:space="preserve">, </w:t>
      </w:r>
      <w:r w:rsidRPr="00387D57">
        <w:rPr>
          <w:i/>
          <w:iCs/>
          <w:sz w:val="24"/>
          <w:szCs w:val="24"/>
        </w:rPr>
        <w:t>Journal of Systems Science and Complexity</w:t>
      </w:r>
      <w:r w:rsidRPr="00387D57">
        <w:rPr>
          <w:sz w:val="24"/>
          <w:szCs w:val="24"/>
        </w:rPr>
        <w:t>, 2017, № 6, pp. 1364-1381</w:t>
      </w:r>
    </w:p>
    <w:p w14:paraId="4D868456" w14:textId="77777777" w:rsidR="0040202D" w:rsidRDefault="0040202D" w:rsidP="008B1F7F">
      <w:pPr>
        <w:jc w:val="both"/>
        <w:rPr>
          <w:b/>
          <w:bCs/>
          <w:i/>
          <w:iCs/>
          <w:sz w:val="24"/>
          <w:szCs w:val="24"/>
        </w:rPr>
      </w:pPr>
    </w:p>
    <w:p w14:paraId="3C8FA997" w14:textId="77777777" w:rsidR="0040202D" w:rsidRPr="00387D57" w:rsidRDefault="0040202D" w:rsidP="00387D57">
      <w:pPr>
        <w:pStyle w:val="ListParagraph"/>
        <w:ind w:left="1440"/>
        <w:jc w:val="both"/>
        <w:rPr>
          <w:sz w:val="24"/>
          <w:szCs w:val="24"/>
        </w:rPr>
      </w:pPr>
      <w:r w:rsidRPr="00387D57">
        <w:rPr>
          <w:sz w:val="24"/>
          <w:szCs w:val="24"/>
        </w:rPr>
        <w:t>The authors came to the conclusion that unlisted companies in China are sold at a lower price than listed companies after deciding to use an acquisition strategy to create an acquisition discount for unlisted targets. The liquidity demand and the properties of the bilateral trading components are the primary determinants of the deeper discount.</w:t>
      </w:r>
    </w:p>
    <w:p w14:paraId="6E69D13B" w14:textId="77777777" w:rsidR="0040202D" w:rsidRPr="008B3DE8" w:rsidRDefault="0040202D" w:rsidP="008B1F7F">
      <w:pPr>
        <w:spacing w:line="280" w:lineRule="exact"/>
        <w:ind w:left="720"/>
        <w:jc w:val="both"/>
        <w:rPr>
          <w:sz w:val="24"/>
          <w:szCs w:val="24"/>
        </w:rPr>
      </w:pPr>
    </w:p>
    <w:p w14:paraId="6C8CBA4B" w14:textId="4F8E81D6" w:rsidR="0040202D" w:rsidRPr="00387D57" w:rsidRDefault="0040202D" w:rsidP="00387D57">
      <w:pPr>
        <w:pStyle w:val="ListParagraph"/>
        <w:numPr>
          <w:ilvl w:val="0"/>
          <w:numId w:val="8"/>
        </w:numPr>
        <w:jc w:val="both"/>
        <w:rPr>
          <w:sz w:val="24"/>
          <w:szCs w:val="24"/>
        </w:rPr>
      </w:pPr>
      <w:r w:rsidRPr="00387D57">
        <w:rPr>
          <w:sz w:val="24"/>
          <w:szCs w:val="24"/>
        </w:rPr>
        <w:t>Espen Robak (2007)</w:t>
      </w:r>
      <w:r w:rsidR="00711055">
        <w:rPr>
          <w:sz w:val="24"/>
          <w:szCs w:val="24"/>
        </w:rPr>
        <w:t>,</w:t>
      </w:r>
      <w:r w:rsidRPr="00387D57">
        <w:rPr>
          <w:sz w:val="24"/>
          <w:szCs w:val="24"/>
        </w:rPr>
        <w:t xml:space="preserve"> </w:t>
      </w:r>
      <w:r w:rsidRPr="00711055">
        <w:rPr>
          <w:i/>
          <w:iCs/>
          <w:sz w:val="24"/>
          <w:szCs w:val="24"/>
        </w:rPr>
        <w:t xml:space="preserve">Discounts for Illiquid Shares and Warrants: The </w:t>
      </w:r>
      <w:proofErr w:type="spellStart"/>
      <w:r w:rsidRPr="00711055">
        <w:rPr>
          <w:i/>
          <w:iCs/>
          <w:sz w:val="24"/>
          <w:szCs w:val="24"/>
        </w:rPr>
        <w:t>LiquiStat</w:t>
      </w:r>
      <w:proofErr w:type="spellEnd"/>
      <w:r w:rsidRPr="00711055">
        <w:rPr>
          <w:i/>
          <w:iCs/>
          <w:sz w:val="24"/>
          <w:szCs w:val="24"/>
        </w:rPr>
        <w:t xml:space="preserve"> Database of Transactions on the Restricted Securities Trading Network</w:t>
      </w:r>
      <w:r w:rsidRPr="00387D57">
        <w:rPr>
          <w:sz w:val="24"/>
          <w:szCs w:val="24"/>
        </w:rPr>
        <w:t xml:space="preserve">, </w:t>
      </w:r>
      <w:proofErr w:type="spellStart"/>
      <w:r w:rsidRPr="00387D57">
        <w:rPr>
          <w:sz w:val="24"/>
          <w:szCs w:val="24"/>
        </w:rPr>
        <w:t>Pluris</w:t>
      </w:r>
      <w:proofErr w:type="spellEnd"/>
      <w:r w:rsidRPr="00387D57">
        <w:rPr>
          <w:sz w:val="24"/>
          <w:szCs w:val="24"/>
        </w:rPr>
        <w:t xml:space="preserve"> Valuation Advisors White Paper (January, 2007), pp. 22–32.</w:t>
      </w:r>
    </w:p>
    <w:p w14:paraId="6DD3C4CE" w14:textId="77777777" w:rsidR="0040202D" w:rsidRPr="008B3DE8" w:rsidRDefault="0040202D" w:rsidP="008B1F7F">
      <w:pPr>
        <w:ind w:left="720"/>
        <w:jc w:val="both"/>
        <w:rPr>
          <w:sz w:val="24"/>
          <w:szCs w:val="24"/>
        </w:rPr>
      </w:pPr>
    </w:p>
    <w:p w14:paraId="703212E3" w14:textId="77777777" w:rsidR="0040202D" w:rsidRPr="00387D57" w:rsidRDefault="0040202D" w:rsidP="00387D57">
      <w:pPr>
        <w:pStyle w:val="ListParagraph"/>
        <w:ind w:left="1440"/>
        <w:jc w:val="both"/>
        <w:rPr>
          <w:sz w:val="24"/>
          <w:szCs w:val="24"/>
        </w:rPr>
      </w:pPr>
      <w:r w:rsidRPr="00387D57">
        <w:rPr>
          <w:sz w:val="24"/>
          <w:szCs w:val="24"/>
        </w:rPr>
        <w:t xml:space="preserve">The </w:t>
      </w:r>
      <w:proofErr w:type="spellStart"/>
      <w:r w:rsidRPr="00387D57">
        <w:rPr>
          <w:sz w:val="24"/>
          <w:szCs w:val="24"/>
        </w:rPr>
        <w:t>Pluris</w:t>
      </w:r>
      <w:proofErr w:type="spellEnd"/>
      <w:r w:rsidRPr="00387D57">
        <w:rPr>
          <w:sz w:val="24"/>
          <w:szCs w:val="24"/>
        </w:rPr>
        <w:t xml:space="preserve"> Valuation Advisors’ Database of private sales transactions provided the 61 transactions used in this analysis. The transactions were facilitated by Restricted Stock Partners of New York, who established the Restricted Securities Trading Network. </w:t>
      </w:r>
    </w:p>
    <w:p w14:paraId="4C0B78A3" w14:textId="77777777" w:rsidR="0040202D" w:rsidRPr="008B3DE8" w:rsidRDefault="0040202D" w:rsidP="008B1F7F">
      <w:pPr>
        <w:spacing w:line="280" w:lineRule="exact"/>
        <w:ind w:left="720"/>
        <w:jc w:val="both"/>
        <w:rPr>
          <w:sz w:val="24"/>
          <w:szCs w:val="24"/>
        </w:rPr>
      </w:pPr>
    </w:p>
    <w:p w14:paraId="6F1FEDE3" w14:textId="22E3D83F" w:rsidR="0040202D" w:rsidRPr="00387D57" w:rsidRDefault="0040202D" w:rsidP="00387D57">
      <w:pPr>
        <w:pStyle w:val="ListParagraph"/>
        <w:numPr>
          <w:ilvl w:val="0"/>
          <w:numId w:val="8"/>
        </w:numPr>
        <w:jc w:val="both"/>
        <w:rPr>
          <w:sz w:val="24"/>
          <w:szCs w:val="24"/>
        </w:rPr>
      </w:pPr>
      <w:r w:rsidRPr="00387D57">
        <w:rPr>
          <w:sz w:val="24"/>
          <w:szCs w:val="24"/>
        </w:rPr>
        <w:t>Ezra Angrist, Harry Curtis III, and Daniel Kerrigan</w:t>
      </w:r>
      <w:r w:rsidR="00711055">
        <w:rPr>
          <w:sz w:val="24"/>
          <w:szCs w:val="24"/>
        </w:rPr>
        <w:t xml:space="preserve"> (2011)</w:t>
      </w:r>
      <w:r w:rsidRPr="00387D57">
        <w:rPr>
          <w:sz w:val="24"/>
          <w:szCs w:val="24"/>
        </w:rPr>
        <w:t xml:space="preserve">, </w:t>
      </w:r>
      <w:r w:rsidRPr="00711055">
        <w:rPr>
          <w:i/>
          <w:iCs/>
          <w:sz w:val="24"/>
          <w:szCs w:val="24"/>
        </w:rPr>
        <w:t>Regression Analysis and Discounts for Lack of Marketability</w:t>
      </w:r>
      <w:r w:rsidRPr="00387D57">
        <w:rPr>
          <w:sz w:val="24"/>
          <w:szCs w:val="24"/>
        </w:rPr>
        <w:t>, Business Valuation Review (2011), 30 (1), pp. 36–48.</w:t>
      </w:r>
    </w:p>
    <w:p w14:paraId="36F61427" w14:textId="77777777" w:rsidR="0040202D" w:rsidRPr="008B3DE8" w:rsidRDefault="0040202D" w:rsidP="008B1F7F">
      <w:pPr>
        <w:spacing w:line="240" w:lineRule="auto"/>
        <w:ind w:left="720"/>
        <w:jc w:val="both"/>
        <w:rPr>
          <w:rFonts w:eastAsia="Times New Roman"/>
          <w:sz w:val="24"/>
          <w:szCs w:val="24"/>
        </w:rPr>
      </w:pPr>
    </w:p>
    <w:p w14:paraId="196FEB38" w14:textId="77777777" w:rsidR="0040202D" w:rsidRPr="00387D57" w:rsidRDefault="0040202D" w:rsidP="00387D57">
      <w:pPr>
        <w:pStyle w:val="ListParagraph"/>
        <w:ind w:left="1440"/>
        <w:jc w:val="both"/>
        <w:rPr>
          <w:sz w:val="24"/>
          <w:szCs w:val="24"/>
        </w:rPr>
      </w:pPr>
      <w:r w:rsidRPr="00387D57">
        <w:rPr>
          <w:sz w:val="24"/>
          <w:szCs w:val="24"/>
        </w:rPr>
        <w:t xml:space="preserve">It conducted an analysis of the discounts on restricted stocks as compared to their openly traded counterparts. Numerous updates have been made to this study, the most recent of which examined data from 1980 to 2009. </w:t>
      </w:r>
    </w:p>
    <w:p w14:paraId="759F8F05" w14:textId="77777777" w:rsidR="0040202D" w:rsidRPr="00B02004" w:rsidRDefault="0040202D" w:rsidP="008B1F7F">
      <w:pPr>
        <w:pStyle w:val="FootnoteText"/>
        <w:ind w:left="720"/>
        <w:jc w:val="both"/>
        <w:rPr>
          <w:rFonts w:ascii="Arial" w:hAnsi="Arial" w:cs="Arial"/>
          <w:sz w:val="24"/>
          <w:szCs w:val="24"/>
        </w:rPr>
      </w:pPr>
    </w:p>
    <w:p w14:paraId="053E9E31" w14:textId="04217171" w:rsidR="0040202D" w:rsidRPr="00387D57" w:rsidRDefault="0040202D" w:rsidP="00387D57">
      <w:pPr>
        <w:pStyle w:val="ListParagraph"/>
        <w:numPr>
          <w:ilvl w:val="0"/>
          <w:numId w:val="8"/>
        </w:numPr>
        <w:jc w:val="both"/>
        <w:rPr>
          <w:sz w:val="24"/>
          <w:szCs w:val="24"/>
        </w:rPr>
      </w:pPr>
      <w:r w:rsidRPr="00387D57">
        <w:rPr>
          <w:sz w:val="24"/>
          <w:szCs w:val="24"/>
        </w:rPr>
        <w:t>Finnerty, J. D. (2012)</w:t>
      </w:r>
      <w:r w:rsidR="00711055">
        <w:rPr>
          <w:sz w:val="24"/>
          <w:szCs w:val="24"/>
        </w:rPr>
        <w:t>,</w:t>
      </w:r>
      <w:r w:rsidRPr="00387D57">
        <w:rPr>
          <w:sz w:val="24"/>
          <w:szCs w:val="24"/>
        </w:rPr>
        <w:t xml:space="preserve"> </w:t>
      </w:r>
      <w:r w:rsidRPr="00711055">
        <w:rPr>
          <w:i/>
          <w:iCs/>
          <w:sz w:val="24"/>
          <w:szCs w:val="24"/>
        </w:rPr>
        <w:t>An Average-Strike Put Option Model of the Marketability Discount</w:t>
      </w:r>
      <w:r w:rsidRPr="00387D57">
        <w:rPr>
          <w:sz w:val="24"/>
          <w:szCs w:val="24"/>
        </w:rPr>
        <w:t>. The Journal of Derivatives, 9 (24), pp. 53–69.</w:t>
      </w:r>
    </w:p>
    <w:p w14:paraId="4E477C84" w14:textId="77777777" w:rsidR="0040202D" w:rsidRPr="008B3DE8" w:rsidRDefault="0040202D" w:rsidP="008B1F7F">
      <w:pPr>
        <w:pStyle w:val="FootnoteText"/>
        <w:ind w:left="720"/>
        <w:jc w:val="both"/>
        <w:rPr>
          <w:rFonts w:ascii="Arial" w:hAnsi="Arial" w:cs="Arial"/>
          <w:sz w:val="24"/>
          <w:szCs w:val="24"/>
          <w:lang w:val="en-US"/>
        </w:rPr>
      </w:pPr>
    </w:p>
    <w:p w14:paraId="2780AF11" w14:textId="77777777" w:rsidR="0040202D" w:rsidRPr="00387D57" w:rsidRDefault="0040202D" w:rsidP="00387D57">
      <w:pPr>
        <w:pStyle w:val="ListParagraph"/>
        <w:ind w:left="1440"/>
        <w:jc w:val="both"/>
        <w:rPr>
          <w:sz w:val="24"/>
          <w:szCs w:val="24"/>
        </w:rPr>
      </w:pPr>
      <w:r w:rsidRPr="00387D57">
        <w:rPr>
          <w:sz w:val="24"/>
          <w:szCs w:val="24"/>
        </w:rPr>
        <w:t xml:space="preserve">Finnerty created a model to estimate DLOM using an average-strike put option. Asian options, such as average-strike put options, are a sort of exotic option where the holder has the choice—but not the obligation—to sell the stock at the average realized price during the option's term. </w:t>
      </w:r>
    </w:p>
    <w:p w14:paraId="0EC8F439" w14:textId="1639C4EA" w:rsidR="0040202D" w:rsidRPr="008B3DE8" w:rsidRDefault="0040202D" w:rsidP="00387D57">
      <w:pPr>
        <w:ind w:left="720" w:firstLine="70"/>
        <w:jc w:val="both"/>
        <w:rPr>
          <w:sz w:val="24"/>
          <w:szCs w:val="24"/>
        </w:rPr>
      </w:pPr>
    </w:p>
    <w:p w14:paraId="4E4DE867" w14:textId="27EB9C4A" w:rsidR="0040202D" w:rsidRPr="00387D57" w:rsidRDefault="00711055" w:rsidP="00387D57">
      <w:pPr>
        <w:pStyle w:val="ListParagraph"/>
        <w:numPr>
          <w:ilvl w:val="0"/>
          <w:numId w:val="8"/>
        </w:numPr>
        <w:jc w:val="both"/>
        <w:rPr>
          <w:sz w:val="24"/>
          <w:szCs w:val="24"/>
        </w:rPr>
      </w:pPr>
      <w:r w:rsidRPr="00387D57">
        <w:rPr>
          <w:sz w:val="24"/>
          <w:szCs w:val="24"/>
        </w:rPr>
        <w:t xml:space="preserve">FMV Opinions </w:t>
      </w:r>
      <w:r w:rsidR="0040202D" w:rsidRPr="00387D57">
        <w:rPr>
          <w:sz w:val="24"/>
          <w:szCs w:val="24"/>
        </w:rPr>
        <w:t>(</w:t>
      </w:r>
      <w:r>
        <w:rPr>
          <w:sz w:val="24"/>
          <w:szCs w:val="24"/>
        </w:rPr>
        <w:t>2015</w:t>
      </w:r>
      <w:r w:rsidR="0040202D" w:rsidRPr="00387D57">
        <w:rPr>
          <w:sz w:val="24"/>
          <w:szCs w:val="24"/>
        </w:rPr>
        <w:t xml:space="preserve">), </w:t>
      </w:r>
      <w:r w:rsidR="0040202D" w:rsidRPr="00711055">
        <w:rPr>
          <w:i/>
          <w:iCs/>
          <w:sz w:val="24"/>
          <w:szCs w:val="24"/>
        </w:rPr>
        <w:t>Determining Discounts for Lack of Marketability, A Companion Guide to the FMV Restricted Stock Study</w:t>
      </w:r>
      <w:r w:rsidR="0040202D" w:rsidRPr="00387D57">
        <w:rPr>
          <w:sz w:val="24"/>
          <w:szCs w:val="24"/>
        </w:rPr>
        <w:t xml:space="preserve">, 2015 </w:t>
      </w:r>
      <w:proofErr w:type="spellStart"/>
      <w:r w:rsidR="0040202D" w:rsidRPr="00387D57">
        <w:rPr>
          <w:sz w:val="24"/>
          <w:szCs w:val="24"/>
        </w:rPr>
        <w:t>edn</w:t>
      </w:r>
      <w:proofErr w:type="spellEnd"/>
      <w:r w:rsidR="0040202D" w:rsidRPr="00387D57">
        <w:rPr>
          <w:sz w:val="24"/>
          <w:szCs w:val="24"/>
        </w:rPr>
        <w:t>, FMV Opinions, Inc.</w:t>
      </w:r>
    </w:p>
    <w:p w14:paraId="1DD98C04" w14:textId="77777777" w:rsidR="0040202D" w:rsidRPr="008B3DE8" w:rsidRDefault="0040202D" w:rsidP="008B1F7F">
      <w:pPr>
        <w:spacing w:line="280" w:lineRule="exact"/>
        <w:ind w:left="720"/>
        <w:jc w:val="both"/>
        <w:rPr>
          <w:sz w:val="24"/>
          <w:szCs w:val="24"/>
        </w:rPr>
      </w:pPr>
    </w:p>
    <w:p w14:paraId="3DDD2BB4" w14:textId="77777777" w:rsidR="0040202D" w:rsidRPr="00387D57" w:rsidRDefault="0040202D" w:rsidP="00387D57">
      <w:pPr>
        <w:pStyle w:val="ListParagraph"/>
        <w:ind w:left="1440"/>
        <w:jc w:val="both"/>
        <w:rPr>
          <w:sz w:val="24"/>
          <w:szCs w:val="24"/>
        </w:rPr>
      </w:pPr>
      <w:r w:rsidRPr="00387D57">
        <w:rPr>
          <w:sz w:val="24"/>
          <w:szCs w:val="24"/>
        </w:rPr>
        <w:t xml:space="preserve">Recurrent examinations of the restricted stock transactions in its exclusive transaction database were first published by FMV Opinions </w:t>
      </w:r>
      <w:r w:rsidRPr="00387D57">
        <w:rPr>
          <w:rFonts w:eastAsia="Times New Roman"/>
          <w:color w:val="242021"/>
          <w:sz w:val="24"/>
          <w:szCs w:val="24"/>
        </w:rPr>
        <w:t xml:space="preserve">Inc. </w:t>
      </w:r>
      <w:r w:rsidRPr="00387D57">
        <w:rPr>
          <w:sz w:val="24"/>
          <w:szCs w:val="24"/>
        </w:rPr>
        <w:t xml:space="preserve">in 2001. The studies have been released annually in more recent years. </w:t>
      </w:r>
    </w:p>
    <w:p w14:paraId="68E25F58" w14:textId="77777777" w:rsidR="0040202D" w:rsidRDefault="0040202D" w:rsidP="008B1F7F">
      <w:pPr>
        <w:jc w:val="both"/>
        <w:rPr>
          <w:sz w:val="24"/>
          <w:szCs w:val="24"/>
        </w:rPr>
      </w:pPr>
    </w:p>
    <w:p w14:paraId="4F70B3B2" w14:textId="24FE7EF4" w:rsidR="0040202D" w:rsidRPr="00387D57" w:rsidRDefault="0040202D" w:rsidP="00387D57">
      <w:pPr>
        <w:pStyle w:val="ListParagraph"/>
        <w:numPr>
          <w:ilvl w:val="0"/>
          <w:numId w:val="8"/>
        </w:numPr>
        <w:jc w:val="both"/>
        <w:rPr>
          <w:sz w:val="24"/>
          <w:szCs w:val="24"/>
        </w:rPr>
      </w:pPr>
      <w:r w:rsidRPr="00387D57">
        <w:rPr>
          <w:sz w:val="24"/>
          <w:szCs w:val="24"/>
        </w:rPr>
        <w:t>Francis A. Longstaff (1995)</w:t>
      </w:r>
      <w:r w:rsidR="000C48D1">
        <w:rPr>
          <w:sz w:val="24"/>
          <w:szCs w:val="24"/>
        </w:rPr>
        <w:t>,</w:t>
      </w:r>
      <w:r w:rsidRPr="00387D57">
        <w:rPr>
          <w:sz w:val="24"/>
          <w:szCs w:val="24"/>
        </w:rPr>
        <w:t xml:space="preserve"> </w:t>
      </w:r>
      <w:r w:rsidRPr="000C48D1">
        <w:rPr>
          <w:i/>
          <w:iCs/>
          <w:sz w:val="24"/>
          <w:szCs w:val="24"/>
        </w:rPr>
        <w:t>How Much Can Marketability Affect Security Values</w:t>
      </w:r>
      <w:r w:rsidRPr="00387D57">
        <w:rPr>
          <w:sz w:val="24"/>
          <w:szCs w:val="24"/>
        </w:rPr>
        <w:t>, The Journal of Finance (December 1995), pp. 1767-1774.</w:t>
      </w:r>
    </w:p>
    <w:p w14:paraId="31AA8FC1" w14:textId="77777777" w:rsidR="0040202D" w:rsidRPr="008B3DE8" w:rsidRDefault="0040202D" w:rsidP="008B1F7F">
      <w:pPr>
        <w:pStyle w:val="FootnoteText"/>
        <w:ind w:left="720"/>
        <w:jc w:val="both"/>
        <w:rPr>
          <w:rFonts w:ascii="Arial" w:hAnsi="Arial" w:cs="Arial"/>
          <w:sz w:val="24"/>
          <w:szCs w:val="24"/>
          <w:lang w:val="en-US"/>
        </w:rPr>
      </w:pPr>
    </w:p>
    <w:p w14:paraId="77599BA7" w14:textId="77777777" w:rsidR="0040202D" w:rsidRPr="00387D57" w:rsidRDefault="0040202D" w:rsidP="00387D57">
      <w:pPr>
        <w:pStyle w:val="ListParagraph"/>
        <w:ind w:left="1440"/>
        <w:jc w:val="both"/>
        <w:rPr>
          <w:sz w:val="24"/>
          <w:szCs w:val="24"/>
        </w:rPr>
      </w:pPr>
      <w:r w:rsidRPr="00387D57">
        <w:rPr>
          <w:sz w:val="24"/>
          <w:szCs w:val="24"/>
        </w:rPr>
        <w:t xml:space="preserve">Using a lookback put option, Longstaff offered an alternative approach for calculating DLOM. The right, but not the responsibility, to "look back" and sell the stock for the highest realized price during the option's term is granted to the holder of a lookback put option. </w:t>
      </w:r>
    </w:p>
    <w:p w14:paraId="43B54CE1" w14:textId="77777777" w:rsidR="0040202D" w:rsidRDefault="0040202D" w:rsidP="008B1F7F">
      <w:pPr>
        <w:jc w:val="both"/>
        <w:rPr>
          <w:sz w:val="24"/>
          <w:szCs w:val="24"/>
        </w:rPr>
      </w:pPr>
    </w:p>
    <w:p w14:paraId="1D532D48" w14:textId="119FBA69" w:rsidR="0040202D" w:rsidRPr="00387D57" w:rsidRDefault="0040202D" w:rsidP="00387D57">
      <w:pPr>
        <w:pStyle w:val="ListParagraph"/>
        <w:numPr>
          <w:ilvl w:val="0"/>
          <w:numId w:val="8"/>
        </w:numPr>
        <w:jc w:val="both"/>
        <w:rPr>
          <w:sz w:val="24"/>
          <w:szCs w:val="24"/>
        </w:rPr>
      </w:pPr>
      <w:r w:rsidRPr="00387D57">
        <w:rPr>
          <w:sz w:val="24"/>
          <w:szCs w:val="24"/>
        </w:rPr>
        <w:t>Gelman, M. (1972)</w:t>
      </w:r>
      <w:r w:rsidR="000C48D1">
        <w:rPr>
          <w:sz w:val="24"/>
          <w:szCs w:val="24"/>
        </w:rPr>
        <w:t>,</w:t>
      </w:r>
      <w:r w:rsidRPr="00387D57">
        <w:rPr>
          <w:sz w:val="24"/>
          <w:szCs w:val="24"/>
        </w:rPr>
        <w:t xml:space="preserve"> </w:t>
      </w:r>
      <w:r w:rsidRPr="000C48D1">
        <w:rPr>
          <w:i/>
          <w:iCs/>
          <w:sz w:val="24"/>
          <w:szCs w:val="24"/>
        </w:rPr>
        <w:t>An Economist Financial Analyst’s Approach to Valuing Stock of a Closely Held Company</w:t>
      </w:r>
      <w:r w:rsidRPr="00387D57">
        <w:rPr>
          <w:sz w:val="24"/>
          <w:szCs w:val="24"/>
        </w:rPr>
        <w:t>, The Journal of Taxation, 36(6), pp. 353-354.</w:t>
      </w:r>
    </w:p>
    <w:p w14:paraId="1AFCD8F5" w14:textId="77777777" w:rsidR="0040202D" w:rsidRPr="008B3DE8" w:rsidRDefault="0040202D" w:rsidP="008B1F7F">
      <w:pPr>
        <w:pStyle w:val="FootnoteText"/>
        <w:ind w:left="720"/>
        <w:jc w:val="both"/>
        <w:rPr>
          <w:rFonts w:ascii="Arial" w:hAnsi="Arial" w:cs="Arial"/>
          <w:sz w:val="24"/>
          <w:szCs w:val="24"/>
        </w:rPr>
      </w:pPr>
    </w:p>
    <w:p w14:paraId="711BF283" w14:textId="77777777" w:rsidR="0040202D" w:rsidRPr="00387D57" w:rsidRDefault="0040202D" w:rsidP="00387D57">
      <w:pPr>
        <w:pStyle w:val="ListParagraph"/>
        <w:ind w:left="1440"/>
        <w:jc w:val="both"/>
        <w:rPr>
          <w:sz w:val="24"/>
          <w:szCs w:val="24"/>
        </w:rPr>
      </w:pPr>
      <w:r w:rsidRPr="00387D57">
        <w:rPr>
          <w:sz w:val="24"/>
          <w:szCs w:val="24"/>
        </w:rPr>
        <w:t xml:space="preserve">Gelman examined four investment corporations' 1968–1970 purchases of restricted securities. According to Gelman, investment firms purchase the equities straight from the business or, occasionally, from stockholders who are selling their holdings. Restricted securities are typically acquired for a significant discount to freely-marketable securities of the same class as the firm because their transferability is restricted. </w:t>
      </w:r>
    </w:p>
    <w:p w14:paraId="58337EAE" w14:textId="77777777" w:rsidR="0040202D" w:rsidRPr="008B3DE8" w:rsidRDefault="0040202D" w:rsidP="008B1F7F">
      <w:pPr>
        <w:ind w:left="720"/>
        <w:jc w:val="both"/>
        <w:rPr>
          <w:i/>
          <w:iCs/>
          <w:sz w:val="24"/>
          <w:szCs w:val="24"/>
        </w:rPr>
      </w:pPr>
    </w:p>
    <w:p w14:paraId="4A8FB30D" w14:textId="57D5775F" w:rsidR="0040202D" w:rsidRPr="00387D57" w:rsidRDefault="0040202D" w:rsidP="00387D57">
      <w:pPr>
        <w:pStyle w:val="ListParagraph"/>
        <w:numPr>
          <w:ilvl w:val="0"/>
          <w:numId w:val="8"/>
        </w:numPr>
        <w:jc w:val="both"/>
        <w:rPr>
          <w:sz w:val="24"/>
          <w:szCs w:val="24"/>
        </w:rPr>
      </w:pPr>
      <w:r w:rsidRPr="00387D57">
        <w:rPr>
          <w:sz w:val="24"/>
          <w:szCs w:val="24"/>
        </w:rPr>
        <w:t>Hall, Lance S., and Timothy C. Polacek</w:t>
      </w:r>
      <w:r w:rsidR="000C48D1">
        <w:rPr>
          <w:sz w:val="24"/>
          <w:szCs w:val="24"/>
        </w:rPr>
        <w:t xml:space="preserve"> (1994)</w:t>
      </w:r>
      <w:r w:rsidRPr="00387D57">
        <w:rPr>
          <w:sz w:val="24"/>
          <w:szCs w:val="24"/>
        </w:rPr>
        <w:t xml:space="preserve">, </w:t>
      </w:r>
      <w:r w:rsidRPr="000C48D1">
        <w:rPr>
          <w:i/>
          <w:iCs/>
          <w:sz w:val="24"/>
          <w:szCs w:val="24"/>
        </w:rPr>
        <w:t>Strategies for Obtaining the Largest Valuation Discounts</w:t>
      </w:r>
      <w:r w:rsidRPr="00387D57">
        <w:rPr>
          <w:sz w:val="24"/>
          <w:szCs w:val="24"/>
        </w:rPr>
        <w:t>, Estate Planning, January/February 1994, pp. 38-44.</w:t>
      </w:r>
    </w:p>
    <w:p w14:paraId="05D4CB66" w14:textId="77777777" w:rsidR="0040202D" w:rsidRPr="008B3DE8" w:rsidRDefault="0040202D" w:rsidP="008B1F7F">
      <w:pPr>
        <w:pStyle w:val="FootnoteText"/>
        <w:ind w:left="720"/>
        <w:jc w:val="both"/>
        <w:rPr>
          <w:rFonts w:ascii="Arial" w:hAnsi="Arial" w:cs="Arial"/>
          <w:sz w:val="24"/>
          <w:szCs w:val="24"/>
        </w:rPr>
      </w:pPr>
    </w:p>
    <w:p w14:paraId="4F8BBB15" w14:textId="77777777" w:rsidR="0040202D" w:rsidRPr="00387D57" w:rsidRDefault="0040202D" w:rsidP="00387D57">
      <w:pPr>
        <w:pStyle w:val="ListParagraph"/>
        <w:ind w:left="1440"/>
        <w:jc w:val="both"/>
        <w:rPr>
          <w:sz w:val="24"/>
          <w:szCs w:val="24"/>
        </w:rPr>
      </w:pPr>
      <w:r w:rsidRPr="00387D57">
        <w:rPr>
          <w:sz w:val="24"/>
          <w:szCs w:val="24"/>
        </w:rPr>
        <w:t>It reviewed actual Tax Court cases where a DLOM was allowed. The research conducted by Hall and Polacek affirms that the extent of the discount is frequently determined by the amount of the subject company's earnings, revenues, and the exchange on which the unrestricted stock was sold.</w:t>
      </w:r>
    </w:p>
    <w:p w14:paraId="3E94E2DB" w14:textId="77777777" w:rsidR="0040202D" w:rsidRPr="008B3DE8" w:rsidRDefault="0040202D" w:rsidP="008B1F7F">
      <w:pPr>
        <w:spacing w:line="280" w:lineRule="exact"/>
        <w:ind w:left="720"/>
        <w:jc w:val="both"/>
        <w:rPr>
          <w:sz w:val="24"/>
          <w:szCs w:val="24"/>
        </w:rPr>
      </w:pPr>
    </w:p>
    <w:p w14:paraId="70CFB74F" w14:textId="0B8A8A53" w:rsidR="0040202D" w:rsidRPr="00387D57" w:rsidRDefault="0040202D" w:rsidP="00387D57">
      <w:pPr>
        <w:pStyle w:val="ListParagraph"/>
        <w:numPr>
          <w:ilvl w:val="0"/>
          <w:numId w:val="8"/>
        </w:numPr>
        <w:jc w:val="both"/>
        <w:rPr>
          <w:sz w:val="24"/>
          <w:szCs w:val="24"/>
        </w:rPr>
      </w:pPr>
      <w:r w:rsidRPr="00387D57">
        <w:rPr>
          <w:sz w:val="24"/>
          <w:szCs w:val="24"/>
        </w:rPr>
        <w:t>Hertzel, M., and Smith, R. L. (1993)</w:t>
      </w:r>
      <w:r w:rsidR="00607182">
        <w:rPr>
          <w:sz w:val="24"/>
          <w:szCs w:val="24"/>
        </w:rPr>
        <w:t>,</w:t>
      </w:r>
      <w:r w:rsidRPr="00387D57">
        <w:rPr>
          <w:sz w:val="24"/>
          <w:szCs w:val="24"/>
        </w:rPr>
        <w:t xml:space="preserve"> </w:t>
      </w:r>
      <w:r w:rsidRPr="00607182">
        <w:rPr>
          <w:i/>
          <w:iCs/>
          <w:sz w:val="24"/>
          <w:szCs w:val="24"/>
        </w:rPr>
        <w:t>Market Discounts and Shareholder Gains for Placing Equity Privately</w:t>
      </w:r>
      <w:r w:rsidRPr="00387D57">
        <w:rPr>
          <w:sz w:val="24"/>
          <w:szCs w:val="24"/>
        </w:rPr>
        <w:t>, The Journal of Finance, 48(2), pp. 459-485.</w:t>
      </w:r>
    </w:p>
    <w:p w14:paraId="6BB8440A" w14:textId="77777777" w:rsidR="0040202D" w:rsidRPr="008B3DE8" w:rsidRDefault="0040202D" w:rsidP="008B1F7F">
      <w:pPr>
        <w:ind w:left="720"/>
        <w:jc w:val="both"/>
        <w:rPr>
          <w:i/>
          <w:iCs/>
          <w:sz w:val="24"/>
          <w:szCs w:val="24"/>
        </w:rPr>
      </w:pPr>
    </w:p>
    <w:p w14:paraId="171714AB" w14:textId="77777777" w:rsidR="0040202D" w:rsidRPr="00387D57" w:rsidRDefault="0040202D" w:rsidP="00387D57">
      <w:pPr>
        <w:pStyle w:val="ListParagraph"/>
        <w:ind w:left="1440"/>
        <w:jc w:val="both"/>
        <w:rPr>
          <w:sz w:val="24"/>
          <w:szCs w:val="24"/>
        </w:rPr>
      </w:pPr>
      <w:r w:rsidRPr="00387D57">
        <w:rPr>
          <w:sz w:val="24"/>
          <w:szCs w:val="24"/>
        </w:rPr>
        <w:t xml:space="preserve">In order to determine the causes of discounts on private placements and the ensuing aberrant returns, Hertzel and Smith conducted a study on private placements. "While the illiquidity of unregistered shares offers some insight, it is unclear why investors want such significant discounts and why companies are prepared to grant them. </w:t>
      </w:r>
    </w:p>
    <w:p w14:paraId="6B80A049" w14:textId="77777777" w:rsidR="0040202D" w:rsidRPr="008B3DE8" w:rsidRDefault="0040202D" w:rsidP="008B1F7F">
      <w:pPr>
        <w:spacing w:line="280" w:lineRule="exact"/>
        <w:ind w:left="720"/>
        <w:jc w:val="both"/>
        <w:rPr>
          <w:sz w:val="24"/>
          <w:szCs w:val="24"/>
        </w:rPr>
      </w:pPr>
    </w:p>
    <w:p w14:paraId="40920B41" w14:textId="7F4D2CD2" w:rsidR="0040202D" w:rsidRPr="00387D57" w:rsidRDefault="0040202D" w:rsidP="00387D57">
      <w:pPr>
        <w:pStyle w:val="ListParagraph"/>
        <w:numPr>
          <w:ilvl w:val="0"/>
          <w:numId w:val="8"/>
        </w:numPr>
        <w:jc w:val="both"/>
        <w:rPr>
          <w:sz w:val="24"/>
          <w:szCs w:val="24"/>
        </w:rPr>
      </w:pPr>
      <w:r w:rsidRPr="00387D57">
        <w:rPr>
          <w:sz w:val="24"/>
          <w:szCs w:val="24"/>
        </w:rPr>
        <w:t>Hitchner, et al. (2017)</w:t>
      </w:r>
      <w:r w:rsidR="00607182">
        <w:rPr>
          <w:sz w:val="24"/>
          <w:szCs w:val="24"/>
        </w:rPr>
        <w:t>,</w:t>
      </w:r>
      <w:r w:rsidRPr="00387D57">
        <w:rPr>
          <w:sz w:val="24"/>
          <w:szCs w:val="24"/>
        </w:rPr>
        <w:t xml:space="preserve"> </w:t>
      </w:r>
      <w:r w:rsidRPr="00607182">
        <w:rPr>
          <w:i/>
          <w:iCs/>
          <w:sz w:val="24"/>
          <w:szCs w:val="24"/>
        </w:rPr>
        <w:t>Financial Valuation Applications and Models</w:t>
      </w:r>
      <w:r w:rsidRPr="00387D57">
        <w:rPr>
          <w:sz w:val="24"/>
          <w:szCs w:val="24"/>
        </w:rPr>
        <w:t xml:space="preserve">, 3rd </w:t>
      </w:r>
      <w:proofErr w:type="spellStart"/>
      <w:r w:rsidRPr="00387D57">
        <w:rPr>
          <w:sz w:val="24"/>
          <w:szCs w:val="24"/>
        </w:rPr>
        <w:t>edn</w:t>
      </w:r>
      <w:proofErr w:type="spellEnd"/>
      <w:r w:rsidRPr="00387D57">
        <w:rPr>
          <w:sz w:val="24"/>
          <w:szCs w:val="24"/>
        </w:rPr>
        <w:t>. New Jersey: John Wiley &amp; Sons, Inc., pp. 387-389.</w:t>
      </w:r>
    </w:p>
    <w:p w14:paraId="3DC68478" w14:textId="77777777" w:rsidR="0040202D" w:rsidRPr="008B3DE8" w:rsidRDefault="0040202D" w:rsidP="008B1F7F">
      <w:pPr>
        <w:spacing w:line="240" w:lineRule="auto"/>
        <w:ind w:left="720"/>
        <w:jc w:val="both"/>
        <w:rPr>
          <w:rFonts w:eastAsia="Times New Roman"/>
          <w:sz w:val="24"/>
          <w:szCs w:val="24"/>
        </w:rPr>
      </w:pPr>
    </w:p>
    <w:p w14:paraId="03D4D0DB" w14:textId="77777777" w:rsidR="0040202D" w:rsidRPr="00387D57" w:rsidRDefault="0040202D" w:rsidP="00387D57">
      <w:pPr>
        <w:pStyle w:val="ListParagraph"/>
        <w:ind w:left="1440"/>
        <w:jc w:val="both"/>
        <w:rPr>
          <w:sz w:val="24"/>
          <w:szCs w:val="24"/>
        </w:rPr>
      </w:pPr>
      <w:r w:rsidRPr="00387D57">
        <w:rPr>
          <w:sz w:val="24"/>
          <w:szCs w:val="24"/>
        </w:rPr>
        <w:t xml:space="preserve">In order to ascertain whether the DLOM was higher for transactions that were the furthest from the IPO date, Hitchner/Morris conducted an analysis on the Emory Study data for the period January 1980 through June 1995. </w:t>
      </w:r>
    </w:p>
    <w:p w14:paraId="165D0C32" w14:textId="77777777" w:rsidR="0040202D" w:rsidRDefault="0040202D" w:rsidP="008B1F7F">
      <w:pPr>
        <w:pStyle w:val="FootnoteText"/>
        <w:ind w:left="720"/>
        <w:jc w:val="both"/>
        <w:rPr>
          <w:rFonts w:ascii="Arial" w:hAnsi="Arial" w:cs="Arial"/>
          <w:sz w:val="24"/>
          <w:szCs w:val="24"/>
        </w:rPr>
      </w:pPr>
    </w:p>
    <w:p w14:paraId="258C1A21" w14:textId="71936B55" w:rsidR="00222E86" w:rsidRPr="00222E86" w:rsidRDefault="00222E86" w:rsidP="00222E86">
      <w:pPr>
        <w:pStyle w:val="ListParagraph"/>
        <w:numPr>
          <w:ilvl w:val="0"/>
          <w:numId w:val="8"/>
        </w:numPr>
        <w:jc w:val="both"/>
        <w:rPr>
          <w:sz w:val="24"/>
          <w:szCs w:val="24"/>
        </w:rPr>
      </w:pPr>
      <w:r w:rsidRPr="00222E86">
        <w:rPr>
          <w:sz w:val="24"/>
          <w:szCs w:val="24"/>
        </w:rPr>
        <w:t>James R. Hitchner (2024)</w:t>
      </w:r>
      <w:r w:rsidR="00607182">
        <w:rPr>
          <w:sz w:val="24"/>
          <w:szCs w:val="24"/>
        </w:rPr>
        <w:t>,</w:t>
      </w:r>
      <w:r w:rsidRPr="00222E86">
        <w:rPr>
          <w:sz w:val="24"/>
          <w:szCs w:val="24"/>
        </w:rPr>
        <w:t xml:space="preserve"> </w:t>
      </w:r>
      <w:r w:rsidRPr="00607182">
        <w:rPr>
          <w:i/>
          <w:iCs/>
          <w:sz w:val="24"/>
          <w:szCs w:val="24"/>
        </w:rPr>
        <w:t>Financial Valuation – Applications and Models</w:t>
      </w:r>
      <w:r w:rsidRPr="00222E86">
        <w:rPr>
          <w:sz w:val="24"/>
          <w:szCs w:val="24"/>
        </w:rPr>
        <w:t xml:space="preserve">, 4th </w:t>
      </w:r>
      <w:proofErr w:type="spellStart"/>
      <w:r w:rsidRPr="00222E86">
        <w:rPr>
          <w:sz w:val="24"/>
          <w:szCs w:val="24"/>
        </w:rPr>
        <w:t>Edn</w:t>
      </w:r>
      <w:proofErr w:type="spellEnd"/>
      <w:r w:rsidRPr="00222E86">
        <w:rPr>
          <w:sz w:val="24"/>
          <w:szCs w:val="24"/>
        </w:rPr>
        <w:t>., Canada: John Wiley &amp; Sons, inc., p.412</w:t>
      </w:r>
    </w:p>
    <w:p w14:paraId="31E43DFB" w14:textId="77777777" w:rsidR="00222E86" w:rsidRDefault="00222E86" w:rsidP="008B1F7F">
      <w:pPr>
        <w:pStyle w:val="FootnoteText"/>
        <w:ind w:left="720"/>
        <w:jc w:val="both"/>
        <w:rPr>
          <w:rFonts w:ascii="Arial" w:hAnsi="Arial" w:cs="Arial"/>
          <w:sz w:val="24"/>
          <w:szCs w:val="24"/>
        </w:rPr>
      </w:pPr>
    </w:p>
    <w:p w14:paraId="61CB499F" w14:textId="77777777" w:rsidR="005643A9" w:rsidRPr="005643A9" w:rsidRDefault="005643A9" w:rsidP="005643A9">
      <w:pPr>
        <w:pStyle w:val="ListParagraph"/>
        <w:ind w:left="1440"/>
        <w:jc w:val="both"/>
        <w:rPr>
          <w:sz w:val="24"/>
          <w:szCs w:val="24"/>
        </w:rPr>
      </w:pPr>
      <w:r w:rsidRPr="005643A9">
        <w:rPr>
          <w:sz w:val="24"/>
          <w:szCs w:val="24"/>
        </w:rPr>
        <w:t xml:space="preserve">Defensible and suitable methods for preparing and presenting company values are laid out in this authoritative guide. This new edition, which is a must-have for anyone looking for the latest advice with a focus on models and applications, is compiled with the help of thirty of the best specialists in the area. </w:t>
      </w:r>
    </w:p>
    <w:p w14:paraId="69B50AE3" w14:textId="77777777" w:rsidR="00222E86" w:rsidRDefault="00222E86" w:rsidP="005643A9">
      <w:pPr>
        <w:pStyle w:val="FootnoteText"/>
        <w:jc w:val="both"/>
        <w:rPr>
          <w:rFonts w:ascii="Arial" w:hAnsi="Arial" w:cs="Arial"/>
          <w:sz w:val="24"/>
          <w:szCs w:val="24"/>
        </w:rPr>
      </w:pPr>
    </w:p>
    <w:p w14:paraId="0933DB70" w14:textId="2589C61A" w:rsidR="00C93C9F" w:rsidRPr="00302B1C" w:rsidRDefault="00C93C9F" w:rsidP="00302B1C">
      <w:pPr>
        <w:pStyle w:val="ListParagraph"/>
        <w:numPr>
          <w:ilvl w:val="0"/>
          <w:numId w:val="8"/>
        </w:numPr>
        <w:jc w:val="both"/>
        <w:rPr>
          <w:sz w:val="24"/>
          <w:szCs w:val="24"/>
        </w:rPr>
      </w:pPr>
      <w:hyperlink r:id="rId16" w:history="1">
        <w:r w:rsidRPr="00302B1C">
          <w:t>John W</w:t>
        </w:r>
        <w:r w:rsidR="00302B1C">
          <w:t>.</w:t>
        </w:r>
        <w:r w:rsidRPr="00302B1C">
          <w:t xml:space="preserve"> Creswell</w:t>
        </w:r>
      </w:hyperlink>
      <w:r>
        <w:rPr>
          <w:sz w:val="24"/>
          <w:szCs w:val="24"/>
        </w:rPr>
        <w:t xml:space="preserve"> (2024)</w:t>
      </w:r>
      <w:r w:rsidR="00607182">
        <w:rPr>
          <w:sz w:val="24"/>
          <w:szCs w:val="24"/>
        </w:rPr>
        <w:t>,</w:t>
      </w:r>
      <w:r>
        <w:rPr>
          <w:sz w:val="24"/>
          <w:szCs w:val="24"/>
        </w:rPr>
        <w:t xml:space="preserve"> </w:t>
      </w:r>
      <w:r w:rsidRPr="00607182">
        <w:rPr>
          <w:i/>
          <w:iCs/>
          <w:sz w:val="24"/>
          <w:szCs w:val="24"/>
        </w:rPr>
        <w:t>Educational Research: Planning, Conducting, and Evaluating Quantitative and Qualitative Research</w:t>
      </w:r>
      <w:r w:rsidRPr="00302B1C">
        <w:rPr>
          <w:sz w:val="24"/>
          <w:szCs w:val="24"/>
        </w:rPr>
        <w:t xml:space="preserve">, 7th </w:t>
      </w:r>
      <w:proofErr w:type="spellStart"/>
      <w:r w:rsidRPr="00387D57">
        <w:rPr>
          <w:sz w:val="24"/>
          <w:szCs w:val="24"/>
        </w:rPr>
        <w:t>edn</w:t>
      </w:r>
      <w:proofErr w:type="spellEnd"/>
      <w:r w:rsidRPr="00387D57">
        <w:rPr>
          <w:sz w:val="24"/>
          <w:szCs w:val="24"/>
        </w:rPr>
        <w:t>.</w:t>
      </w:r>
      <w:r w:rsidR="00302B1C">
        <w:rPr>
          <w:sz w:val="24"/>
          <w:szCs w:val="24"/>
        </w:rPr>
        <w:t xml:space="preserve"> </w:t>
      </w:r>
      <w:r w:rsidR="00302B1C" w:rsidRPr="00302B1C">
        <w:rPr>
          <w:sz w:val="24"/>
          <w:szCs w:val="24"/>
        </w:rPr>
        <w:t>Nebraska</w:t>
      </w:r>
      <w:r w:rsidR="00302B1C">
        <w:rPr>
          <w:sz w:val="24"/>
          <w:szCs w:val="24"/>
        </w:rPr>
        <w:t>:</w:t>
      </w:r>
      <w:r>
        <w:rPr>
          <w:sz w:val="24"/>
          <w:szCs w:val="24"/>
        </w:rPr>
        <w:t xml:space="preserve"> Pearson Plc.</w:t>
      </w:r>
    </w:p>
    <w:p w14:paraId="0E1807ED" w14:textId="77777777" w:rsidR="00302B1C" w:rsidRDefault="00302B1C" w:rsidP="00302B1C">
      <w:pPr>
        <w:pStyle w:val="ListParagraph"/>
        <w:ind w:left="1440"/>
        <w:jc w:val="both"/>
        <w:rPr>
          <w:sz w:val="24"/>
          <w:szCs w:val="24"/>
        </w:rPr>
      </w:pPr>
    </w:p>
    <w:p w14:paraId="6806C85B" w14:textId="5787C186" w:rsidR="00C93C9F" w:rsidRDefault="00302B1C" w:rsidP="00302B1C">
      <w:pPr>
        <w:pStyle w:val="ListParagraph"/>
        <w:ind w:left="1440"/>
        <w:jc w:val="both"/>
        <w:rPr>
          <w:sz w:val="24"/>
          <w:szCs w:val="24"/>
        </w:rPr>
      </w:pPr>
      <w:r w:rsidRPr="00302B1C">
        <w:rPr>
          <w:sz w:val="24"/>
          <w:szCs w:val="24"/>
        </w:rPr>
        <w:t>It first examines the general steps in the research process and then details the procedures for conducting specific types of quantitative, qualitative and mixed methods studies. Direct guidance on reading research is offered throughout and helpful features provide opportunities for you to practice and apply what you have learned.</w:t>
      </w:r>
    </w:p>
    <w:p w14:paraId="11872A29" w14:textId="77777777" w:rsidR="00302B1C" w:rsidRPr="008B3DE8" w:rsidRDefault="00302B1C" w:rsidP="008B1F7F">
      <w:pPr>
        <w:pStyle w:val="FootnoteText"/>
        <w:ind w:left="720"/>
        <w:jc w:val="both"/>
        <w:rPr>
          <w:rFonts w:ascii="Arial" w:hAnsi="Arial" w:cs="Arial"/>
          <w:sz w:val="24"/>
          <w:szCs w:val="24"/>
        </w:rPr>
      </w:pPr>
    </w:p>
    <w:p w14:paraId="0AA99B35" w14:textId="0D9B9AAE" w:rsidR="0040202D" w:rsidRPr="00387D57" w:rsidRDefault="0040202D" w:rsidP="00387D57">
      <w:pPr>
        <w:pStyle w:val="ListParagraph"/>
        <w:numPr>
          <w:ilvl w:val="0"/>
          <w:numId w:val="8"/>
        </w:numPr>
        <w:jc w:val="both"/>
        <w:rPr>
          <w:sz w:val="24"/>
          <w:szCs w:val="24"/>
        </w:rPr>
      </w:pPr>
      <w:r w:rsidRPr="00387D57">
        <w:rPr>
          <w:sz w:val="24"/>
          <w:szCs w:val="24"/>
        </w:rPr>
        <w:t xml:space="preserve">John D. Emory (1997), </w:t>
      </w:r>
      <w:r w:rsidRPr="00607182">
        <w:rPr>
          <w:i/>
          <w:iCs/>
          <w:sz w:val="24"/>
          <w:szCs w:val="24"/>
        </w:rPr>
        <w:t>The Value of Marketability as Illustrated in Initial Public Offerings of Common Stock (Eighth in a Series),</w:t>
      </w:r>
      <w:r w:rsidRPr="00387D57">
        <w:rPr>
          <w:sz w:val="24"/>
          <w:szCs w:val="24"/>
        </w:rPr>
        <w:t xml:space="preserve"> November 1995 through April 1997’, Business Valuation Review 16, no. 3 (September 1997): pp. 123–124.</w:t>
      </w:r>
    </w:p>
    <w:p w14:paraId="27B3E6D8" w14:textId="77777777" w:rsidR="0040202D" w:rsidRDefault="0040202D" w:rsidP="008B1F7F">
      <w:pPr>
        <w:ind w:left="720"/>
        <w:jc w:val="both"/>
        <w:rPr>
          <w:sz w:val="24"/>
          <w:szCs w:val="24"/>
        </w:rPr>
      </w:pPr>
    </w:p>
    <w:p w14:paraId="3BABB4DA" w14:textId="77777777" w:rsidR="0040202D" w:rsidRPr="00387D57" w:rsidRDefault="0040202D" w:rsidP="00387D57">
      <w:pPr>
        <w:pStyle w:val="ListParagraph"/>
        <w:ind w:left="1440"/>
        <w:jc w:val="both"/>
        <w:rPr>
          <w:sz w:val="24"/>
          <w:szCs w:val="24"/>
        </w:rPr>
      </w:pPr>
      <w:r w:rsidRPr="00387D57">
        <w:rPr>
          <w:sz w:val="24"/>
          <w:szCs w:val="24"/>
        </w:rPr>
        <w:t xml:space="preserve">Emory examined the prospectuses for nearly 4,000 transactions to find transactions that happened little more than five months before the IPO for studies spanning the years January 1980 to December 2000. </w:t>
      </w:r>
    </w:p>
    <w:p w14:paraId="4545D481" w14:textId="77777777" w:rsidR="0040202D" w:rsidRPr="008B3DE8" w:rsidRDefault="0040202D" w:rsidP="008B1F7F">
      <w:pPr>
        <w:pStyle w:val="FootnoteText"/>
        <w:ind w:left="720"/>
        <w:jc w:val="both"/>
        <w:rPr>
          <w:rFonts w:ascii="Arial" w:hAnsi="Arial" w:cs="Arial"/>
          <w:sz w:val="24"/>
          <w:szCs w:val="24"/>
        </w:rPr>
      </w:pPr>
    </w:p>
    <w:p w14:paraId="22F63361" w14:textId="4C5C57A8" w:rsidR="0040202D" w:rsidRPr="00387D57" w:rsidRDefault="0040202D" w:rsidP="00387D57">
      <w:pPr>
        <w:pStyle w:val="ListParagraph"/>
        <w:numPr>
          <w:ilvl w:val="0"/>
          <w:numId w:val="8"/>
        </w:numPr>
        <w:jc w:val="both"/>
        <w:rPr>
          <w:sz w:val="24"/>
          <w:szCs w:val="24"/>
        </w:rPr>
      </w:pPr>
      <w:r w:rsidRPr="00387D57">
        <w:rPr>
          <w:sz w:val="24"/>
          <w:szCs w:val="24"/>
        </w:rPr>
        <w:t>Johnson, B. A. (1999)</w:t>
      </w:r>
      <w:r w:rsidR="00607182">
        <w:rPr>
          <w:sz w:val="24"/>
          <w:szCs w:val="24"/>
        </w:rPr>
        <w:t>,</w:t>
      </w:r>
      <w:r w:rsidRPr="00387D57">
        <w:rPr>
          <w:sz w:val="24"/>
          <w:szCs w:val="24"/>
        </w:rPr>
        <w:t xml:space="preserve"> </w:t>
      </w:r>
      <w:r w:rsidRPr="00607182">
        <w:rPr>
          <w:i/>
          <w:iCs/>
          <w:sz w:val="24"/>
          <w:szCs w:val="24"/>
        </w:rPr>
        <w:t>Restricted Stock Discounts</w:t>
      </w:r>
      <w:r w:rsidRPr="00387D57">
        <w:rPr>
          <w:sz w:val="24"/>
          <w:szCs w:val="24"/>
        </w:rPr>
        <w:t>. Shannon Pratt's Business Valuation Update, 5(3).</w:t>
      </w:r>
    </w:p>
    <w:p w14:paraId="5A1DD3E6" w14:textId="77777777" w:rsidR="0040202D" w:rsidRPr="008B3DE8" w:rsidRDefault="0040202D" w:rsidP="008B1F7F">
      <w:pPr>
        <w:pStyle w:val="FootnoteText"/>
        <w:ind w:left="720"/>
        <w:jc w:val="both"/>
        <w:rPr>
          <w:rFonts w:ascii="Arial" w:hAnsi="Arial" w:cs="Arial"/>
          <w:i/>
          <w:iCs/>
          <w:sz w:val="24"/>
          <w:szCs w:val="24"/>
        </w:rPr>
      </w:pPr>
    </w:p>
    <w:p w14:paraId="4556F938" w14:textId="77777777" w:rsidR="0040202D" w:rsidRPr="00387D57" w:rsidRDefault="0040202D" w:rsidP="00387D57">
      <w:pPr>
        <w:pStyle w:val="ListParagraph"/>
        <w:ind w:left="1440"/>
        <w:jc w:val="both"/>
        <w:rPr>
          <w:sz w:val="24"/>
          <w:szCs w:val="24"/>
        </w:rPr>
      </w:pPr>
      <w:r w:rsidRPr="00387D57">
        <w:rPr>
          <w:sz w:val="24"/>
          <w:szCs w:val="24"/>
        </w:rPr>
        <w:t xml:space="preserve">It examined seventy-two private placements that took place between 1991 and 1995. The five years that followed the relaxation of Rule 144 restrictions under Rule 144A, which let eligible institutional investors to trade unregistered securities without registering them, were represented by this era. </w:t>
      </w:r>
    </w:p>
    <w:p w14:paraId="34A3AAF1" w14:textId="77777777" w:rsidR="0040202D" w:rsidRDefault="0040202D" w:rsidP="008B1F7F">
      <w:pPr>
        <w:jc w:val="both"/>
        <w:rPr>
          <w:sz w:val="24"/>
          <w:szCs w:val="24"/>
        </w:rPr>
      </w:pPr>
    </w:p>
    <w:p w14:paraId="05E1B1FA"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James R. Hitchner (2017), </w:t>
      </w:r>
      <w:r w:rsidRPr="002A1838">
        <w:rPr>
          <w:i/>
          <w:iCs/>
          <w:sz w:val="24"/>
          <w:szCs w:val="24"/>
        </w:rPr>
        <w:t>Financial Valuation Applications and Models</w:t>
      </w:r>
      <w:r w:rsidRPr="00387D57">
        <w:rPr>
          <w:sz w:val="24"/>
          <w:szCs w:val="24"/>
        </w:rPr>
        <w:t xml:space="preserve">, </w:t>
      </w:r>
      <w:r>
        <w:t>4</w:t>
      </w:r>
      <w:r w:rsidRPr="00387D57">
        <w:rPr>
          <w:vertAlign w:val="superscript"/>
        </w:rPr>
        <w:t>th</w:t>
      </w:r>
      <w:r>
        <w:t xml:space="preserve"> </w:t>
      </w:r>
      <w:proofErr w:type="spellStart"/>
      <w:r>
        <w:t>Edn</w:t>
      </w:r>
      <w:proofErr w:type="spellEnd"/>
      <w:r>
        <w:t xml:space="preserve">, </w:t>
      </w:r>
      <w:r w:rsidRPr="00387D57">
        <w:rPr>
          <w:sz w:val="24"/>
          <w:szCs w:val="24"/>
        </w:rPr>
        <w:t>New Jersey: John Wiley &amp; Sons, Inc. pp. 392-493.</w:t>
      </w:r>
    </w:p>
    <w:p w14:paraId="3E756FCE" w14:textId="77777777" w:rsidR="0040202D" w:rsidRDefault="0040202D" w:rsidP="008B1F7F">
      <w:pPr>
        <w:jc w:val="both"/>
        <w:rPr>
          <w:sz w:val="24"/>
          <w:szCs w:val="24"/>
        </w:rPr>
      </w:pPr>
    </w:p>
    <w:p w14:paraId="3A4EFD37" w14:textId="77777777" w:rsidR="0040202D" w:rsidRPr="00387D57" w:rsidRDefault="0040202D" w:rsidP="00387D57">
      <w:pPr>
        <w:pStyle w:val="ListParagraph"/>
        <w:ind w:left="1440"/>
        <w:jc w:val="both"/>
        <w:rPr>
          <w:sz w:val="24"/>
          <w:szCs w:val="24"/>
        </w:rPr>
      </w:pPr>
      <w:r w:rsidRPr="00387D57">
        <w:rPr>
          <w:sz w:val="24"/>
          <w:szCs w:val="24"/>
        </w:rPr>
        <w:t>It gives an overview of research that supports discounts for unmarketability and talks about what kinds of underlying income streams these discounts would apply to.</w:t>
      </w:r>
    </w:p>
    <w:p w14:paraId="0354F67C" w14:textId="77777777" w:rsidR="0040202D" w:rsidRDefault="0040202D" w:rsidP="008B1F7F">
      <w:pPr>
        <w:jc w:val="both"/>
        <w:rPr>
          <w:sz w:val="24"/>
          <w:szCs w:val="24"/>
        </w:rPr>
      </w:pPr>
    </w:p>
    <w:p w14:paraId="6D809BCE" w14:textId="401DFE38" w:rsidR="0040202D" w:rsidRPr="00387D57" w:rsidRDefault="0040202D" w:rsidP="00387D57">
      <w:pPr>
        <w:pStyle w:val="ListParagraph"/>
        <w:numPr>
          <w:ilvl w:val="0"/>
          <w:numId w:val="8"/>
        </w:numPr>
        <w:jc w:val="both"/>
        <w:rPr>
          <w:sz w:val="24"/>
          <w:szCs w:val="24"/>
        </w:rPr>
      </w:pPr>
      <w:r w:rsidRPr="00387D57">
        <w:rPr>
          <w:sz w:val="24"/>
          <w:szCs w:val="24"/>
        </w:rPr>
        <w:t>James R. Hitchner (2017)</w:t>
      </w:r>
      <w:r w:rsidR="002A1838">
        <w:rPr>
          <w:sz w:val="24"/>
          <w:szCs w:val="24"/>
        </w:rPr>
        <w:t>,</w:t>
      </w:r>
      <w:r w:rsidRPr="00387D57">
        <w:rPr>
          <w:sz w:val="24"/>
          <w:szCs w:val="24"/>
        </w:rPr>
        <w:t xml:space="preserve"> </w:t>
      </w:r>
      <w:r w:rsidRPr="002A1838">
        <w:rPr>
          <w:i/>
          <w:iCs/>
          <w:sz w:val="24"/>
          <w:szCs w:val="24"/>
        </w:rPr>
        <w:t>Financial Valuation Workbook</w:t>
      </w:r>
      <w:r w:rsidRPr="00387D57">
        <w:rPr>
          <w:sz w:val="24"/>
          <w:szCs w:val="24"/>
        </w:rPr>
        <w:t>,</w:t>
      </w:r>
      <w:r w:rsidRPr="00B53A34">
        <w:t xml:space="preserve"> </w:t>
      </w:r>
      <w:r>
        <w:t>4</w:t>
      </w:r>
      <w:r w:rsidRPr="00387D57">
        <w:rPr>
          <w:vertAlign w:val="superscript"/>
        </w:rPr>
        <w:t>th</w:t>
      </w:r>
      <w:r>
        <w:t xml:space="preserve"> </w:t>
      </w:r>
      <w:proofErr w:type="spellStart"/>
      <w:r>
        <w:t>Edn</w:t>
      </w:r>
      <w:proofErr w:type="spellEnd"/>
      <w:r>
        <w:t xml:space="preserve">, </w:t>
      </w:r>
      <w:r w:rsidRPr="00387D57">
        <w:rPr>
          <w:sz w:val="24"/>
          <w:szCs w:val="24"/>
        </w:rPr>
        <w:t>New Jersey: John Wiley &amp; Sons, Inc.</w:t>
      </w:r>
    </w:p>
    <w:p w14:paraId="79E626D8" w14:textId="77777777" w:rsidR="0040202D" w:rsidRDefault="0040202D" w:rsidP="008B1F7F">
      <w:pPr>
        <w:jc w:val="both"/>
        <w:rPr>
          <w:sz w:val="24"/>
          <w:szCs w:val="24"/>
        </w:rPr>
      </w:pPr>
    </w:p>
    <w:p w14:paraId="0D6D2ABA" w14:textId="77777777" w:rsidR="0040202D" w:rsidRPr="008B3DE8" w:rsidRDefault="0040202D" w:rsidP="00387D57">
      <w:pPr>
        <w:pStyle w:val="ListParagraph"/>
        <w:ind w:left="1440"/>
        <w:jc w:val="both"/>
        <w:rPr>
          <w:sz w:val="24"/>
          <w:szCs w:val="24"/>
        </w:rPr>
      </w:pPr>
      <w:r w:rsidRPr="00B53A34">
        <w:rPr>
          <w:sz w:val="24"/>
          <w:szCs w:val="24"/>
        </w:rPr>
        <w:t>This book includes valuation techniques that professionals can use to prepare business valuations and discount for lack of marketability, as well as educational exercises that walk the reader through a thorough business valuation.</w:t>
      </w:r>
    </w:p>
    <w:p w14:paraId="77B7BAA2" w14:textId="77777777" w:rsidR="0040202D" w:rsidRDefault="0040202D" w:rsidP="008B1F7F">
      <w:pPr>
        <w:jc w:val="both"/>
        <w:rPr>
          <w:sz w:val="24"/>
          <w:szCs w:val="24"/>
        </w:rPr>
      </w:pPr>
    </w:p>
    <w:p w14:paraId="5E7FBF94" w14:textId="4185ABD6" w:rsidR="0040202D" w:rsidRPr="00387D57" w:rsidRDefault="0040202D" w:rsidP="00387D57">
      <w:pPr>
        <w:pStyle w:val="ListParagraph"/>
        <w:numPr>
          <w:ilvl w:val="0"/>
          <w:numId w:val="8"/>
        </w:numPr>
        <w:jc w:val="both"/>
        <w:rPr>
          <w:sz w:val="24"/>
          <w:szCs w:val="24"/>
        </w:rPr>
      </w:pPr>
      <w:r w:rsidRPr="00387D57">
        <w:rPr>
          <w:sz w:val="24"/>
          <w:szCs w:val="24"/>
        </w:rPr>
        <w:t xml:space="preserve">Johan Van den </w:t>
      </w:r>
      <w:proofErr w:type="spellStart"/>
      <w:r w:rsidRPr="00387D57">
        <w:rPr>
          <w:sz w:val="24"/>
          <w:szCs w:val="24"/>
        </w:rPr>
        <w:t>Cruijce</w:t>
      </w:r>
      <w:proofErr w:type="spellEnd"/>
      <w:r w:rsidRPr="00387D57">
        <w:rPr>
          <w:sz w:val="24"/>
          <w:szCs w:val="24"/>
        </w:rPr>
        <w:t xml:space="preserve"> (2022)</w:t>
      </w:r>
      <w:r w:rsidR="002A1838">
        <w:rPr>
          <w:sz w:val="24"/>
          <w:szCs w:val="24"/>
        </w:rPr>
        <w:t>,</w:t>
      </w:r>
      <w:r w:rsidRPr="00387D57">
        <w:rPr>
          <w:sz w:val="24"/>
          <w:szCs w:val="24"/>
        </w:rPr>
        <w:t xml:space="preserve"> </w:t>
      </w:r>
      <w:r w:rsidRPr="002A1838">
        <w:rPr>
          <w:i/>
          <w:iCs/>
          <w:sz w:val="24"/>
          <w:szCs w:val="24"/>
        </w:rPr>
        <w:t>Determinants of the Discount for Lack of Marketability</w:t>
      </w:r>
      <w:r w:rsidRPr="00387D57">
        <w:rPr>
          <w:sz w:val="24"/>
          <w:szCs w:val="24"/>
        </w:rPr>
        <w:t xml:space="preserve">, </w:t>
      </w:r>
      <w:r w:rsidRPr="00387D57">
        <w:rPr>
          <w:i/>
          <w:iCs/>
          <w:sz w:val="24"/>
          <w:szCs w:val="24"/>
        </w:rPr>
        <w:t>The European Business Valuation Magazine</w:t>
      </w:r>
      <w:r w:rsidRPr="00387D57">
        <w:rPr>
          <w:sz w:val="24"/>
          <w:szCs w:val="24"/>
        </w:rPr>
        <w:t>, 1 (2), pp. 4-11</w:t>
      </w:r>
    </w:p>
    <w:p w14:paraId="65E56BCD" w14:textId="77777777" w:rsidR="0040202D" w:rsidRDefault="0040202D" w:rsidP="008B1F7F">
      <w:pPr>
        <w:jc w:val="both"/>
        <w:rPr>
          <w:b/>
          <w:bCs/>
          <w:sz w:val="24"/>
          <w:szCs w:val="24"/>
          <w:lang w:val="en-US"/>
        </w:rPr>
      </w:pPr>
    </w:p>
    <w:p w14:paraId="2D658BEA" w14:textId="77777777" w:rsidR="0040202D" w:rsidRPr="00387D57" w:rsidRDefault="0040202D" w:rsidP="00387D57">
      <w:pPr>
        <w:pStyle w:val="ListParagraph"/>
        <w:ind w:left="1440"/>
        <w:jc w:val="both"/>
        <w:rPr>
          <w:sz w:val="24"/>
          <w:szCs w:val="24"/>
        </w:rPr>
      </w:pPr>
      <w:r w:rsidRPr="00387D57">
        <w:rPr>
          <w:sz w:val="24"/>
          <w:szCs w:val="24"/>
        </w:rPr>
        <w:t>He provide evidence of factors that contribute to a more accurate approach and demonstrate how the industry practice of using average DLOMs to value any private company produces inaccurate results.</w:t>
      </w:r>
    </w:p>
    <w:p w14:paraId="2BB54DD3" w14:textId="77777777" w:rsidR="0040202D" w:rsidRPr="008B3DE8" w:rsidRDefault="0040202D" w:rsidP="008B1F7F">
      <w:pPr>
        <w:pStyle w:val="FootnoteText"/>
        <w:ind w:left="720"/>
        <w:jc w:val="both"/>
        <w:rPr>
          <w:rFonts w:ascii="Arial" w:hAnsi="Arial" w:cs="Arial"/>
          <w:sz w:val="24"/>
          <w:szCs w:val="24"/>
        </w:rPr>
      </w:pPr>
    </w:p>
    <w:p w14:paraId="65776BDF" w14:textId="72FD36EC" w:rsidR="0040202D" w:rsidRPr="00387D57" w:rsidRDefault="0040202D" w:rsidP="00387D57">
      <w:pPr>
        <w:pStyle w:val="ListParagraph"/>
        <w:numPr>
          <w:ilvl w:val="0"/>
          <w:numId w:val="8"/>
        </w:numPr>
        <w:jc w:val="both"/>
        <w:rPr>
          <w:sz w:val="24"/>
          <w:szCs w:val="24"/>
        </w:rPr>
      </w:pPr>
      <w:r w:rsidRPr="00387D57">
        <w:rPr>
          <w:sz w:val="24"/>
          <w:szCs w:val="24"/>
        </w:rPr>
        <w:t>Karen H. Wruck (1989)</w:t>
      </w:r>
      <w:r w:rsidR="002A1838">
        <w:rPr>
          <w:sz w:val="24"/>
          <w:szCs w:val="24"/>
        </w:rPr>
        <w:t>,</w:t>
      </w:r>
      <w:r w:rsidRPr="00387D57">
        <w:rPr>
          <w:sz w:val="24"/>
          <w:szCs w:val="24"/>
        </w:rPr>
        <w:t xml:space="preserve"> </w:t>
      </w:r>
      <w:r w:rsidRPr="002A1838">
        <w:rPr>
          <w:i/>
          <w:iCs/>
          <w:sz w:val="24"/>
          <w:szCs w:val="24"/>
        </w:rPr>
        <w:t>Equity Ownership Concentration and Firm Value</w:t>
      </w:r>
      <w:r w:rsidRPr="00387D57">
        <w:rPr>
          <w:sz w:val="24"/>
          <w:szCs w:val="24"/>
        </w:rPr>
        <w:t>, The Journal of Financial Economics, 23(1989), pp. 3–28.</w:t>
      </w:r>
    </w:p>
    <w:p w14:paraId="31722A25" w14:textId="77777777" w:rsidR="0040202D" w:rsidRPr="008B3DE8" w:rsidRDefault="0040202D" w:rsidP="008B1F7F">
      <w:pPr>
        <w:spacing w:line="280" w:lineRule="exact"/>
        <w:ind w:left="720"/>
        <w:jc w:val="both"/>
        <w:rPr>
          <w:sz w:val="24"/>
          <w:szCs w:val="24"/>
        </w:rPr>
      </w:pPr>
    </w:p>
    <w:p w14:paraId="03C7A902" w14:textId="77777777" w:rsidR="0040202D" w:rsidRPr="00387D57" w:rsidRDefault="0040202D" w:rsidP="00387D57">
      <w:pPr>
        <w:pStyle w:val="ListParagraph"/>
        <w:ind w:left="1440"/>
        <w:jc w:val="both"/>
        <w:rPr>
          <w:sz w:val="24"/>
          <w:szCs w:val="24"/>
        </w:rPr>
      </w:pPr>
      <w:r w:rsidRPr="00387D57">
        <w:rPr>
          <w:sz w:val="24"/>
          <w:szCs w:val="24"/>
        </w:rPr>
        <w:t>Dr. Wruck looked into the impact of ownership concentration on the value of the company as well as the reasons behind the typical anomalous return that comes from the news of a private equity sale as opposed to the negative</w:t>
      </w:r>
    </w:p>
    <w:p w14:paraId="1DAB63DB" w14:textId="77777777" w:rsidR="0040202D" w:rsidRPr="008B3DE8" w:rsidRDefault="0040202D" w:rsidP="008B1F7F">
      <w:pPr>
        <w:pStyle w:val="FootnoteText"/>
        <w:ind w:left="720"/>
        <w:jc w:val="both"/>
        <w:rPr>
          <w:rFonts w:ascii="Arial" w:hAnsi="Arial" w:cs="Arial"/>
          <w:sz w:val="24"/>
          <w:szCs w:val="24"/>
        </w:rPr>
      </w:pPr>
    </w:p>
    <w:p w14:paraId="53228FE4" w14:textId="5AEC2E7B" w:rsidR="0040202D" w:rsidRPr="00387D57" w:rsidRDefault="0040202D" w:rsidP="00387D57">
      <w:pPr>
        <w:pStyle w:val="ListParagraph"/>
        <w:numPr>
          <w:ilvl w:val="0"/>
          <w:numId w:val="8"/>
        </w:numPr>
        <w:jc w:val="both"/>
        <w:rPr>
          <w:rFonts w:eastAsia="Times New Roman"/>
          <w:sz w:val="24"/>
          <w:szCs w:val="24"/>
        </w:rPr>
      </w:pPr>
      <w:r w:rsidRPr="00387D57">
        <w:rPr>
          <w:sz w:val="24"/>
          <w:szCs w:val="24"/>
        </w:rPr>
        <w:t xml:space="preserve">Kathryn F. </w:t>
      </w:r>
      <w:proofErr w:type="spellStart"/>
      <w:r w:rsidRPr="00387D57">
        <w:rPr>
          <w:sz w:val="24"/>
          <w:szCs w:val="24"/>
        </w:rPr>
        <w:t>Aschwald</w:t>
      </w:r>
      <w:proofErr w:type="spellEnd"/>
      <w:r w:rsidRPr="00387D57">
        <w:rPr>
          <w:sz w:val="24"/>
          <w:szCs w:val="24"/>
        </w:rPr>
        <w:t xml:space="preserve"> (2000)</w:t>
      </w:r>
      <w:r w:rsidR="002A1838">
        <w:rPr>
          <w:sz w:val="24"/>
          <w:szCs w:val="24"/>
        </w:rPr>
        <w:t>,</w:t>
      </w:r>
      <w:r w:rsidRPr="00387D57">
        <w:rPr>
          <w:sz w:val="24"/>
          <w:szCs w:val="24"/>
        </w:rPr>
        <w:t xml:space="preserve"> </w:t>
      </w:r>
      <w:r w:rsidRPr="002A1838">
        <w:rPr>
          <w:i/>
          <w:iCs/>
          <w:sz w:val="24"/>
          <w:szCs w:val="24"/>
        </w:rPr>
        <w:t>Restricted Stock Discounts Decline as Result of 1-Year Holding Period – Studies After 1990 “No Longer Relevant” for Lack of Market ability Discounts</w:t>
      </w:r>
      <w:r w:rsidRPr="00387D57">
        <w:rPr>
          <w:sz w:val="24"/>
          <w:szCs w:val="24"/>
        </w:rPr>
        <w:t>, Shannon Pratt’s Business Valuation Update 6, no. 5 (May 2000), pp. 1-5.</w:t>
      </w:r>
      <w:r w:rsidRPr="00387D57">
        <w:rPr>
          <w:sz w:val="24"/>
          <w:szCs w:val="24"/>
        </w:rPr>
        <w:br/>
      </w:r>
    </w:p>
    <w:p w14:paraId="6FF6F4AB" w14:textId="77777777" w:rsidR="0040202D" w:rsidRPr="00387D57" w:rsidRDefault="0040202D" w:rsidP="00387D57">
      <w:pPr>
        <w:pStyle w:val="ListParagraph"/>
        <w:ind w:left="1440"/>
        <w:jc w:val="both"/>
        <w:rPr>
          <w:sz w:val="24"/>
          <w:szCs w:val="24"/>
        </w:rPr>
      </w:pPr>
      <w:r w:rsidRPr="00387D57">
        <w:rPr>
          <w:sz w:val="24"/>
          <w:szCs w:val="24"/>
        </w:rPr>
        <w:t>For the indicated periods, only private equity placements were analysed in the two studies. The value of the stock swapped in acquisitions is determined by the two studies using long restriction periods and economic variables unique to the Company.</w:t>
      </w:r>
    </w:p>
    <w:p w14:paraId="701531F7" w14:textId="77777777" w:rsidR="0040202D" w:rsidRDefault="0040202D" w:rsidP="008B1F7F">
      <w:pPr>
        <w:jc w:val="both"/>
        <w:rPr>
          <w:sz w:val="24"/>
          <w:szCs w:val="24"/>
        </w:rPr>
      </w:pPr>
    </w:p>
    <w:p w14:paraId="782AB5A8" w14:textId="6807730C" w:rsidR="0040202D" w:rsidRPr="00387D57" w:rsidRDefault="0040202D" w:rsidP="00387D57">
      <w:pPr>
        <w:pStyle w:val="ListParagraph"/>
        <w:numPr>
          <w:ilvl w:val="0"/>
          <w:numId w:val="8"/>
        </w:numPr>
        <w:jc w:val="both"/>
        <w:rPr>
          <w:sz w:val="24"/>
          <w:szCs w:val="24"/>
        </w:rPr>
      </w:pPr>
      <w:r w:rsidRPr="00387D57">
        <w:rPr>
          <w:sz w:val="24"/>
          <w:szCs w:val="24"/>
        </w:rPr>
        <w:t xml:space="preserve">Kim van </w:t>
      </w:r>
      <w:proofErr w:type="spellStart"/>
      <w:r w:rsidRPr="00387D57">
        <w:rPr>
          <w:sz w:val="24"/>
          <w:szCs w:val="24"/>
        </w:rPr>
        <w:t>Oeveren</w:t>
      </w:r>
      <w:proofErr w:type="spellEnd"/>
      <w:r w:rsidRPr="00387D57">
        <w:rPr>
          <w:sz w:val="24"/>
          <w:szCs w:val="24"/>
        </w:rPr>
        <w:t xml:space="preserve"> (2018)</w:t>
      </w:r>
      <w:r w:rsidR="002A1838">
        <w:rPr>
          <w:sz w:val="24"/>
          <w:szCs w:val="24"/>
        </w:rPr>
        <w:t>,</w:t>
      </w:r>
      <w:r w:rsidRPr="00387D57">
        <w:rPr>
          <w:sz w:val="24"/>
          <w:szCs w:val="24"/>
        </w:rPr>
        <w:t xml:space="preserve"> </w:t>
      </w:r>
      <w:r w:rsidRPr="002A1838">
        <w:rPr>
          <w:i/>
          <w:iCs/>
          <w:sz w:val="24"/>
          <w:szCs w:val="24"/>
        </w:rPr>
        <w:t>The Private Company Discount- An acquisition study on private firms within the US</w:t>
      </w:r>
      <w:r w:rsidRPr="00387D57">
        <w:rPr>
          <w:sz w:val="24"/>
          <w:szCs w:val="24"/>
        </w:rPr>
        <w:t>, Master Thesis, Tilburg University</w:t>
      </w:r>
    </w:p>
    <w:p w14:paraId="1987E1A6" w14:textId="77777777" w:rsidR="0040202D" w:rsidRPr="008B3DE8" w:rsidRDefault="0040202D" w:rsidP="008B1F7F">
      <w:pPr>
        <w:ind w:left="720"/>
        <w:jc w:val="both"/>
        <w:rPr>
          <w:sz w:val="24"/>
          <w:szCs w:val="24"/>
        </w:rPr>
      </w:pPr>
    </w:p>
    <w:p w14:paraId="0CE85B46" w14:textId="77777777" w:rsidR="0040202D" w:rsidRPr="00387D57" w:rsidRDefault="0040202D" w:rsidP="00387D57">
      <w:pPr>
        <w:pStyle w:val="ListParagraph"/>
        <w:ind w:left="1440"/>
        <w:jc w:val="both"/>
        <w:rPr>
          <w:sz w:val="24"/>
          <w:szCs w:val="24"/>
        </w:rPr>
      </w:pPr>
      <w:r w:rsidRPr="00387D57">
        <w:rPr>
          <w:sz w:val="24"/>
          <w:szCs w:val="24"/>
        </w:rPr>
        <w:t xml:space="preserve">The sample takes into account all domestic M&amp;A deals that were done in the US between 1985 and 2017. The SDC Platinum database is where the data came from. All completed deals up to 31/12/2017 are included. It only took into account deals that have disclosed value. </w:t>
      </w:r>
    </w:p>
    <w:p w14:paraId="49024839" w14:textId="77777777" w:rsidR="0040202D" w:rsidRDefault="0040202D" w:rsidP="008B1F7F">
      <w:pPr>
        <w:jc w:val="both"/>
        <w:rPr>
          <w:sz w:val="24"/>
          <w:szCs w:val="24"/>
        </w:rPr>
      </w:pPr>
    </w:p>
    <w:p w14:paraId="77998A98" w14:textId="2B1BE406" w:rsidR="0040202D" w:rsidRPr="00387D57" w:rsidRDefault="0040202D" w:rsidP="00387D57">
      <w:pPr>
        <w:pStyle w:val="ListParagraph"/>
        <w:numPr>
          <w:ilvl w:val="0"/>
          <w:numId w:val="8"/>
        </w:numPr>
        <w:jc w:val="both"/>
        <w:rPr>
          <w:sz w:val="24"/>
          <w:szCs w:val="24"/>
        </w:rPr>
      </w:pPr>
      <w:r w:rsidRPr="00387D57">
        <w:rPr>
          <w:sz w:val="24"/>
          <w:szCs w:val="24"/>
        </w:rPr>
        <w:t>Koeplin, J., Sarin, A., &amp; Shapiro, A. C. (2000)</w:t>
      </w:r>
      <w:r w:rsidR="002A1838">
        <w:rPr>
          <w:sz w:val="24"/>
          <w:szCs w:val="24"/>
        </w:rPr>
        <w:t>,</w:t>
      </w:r>
      <w:r w:rsidRPr="00387D57">
        <w:rPr>
          <w:sz w:val="24"/>
          <w:szCs w:val="24"/>
        </w:rPr>
        <w:t xml:space="preserve"> </w:t>
      </w:r>
      <w:r w:rsidRPr="002A1838">
        <w:rPr>
          <w:i/>
          <w:iCs/>
          <w:sz w:val="24"/>
          <w:szCs w:val="24"/>
        </w:rPr>
        <w:t>The Private Company Discount</w:t>
      </w:r>
      <w:r w:rsidRPr="00387D57">
        <w:rPr>
          <w:sz w:val="24"/>
          <w:szCs w:val="24"/>
        </w:rPr>
        <w:t>, The Journal of Applied Corporate Finance, 12(4)</w:t>
      </w:r>
    </w:p>
    <w:p w14:paraId="5866EBE4" w14:textId="77777777" w:rsidR="0040202D" w:rsidRPr="008B3DE8" w:rsidRDefault="0040202D" w:rsidP="008B1F7F">
      <w:pPr>
        <w:ind w:left="720"/>
        <w:jc w:val="both"/>
        <w:rPr>
          <w:sz w:val="24"/>
          <w:szCs w:val="24"/>
        </w:rPr>
      </w:pPr>
    </w:p>
    <w:p w14:paraId="7F7481A3" w14:textId="77777777" w:rsidR="0040202D" w:rsidRPr="00387D57" w:rsidRDefault="0040202D" w:rsidP="00387D57">
      <w:pPr>
        <w:pStyle w:val="ListParagraph"/>
        <w:ind w:left="1440"/>
        <w:jc w:val="both"/>
        <w:rPr>
          <w:sz w:val="24"/>
          <w:szCs w:val="24"/>
        </w:rPr>
      </w:pPr>
      <w:r w:rsidRPr="00387D57">
        <w:rPr>
          <w:sz w:val="24"/>
          <w:szCs w:val="24"/>
        </w:rPr>
        <w:t xml:space="preserve">It shows matching pairs of transactions for acquisitions made between 1984 and 1998. These are made by finding a public business transaction for every purchase made by a private company during that time frame. </w:t>
      </w:r>
    </w:p>
    <w:p w14:paraId="339E3510" w14:textId="77777777" w:rsidR="0040202D" w:rsidRPr="008B3DE8" w:rsidRDefault="0040202D" w:rsidP="008B1F7F">
      <w:pPr>
        <w:pStyle w:val="FootnoteText"/>
        <w:ind w:left="720"/>
        <w:jc w:val="both"/>
        <w:rPr>
          <w:rFonts w:ascii="Arial" w:hAnsi="Arial" w:cs="Arial"/>
          <w:sz w:val="24"/>
          <w:szCs w:val="24"/>
        </w:rPr>
      </w:pPr>
    </w:p>
    <w:p w14:paraId="5766818D" w14:textId="59132F9F" w:rsidR="0040202D" w:rsidRPr="00387D57" w:rsidRDefault="0040202D" w:rsidP="00387D57">
      <w:pPr>
        <w:pStyle w:val="ListParagraph"/>
        <w:numPr>
          <w:ilvl w:val="0"/>
          <w:numId w:val="8"/>
        </w:numPr>
        <w:jc w:val="both"/>
        <w:rPr>
          <w:sz w:val="24"/>
          <w:szCs w:val="24"/>
        </w:rPr>
      </w:pPr>
      <w:r w:rsidRPr="00387D57">
        <w:rPr>
          <w:sz w:val="24"/>
          <w:szCs w:val="24"/>
        </w:rPr>
        <w:t xml:space="preserve">Kooli, M., Kortas, M., &amp; </w:t>
      </w:r>
      <w:proofErr w:type="spellStart"/>
      <w:r w:rsidRPr="00387D57">
        <w:rPr>
          <w:sz w:val="24"/>
          <w:szCs w:val="24"/>
        </w:rPr>
        <w:t>L'Her</w:t>
      </w:r>
      <w:proofErr w:type="spellEnd"/>
      <w:r w:rsidRPr="00387D57">
        <w:rPr>
          <w:sz w:val="24"/>
          <w:szCs w:val="24"/>
        </w:rPr>
        <w:t>, J.-F. (2003)</w:t>
      </w:r>
      <w:r w:rsidR="002A1838">
        <w:rPr>
          <w:sz w:val="24"/>
          <w:szCs w:val="24"/>
        </w:rPr>
        <w:t>,</w:t>
      </w:r>
      <w:r w:rsidRPr="00387D57">
        <w:rPr>
          <w:sz w:val="24"/>
          <w:szCs w:val="24"/>
        </w:rPr>
        <w:t xml:space="preserve"> </w:t>
      </w:r>
      <w:r w:rsidRPr="002A1838">
        <w:rPr>
          <w:i/>
          <w:iCs/>
          <w:sz w:val="24"/>
          <w:szCs w:val="24"/>
        </w:rPr>
        <w:t>A New Examination of the Private Company Discount: The Acquisition Approach</w:t>
      </w:r>
      <w:r w:rsidRPr="00387D57">
        <w:rPr>
          <w:sz w:val="24"/>
          <w:szCs w:val="24"/>
        </w:rPr>
        <w:t>, The Journal of Private Equity</w:t>
      </w:r>
    </w:p>
    <w:p w14:paraId="1284D6CA" w14:textId="77777777" w:rsidR="0040202D" w:rsidRPr="008B3DE8" w:rsidRDefault="0040202D" w:rsidP="008B1F7F">
      <w:pPr>
        <w:pStyle w:val="FootnoteText"/>
        <w:ind w:left="720"/>
        <w:jc w:val="both"/>
        <w:rPr>
          <w:rFonts w:ascii="Arial" w:hAnsi="Arial" w:cs="Arial"/>
          <w:i/>
          <w:iCs/>
          <w:sz w:val="24"/>
          <w:szCs w:val="24"/>
        </w:rPr>
      </w:pPr>
    </w:p>
    <w:p w14:paraId="0D30D1B0" w14:textId="77777777" w:rsidR="0040202D" w:rsidRPr="00387D57" w:rsidRDefault="0040202D" w:rsidP="00387D57">
      <w:pPr>
        <w:pStyle w:val="ListParagraph"/>
        <w:ind w:left="1440"/>
        <w:jc w:val="both"/>
        <w:rPr>
          <w:sz w:val="24"/>
          <w:szCs w:val="24"/>
        </w:rPr>
      </w:pPr>
      <w:r w:rsidRPr="00387D57">
        <w:rPr>
          <w:sz w:val="24"/>
          <w:szCs w:val="24"/>
        </w:rPr>
        <w:t xml:space="preserve">A study conducted in 2003 by Kooli was based on a sample of 331 private firm transactions that occurred between 1995 and 2002 and were found through a search of the SDC and Done Deals databases. It's interesting that Kooli did not leave out financial firms. </w:t>
      </w:r>
    </w:p>
    <w:p w14:paraId="24E8F94C" w14:textId="77777777" w:rsidR="0040202D" w:rsidRDefault="0040202D" w:rsidP="008B1F7F">
      <w:pPr>
        <w:ind w:left="720"/>
        <w:jc w:val="both"/>
        <w:rPr>
          <w:sz w:val="24"/>
          <w:szCs w:val="24"/>
        </w:rPr>
      </w:pPr>
    </w:p>
    <w:p w14:paraId="4F77B93F" w14:textId="7AB48264" w:rsidR="00833A4E" w:rsidRPr="00833A4E" w:rsidRDefault="0040202D" w:rsidP="00833A4E">
      <w:pPr>
        <w:pStyle w:val="ListParagraph"/>
        <w:numPr>
          <w:ilvl w:val="0"/>
          <w:numId w:val="8"/>
        </w:numPr>
        <w:jc w:val="both"/>
        <w:rPr>
          <w:sz w:val="24"/>
          <w:szCs w:val="24"/>
        </w:rPr>
      </w:pPr>
      <w:r w:rsidRPr="00387D57">
        <w:rPr>
          <w:sz w:val="24"/>
          <w:szCs w:val="24"/>
        </w:rPr>
        <w:t>Leslie Rodríguez-Valencia</w:t>
      </w:r>
      <w:r w:rsidRPr="00387D57">
        <w:rPr>
          <w:rFonts w:hint="eastAsia"/>
          <w:sz w:val="24"/>
          <w:szCs w:val="24"/>
        </w:rPr>
        <w:t xml:space="preserve">, </w:t>
      </w:r>
      <w:r w:rsidRPr="00387D57">
        <w:rPr>
          <w:sz w:val="24"/>
          <w:szCs w:val="24"/>
        </w:rPr>
        <w:t>Prosper Lamothe-Fernández</w:t>
      </w:r>
      <w:r w:rsidRPr="00387D57">
        <w:rPr>
          <w:rFonts w:hint="eastAsia"/>
          <w:sz w:val="24"/>
          <w:szCs w:val="24"/>
        </w:rPr>
        <w:t xml:space="preserve">, and </w:t>
      </w:r>
      <w:r w:rsidRPr="00387D57">
        <w:rPr>
          <w:sz w:val="24"/>
          <w:szCs w:val="24"/>
        </w:rPr>
        <w:t>David Alaminos</w:t>
      </w:r>
      <w:r w:rsidRPr="00387D57">
        <w:rPr>
          <w:rFonts w:hint="eastAsia"/>
          <w:sz w:val="24"/>
          <w:szCs w:val="24"/>
        </w:rPr>
        <w:t xml:space="preserve"> (2023)</w:t>
      </w:r>
      <w:r w:rsidR="002A1838">
        <w:rPr>
          <w:sz w:val="24"/>
          <w:szCs w:val="24"/>
        </w:rPr>
        <w:t>,</w:t>
      </w:r>
      <w:r w:rsidRPr="00387D57">
        <w:rPr>
          <w:rFonts w:hint="eastAsia"/>
          <w:sz w:val="24"/>
          <w:szCs w:val="24"/>
        </w:rPr>
        <w:t xml:space="preserve"> </w:t>
      </w:r>
      <w:r w:rsidR="00833A4E" w:rsidRPr="002A1838">
        <w:rPr>
          <w:i/>
          <w:iCs/>
          <w:sz w:val="24"/>
          <w:szCs w:val="24"/>
        </w:rPr>
        <w:t>The market value of SMEs: a comparative study between private and listed firms in alternative stock markets</w:t>
      </w:r>
      <w:r w:rsidR="00833A4E" w:rsidRPr="00833A4E">
        <w:rPr>
          <w:sz w:val="24"/>
          <w:szCs w:val="24"/>
        </w:rPr>
        <w:t>, Annals of Finance, 2023, vol 19, issue 1, No. 4, pp.95-117</w:t>
      </w:r>
    </w:p>
    <w:p w14:paraId="4B08D67D" w14:textId="77777777" w:rsidR="0040202D" w:rsidRDefault="0040202D" w:rsidP="008B1F7F">
      <w:pPr>
        <w:jc w:val="both"/>
        <w:rPr>
          <w:sz w:val="24"/>
          <w:szCs w:val="24"/>
        </w:rPr>
      </w:pPr>
    </w:p>
    <w:p w14:paraId="2D194A69" w14:textId="77777777" w:rsidR="0040202D" w:rsidRPr="00387D57" w:rsidRDefault="0040202D" w:rsidP="00387D57">
      <w:pPr>
        <w:pStyle w:val="ListParagraph"/>
        <w:ind w:left="1440"/>
        <w:jc w:val="both"/>
        <w:rPr>
          <w:sz w:val="24"/>
          <w:szCs w:val="24"/>
        </w:rPr>
      </w:pPr>
      <w:r w:rsidRPr="00387D57">
        <w:rPr>
          <w:sz w:val="24"/>
          <w:szCs w:val="24"/>
        </w:rPr>
        <w:t xml:space="preserve">Through the use of a comparable multiples technique and a private discount approach that incorporates value estimates derived from discounted cash flow predictions, this study seeks to compare the market values of small and medium-sized enterprises (SMEs) that are publicly listed and those that are privately held in alternative stock exchanges. </w:t>
      </w:r>
    </w:p>
    <w:p w14:paraId="3E485F2F" w14:textId="77777777" w:rsidR="0040202D" w:rsidRDefault="0040202D" w:rsidP="008B1F7F">
      <w:pPr>
        <w:pStyle w:val="FootnoteText"/>
        <w:ind w:left="720"/>
        <w:jc w:val="both"/>
        <w:rPr>
          <w:rFonts w:ascii="Arial" w:hAnsi="Arial" w:cs="Arial"/>
          <w:sz w:val="24"/>
          <w:szCs w:val="24"/>
        </w:rPr>
      </w:pPr>
    </w:p>
    <w:p w14:paraId="5EA36093" w14:textId="5D5F99F8" w:rsidR="00833A4E" w:rsidRPr="00833A4E" w:rsidRDefault="00833A4E" w:rsidP="00833A4E">
      <w:pPr>
        <w:pStyle w:val="ListParagraph"/>
        <w:numPr>
          <w:ilvl w:val="0"/>
          <w:numId w:val="8"/>
        </w:numPr>
        <w:jc w:val="both"/>
        <w:rPr>
          <w:sz w:val="24"/>
          <w:szCs w:val="24"/>
        </w:rPr>
      </w:pPr>
      <w:r w:rsidRPr="00833A4E">
        <w:rPr>
          <w:sz w:val="24"/>
          <w:szCs w:val="24"/>
        </w:rPr>
        <w:t>Lucas Parris</w:t>
      </w:r>
      <w:r>
        <w:rPr>
          <w:sz w:val="24"/>
          <w:szCs w:val="24"/>
        </w:rPr>
        <w:t xml:space="preserve"> (2022), </w:t>
      </w:r>
      <w:r w:rsidRPr="002A1838">
        <w:rPr>
          <w:i/>
          <w:iCs/>
          <w:sz w:val="24"/>
          <w:szCs w:val="24"/>
        </w:rPr>
        <w:t>International Valuation Glossary – Business Valuation</w:t>
      </w:r>
      <w:r w:rsidRPr="00833A4E">
        <w:rPr>
          <w:sz w:val="24"/>
          <w:szCs w:val="24"/>
        </w:rPr>
        <w:t>, American Society of Appraisers.</w:t>
      </w:r>
    </w:p>
    <w:p w14:paraId="24428CC2" w14:textId="77777777" w:rsidR="00833A4E" w:rsidRDefault="00833A4E" w:rsidP="008B1F7F">
      <w:pPr>
        <w:pStyle w:val="FootnoteText"/>
        <w:ind w:left="720"/>
        <w:jc w:val="both"/>
        <w:rPr>
          <w:rFonts w:ascii="Arial" w:hAnsi="Arial" w:cs="Arial"/>
          <w:sz w:val="24"/>
          <w:szCs w:val="24"/>
        </w:rPr>
      </w:pPr>
    </w:p>
    <w:p w14:paraId="0866C648" w14:textId="281F4EA7" w:rsidR="00471B7D" w:rsidRDefault="00471B7D" w:rsidP="00471B7D">
      <w:pPr>
        <w:pStyle w:val="ListParagraph"/>
        <w:ind w:left="1440"/>
        <w:jc w:val="both"/>
        <w:rPr>
          <w:sz w:val="24"/>
          <w:szCs w:val="24"/>
        </w:rPr>
      </w:pPr>
      <w:r>
        <w:rPr>
          <w:sz w:val="24"/>
          <w:szCs w:val="24"/>
        </w:rPr>
        <w:t>T</w:t>
      </w:r>
      <w:r w:rsidRPr="00471B7D">
        <w:rPr>
          <w:sz w:val="24"/>
          <w:szCs w:val="24"/>
        </w:rPr>
        <w:t>he Glossary aims to provide a common understanding of technical terms used within</w:t>
      </w:r>
      <w:r>
        <w:rPr>
          <w:sz w:val="24"/>
          <w:szCs w:val="24"/>
        </w:rPr>
        <w:t xml:space="preserve"> </w:t>
      </w:r>
      <w:r w:rsidRPr="00471B7D">
        <w:rPr>
          <w:sz w:val="24"/>
          <w:szCs w:val="24"/>
        </w:rPr>
        <w:t>the various sub-practice areas of business valuation, and for those operating in different markets.</w:t>
      </w:r>
      <w:r>
        <w:rPr>
          <w:sz w:val="24"/>
          <w:szCs w:val="24"/>
        </w:rPr>
        <w:t xml:space="preserve"> </w:t>
      </w:r>
      <w:r w:rsidRPr="00471B7D">
        <w:rPr>
          <w:sz w:val="24"/>
          <w:szCs w:val="24"/>
        </w:rPr>
        <w:t>Users of valuation services are encouraged to familiarize themselves with the appropriate context,</w:t>
      </w:r>
      <w:r>
        <w:rPr>
          <w:sz w:val="24"/>
          <w:szCs w:val="24"/>
        </w:rPr>
        <w:t xml:space="preserve"> </w:t>
      </w:r>
      <w:r w:rsidRPr="00471B7D">
        <w:rPr>
          <w:sz w:val="24"/>
          <w:szCs w:val="24"/>
        </w:rPr>
        <w:t>as not all terms are applicable to every use.</w:t>
      </w:r>
    </w:p>
    <w:p w14:paraId="61CF1EA1" w14:textId="77777777" w:rsidR="00471B7D" w:rsidRPr="008B3DE8" w:rsidRDefault="00471B7D" w:rsidP="008B1F7F">
      <w:pPr>
        <w:pStyle w:val="FootnoteText"/>
        <w:ind w:left="720"/>
        <w:jc w:val="both"/>
        <w:rPr>
          <w:rFonts w:ascii="Arial" w:hAnsi="Arial" w:cs="Arial"/>
          <w:sz w:val="24"/>
          <w:szCs w:val="24"/>
        </w:rPr>
      </w:pPr>
    </w:p>
    <w:p w14:paraId="79785B06" w14:textId="12CA6C96" w:rsidR="0040202D" w:rsidRPr="00387D57" w:rsidRDefault="0040202D" w:rsidP="00387D57">
      <w:pPr>
        <w:pStyle w:val="ListParagraph"/>
        <w:numPr>
          <w:ilvl w:val="0"/>
          <w:numId w:val="8"/>
        </w:numPr>
        <w:jc w:val="both"/>
        <w:rPr>
          <w:sz w:val="24"/>
          <w:szCs w:val="24"/>
        </w:rPr>
      </w:pPr>
      <w:r w:rsidRPr="00387D57">
        <w:rPr>
          <w:sz w:val="24"/>
          <w:szCs w:val="24"/>
        </w:rPr>
        <w:t>Maher, J. Michael (1976)</w:t>
      </w:r>
      <w:r w:rsidR="002A1838">
        <w:rPr>
          <w:sz w:val="24"/>
          <w:szCs w:val="24"/>
        </w:rPr>
        <w:t>,</w:t>
      </w:r>
      <w:r w:rsidRPr="00387D57">
        <w:rPr>
          <w:sz w:val="24"/>
          <w:szCs w:val="24"/>
        </w:rPr>
        <w:t xml:space="preserve"> </w:t>
      </w:r>
      <w:r w:rsidRPr="002A1838">
        <w:rPr>
          <w:i/>
          <w:iCs/>
          <w:sz w:val="24"/>
          <w:szCs w:val="24"/>
        </w:rPr>
        <w:t>Discounts for Lack of Marketability for Closely Held Business Interests</w:t>
      </w:r>
      <w:r w:rsidRPr="00387D57">
        <w:rPr>
          <w:sz w:val="24"/>
          <w:szCs w:val="24"/>
        </w:rPr>
        <w:t>, Taxes – The Tax Magazine, pp. 562-571.</w:t>
      </w:r>
    </w:p>
    <w:p w14:paraId="1948E3ED" w14:textId="77777777" w:rsidR="0040202D" w:rsidRPr="008B3DE8" w:rsidRDefault="0040202D" w:rsidP="008B1F7F">
      <w:pPr>
        <w:pStyle w:val="FootnoteText"/>
        <w:ind w:left="720"/>
        <w:jc w:val="both"/>
        <w:rPr>
          <w:rFonts w:ascii="Arial" w:hAnsi="Arial" w:cs="Arial"/>
          <w:sz w:val="24"/>
          <w:szCs w:val="24"/>
        </w:rPr>
      </w:pPr>
    </w:p>
    <w:p w14:paraId="1C5CC08F" w14:textId="77777777" w:rsidR="0040202D" w:rsidRPr="00387D57" w:rsidRDefault="0040202D" w:rsidP="00387D57">
      <w:pPr>
        <w:pStyle w:val="ListParagraph"/>
        <w:ind w:left="1440"/>
        <w:jc w:val="both"/>
        <w:rPr>
          <w:sz w:val="24"/>
          <w:szCs w:val="24"/>
        </w:rPr>
      </w:pPr>
      <w:r w:rsidRPr="00387D57">
        <w:rPr>
          <w:sz w:val="24"/>
          <w:szCs w:val="24"/>
        </w:rPr>
        <w:t xml:space="preserve">It conducted a further well-researched analysis, which was published in Taxes, on the lack of marketability discounts for closely held business ownership interests. Maher's analytical approach was comparable to Moroney's in that it contrasted the market prices of limited equities with the prices paid for stocks that were not restricted. </w:t>
      </w:r>
    </w:p>
    <w:p w14:paraId="2D53F00A" w14:textId="77777777" w:rsidR="0040202D" w:rsidRDefault="0040202D" w:rsidP="008B1F7F">
      <w:pPr>
        <w:jc w:val="both"/>
        <w:rPr>
          <w:sz w:val="24"/>
          <w:szCs w:val="24"/>
        </w:rPr>
      </w:pPr>
    </w:p>
    <w:p w14:paraId="082C6B0E" w14:textId="5F396B90" w:rsidR="0040202D" w:rsidRPr="00387D57" w:rsidRDefault="0040202D" w:rsidP="00387D57">
      <w:pPr>
        <w:pStyle w:val="ListParagraph"/>
        <w:numPr>
          <w:ilvl w:val="0"/>
          <w:numId w:val="8"/>
        </w:numPr>
        <w:jc w:val="both"/>
        <w:rPr>
          <w:sz w:val="24"/>
          <w:szCs w:val="24"/>
        </w:rPr>
      </w:pPr>
      <w:r w:rsidRPr="00387D57">
        <w:rPr>
          <w:sz w:val="24"/>
          <w:szCs w:val="24"/>
        </w:rPr>
        <w:t>Mercer (2020)</w:t>
      </w:r>
      <w:r w:rsidR="002A1838">
        <w:rPr>
          <w:sz w:val="24"/>
          <w:szCs w:val="24"/>
        </w:rPr>
        <w:t>,</w:t>
      </w:r>
      <w:r w:rsidRPr="00387D57">
        <w:rPr>
          <w:sz w:val="24"/>
          <w:szCs w:val="24"/>
        </w:rPr>
        <w:t xml:space="preserve"> </w:t>
      </w:r>
      <w:r w:rsidRPr="00387D57">
        <w:rPr>
          <w:i/>
          <w:iCs/>
          <w:sz w:val="24"/>
          <w:szCs w:val="24"/>
        </w:rPr>
        <w:t>Business Valuation: An Integrated Theory</w:t>
      </w:r>
      <w:r w:rsidRPr="00387D57">
        <w:rPr>
          <w:sz w:val="24"/>
          <w:szCs w:val="24"/>
        </w:rPr>
        <w:t xml:space="preserve">, 3rd </w:t>
      </w:r>
      <w:proofErr w:type="spellStart"/>
      <w:r w:rsidRPr="00387D57">
        <w:rPr>
          <w:sz w:val="24"/>
          <w:szCs w:val="24"/>
        </w:rPr>
        <w:t>edn</w:t>
      </w:r>
      <w:proofErr w:type="spellEnd"/>
      <w:r w:rsidRPr="00387D57">
        <w:rPr>
          <w:sz w:val="24"/>
          <w:szCs w:val="24"/>
        </w:rPr>
        <w:t>, New Jersey: John Wiley &amp; Sons, Inc. pp. 175-176</w:t>
      </w:r>
    </w:p>
    <w:p w14:paraId="2B13AD23" w14:textId="77777777" w:rsidR="0040202D" w:rsidRPr="008B3DE8" w:rsidRDefault="0040202D" w:rsidP="008B1F7F">
      <w:pPr>
        <w:ind w:left="720"/>
        <w:jc w:val="both"/>
        <w:rPr>
          <w:sz w:val="24"/>
          <w:szCs w:val="24"/>
        </w:rPr>
      </w:pPr>
    </w:p>
    <w:p w14:paraId="2CE5E245" w14:textId="77777777" w:rsidR="0040202D" w:rsidRPr="00387D57" w:rsidRDefault="0040202D" w:rsidP="00387D57">
      <w:pPr>
        <w:pStyle w:val="ListParagraph"/>
        <w:ind w:left="1440"/>
        <w:jc w:val="both"/>
        <w:rPr>
          <w:sz w:val="24"/>
          <w:szCs w:val="24"/>
        </w:rPr>
      </w:pPr>
      <w:r w:rsidRPr="00387D57">
        <w:rPr>
          <w:sz w:val="24"/>
          <w:szCs w:val="24"/>
        </w:rPr>
        <w:t>Mercer’s QMDM is a shareholder-level cash flow model. All the discounted cash flow inputs in QMDM, however, are customized to take into account the interests of private company owners, such as the long-term growth rate, discount rate, and distribution of dividends.</w:t>
      </w:r>
    </w:p>
    <w:p w14:paraId="0A2640A5" w14:textId="77777777" w:rsidR="0040202D" w:rsidRDefault="0040202D" w:rsidP="008B1F7F">
      <w:pPr>
        <w:jc w:val="both"/>
        <w:rPr>
          <w:sz w:val="24"/>
          <w:szCs w:val="24"/>
        </w:rPr>
      </w:pPr>
    </w:p>
    <w:p w14:paraId="788AA9AB" w14:textId="01628E5F" w:rsidR="0040202D" w:rsidRPr="00387D57" w:rsidRDefault="0040202D" w:rsidP="00387D57">
      <w:pPr>
        <w:pStyle w:val="ListParagraph"/>
        <w:numPr>
          <w:ilvl w:val="0"/>
          <w:numId w:val="8"/>
        </w:numPr>
        <w:jc w:val="both"/>
        <w:rPr>
          <w:sz w:val="24"/>
          <w:szCs w:val="24"/>
        </w:rPr>
      </w:pPr>
      <w:r w:rsidRPr="00387D57">
        <w:rPr>
          <w:sz w:val="24"/>
          <w:szCs w:val="24"/>
        </w:rPr>
        <w:t>Michael Gregory</w:t>
      </w:r>
      <w:r w:rsidRPr="00387D57">
        <w:rPr>
          <w:rFonts w:hint="eastAsia"/>
          <w:sz w:val="24"/>
          <w:szCs w:val="24"/>
        </w:rPr>
        <w:t xml:space="preserve"> (2024)</w:t>
      </w:r>
      <w:r w:rsidR="008F05A4">
        <w:rPr>
          <w:sz w:val="24"/>
          <w:szCs w:val="24"/>
        </w:rPr>
        <w:t>,</w:t>
      </w:r>
      <w:r w:rsidRPr="00387D57">
        <w:rPr>
          <w:sz w:val="24"/>
          <w:szCs w:val="24"/>
        </w:rPr>
        <w:t xml:space="preserve"> </w:t>
      </w:r>
      <w:r w:rsidRPr="008F05A4">
        <w:rPr>
          <w:i/>
          <w:iCs/>
          <w:sz w:val="24"/>
          <w:szCs w:val="24"/>
        </w:rPr>
        <w:t>Gregory Reveals What’s Going on With</w:t>
      </w:r>
      <w:r w:rsidRPr="008F05A4">
        <w:rPr>
          <w:rFonts w:hint="eastAsia"/>
          <w:i/>
          <w:iCs/>
          <w:sz w:val="24"/>
          <w:szCs w:val="24"/>
        </w:rPr>
        <w:t xml:space="preserve"> </w:t>
      </w:r>
      <w:r w:rsidRPr="008F05A4">
        <w:rPr>
          <w:i/>
          <w:iCs/>
          <w:sz w:val="24"/>
          <w:szCs w:val="24"/>
        </w:rPr>
        <w:t>the IRS and Tax Valuations</w:t>
      </w:r>
      <w:r w:rsidRPr="008F05A4">
        <w:rPr>
          <w:rFonts w:hint="eastAsia"/>
          <w:b/>
          <w:bCs/>
          <w:i/>
          <w:iCs/>
          <w:sz w:val="24"/>
          <w:szCs w:val="24"/>
        </w:rPr>
        <w:t>,</w:t>
      </w:r>
      <w:r w:rsidRPr="008F05A4">
        <w:rPr>
          <w:i/>
          <w:iCs/>
          <w:sz w:val="24"/>
          <w:szCs w:val="24"/>
        </w:rPr>
        <w:t xml:space="preserve"> </w:t>
      </w:r>
      <w:r w:rsidRPr="008F05A4">
        <w:rPr>
          <w:rFonts w:hint="eastAsia"/>
          <w:i/>
          <w:iCs/>
          <w:sz w:val="24"/>
          <w:szCs w:val="24"/>
        </w:rPr>
        <w:t xml:space="preserve"> </w:t>
      </w:r>
      <w:r w:rsidRPr="008F05A4">
        <w:rPr>
          <w:i/>
          <w:iCs/>
          <w:sz w:val="24"/>
          <w:szCs w:val="24"/>
        </w:rPr>
        <w:t>Business Valuation Update</w:t>
      </w:r>
      <w:r w:rsidRPr="00387D57">
        <w:rPr>
          <w:sz w:val="24"/>
          <w:szCs w:val="24"/>
        </w:rPr>
        <w:t xml:space="preserve">, </w:t>
      </w:r>
      <w:r w:rsidRPr="00387D57">
        <w:rPr>
          <w:rFonts w:hint="eastAsia"/>
          <w:sz w:val="24"/>
          <w:szCs w:val="24"/>
        </w:rPr>
        <w:t>B</w:t>
      </w:r>
      <w:r w:rsidRPr="00387D57">
        <w:rPr>
          <w:sz w:val="24"/>
          <w:szCs w:val="24"/>
        </w:rPr>
        <w:t>usiness Valuation Resources,</w:t>
      </w:r>
      <w:r w:rsidRPr="00387D57">
        <w:rPr>
          <w:rFonts w:hint="eastAsia"/>
          <w:sz w:val="24"/>
          <w:szCs w:val="24"/>
        </w:rPr>
        <w:t xml:space="preserve"> </w:t>
      </w:r>
      <w:r w:rsidRPr="00387D57">
        <w:rPr>
          <w:sz w:val="24"/>
          <w:szCs w:val="24"/>
        </w:rPr>
        <w:t>LLC</w:t>
      </w:r>
      <w:r w:rsidRPr="00387D57">
        <w:rPr>
          <w:rFonts w:hint="eastAsia"/>
          <w:sz w:val="24"/>
          <w:szCs w:val="24"/>
        </w:rPr>
        <w:t>, August 2024</w:t>
      </w:r>
    </w:p>
    <w:p w14:paraId="7A9BFA02" w14:textId="77777777" w:rsidR="0040202D" w:rsidRDefault="0040202D" w:rsidP="008B1F7F">
      <w:pPr>
        <w:jc w:val="both"/>
        <w:rPr>
          <w:sz w:val="24"/>
          <w:szCs w:val="24"/>
        </w:rPr>
      </w:pPr>
    </w:p>
    <w:p w14:paraId="4CD3065A" w14:textId="5582C5EF" w:rsidR="0040202D" w:rsidRPr="00387D57" w:rsidRDefault="0040202D" w:rsidP="00387D57">
      <w:pPr>
        <w:pStyle w:val="ListParagraph"/>
        <w:ind w:left="1440"/>
        <w:jc w:val="both"/>
        <w:rPr>
          <w:sz w:val="24"/>
          <w:szCs w:val="24"/>
        </w:rPr>
      </w:pPr>
      <w:r w:rsidRPr="00387D57">
        <w:rPr>
          <w:sz w:val="24"/>
          <w:szCs w:val="24"/>
        </w:rPr>
        <w:t xml:space="preserve">Gregory provided a helpful chart about debt liability management (DLOM) that illustrates appropriate DLOM approaches for different kinds of organizations and circumstances, as per the IRS's input. </w:t>
      </w:r>
    </w:p>
    <w:p w14:paraId="56A78CA0" w14:textId="77777777" w:rsidR="0040202D" w:rsidRPr="008B3DE8" w:rsidRDefault="0040202D" w:rsidP="008B1F7F">
      <w:pPr>
        <w:spacing w:line="280" w:lineRule="exact"/>
        <w:ind w:left="720"/>
        <w:jc w:val="both"/>
        <w:rPr>
          <w:sz w:val="24"/>
          <w:szCs w:val="24"/>
        </w:rPr>
      </w:pPr>
    </w:p>
    <w:p w14:paraId="74CABF79" w14:textId="4E535DAB" w:rsidR="0040202D" w:rsidRPr="00387D57" w:rsidRDefault="0040202D" w:rsidP="00387D57">
      <w:pPr>
        <w:pStyle w:val="ListParagraph"/>
        <w:numPr>
          <w:ilvl w:val="0"/>
          <w:numId w:val="8"/>
        </w:numPr>
        <w:jc w:val="both"/>
        <w:rPr>
          <w:sz w:val="24"/>
          <w:szCs w:val="24"/>
        </w:rPr>
      </w:pPr>
      <w:r w:rsidRPr="00387D57">
        <w:rPr>
          <w:sz w:val="24"/>
          <w:szCs w:val="24"/>
        </w:rPr>
        <w:t>Michael J. Barclay, Clifford G. Holderness, and Dennis P. Sheehan (2007)</w:t>
      </w:r>
      <w:r w:rsidR="008F05A4">
        <w:rPr>
          <w:sz w:val="24"/>
          <w:szCs w:val="24"/>
        </w:rPr>
        <w:t>,</w:t>
      </w:r>
      <w:r w:rsidRPr="00387D57">
        <w:rPr>
          <w:sz w:val="24"/>
          <w:szCs w:val="24"/>
        </w:rPr>
        <w:t xml:space="preserve"> </w:t>
      </w:r>
      <w:r w:rsidRPr="008F05A4">
        <w:rPr>
          <w:i/>
          <w:iCs/>
          <w:sz w:val="24"/>
          <w:szCs w:val="24"/>
        </w:rPr>
        <w:t>Private Placements and Managerial Entrenchment</w:t>
      </w:r>
      <w:r w:rsidRPr="00387D57">
        <w:rPr>
          <w:sz w:val="24"/>
          <w:szCs w:val="24"/>
        </w:rPr>
        <w:t>, The Journal of Corporate Finance, 13 (2007), pp. 461–484.</w:t>
      </w:r>
    </w:p>
    <w:p w14:paraId="21206DA2" w14:textId="77777777" w:rsidR="0040202D" w:rsidRPr="008B3DE8" w:rsidRDefault="0040202D" w:rsidP="008B1F7F">
      <w:pPr>
        <w:spacing w:line="280" w:lineRule="exact"/>
        <w:ind w:left="720"/>
        <w:jc w:val="both"/>
        <w:rPr>
          <w:sz w:val="24"/>
          <w:szCs w:val="24"/>
        </w:rPr>
      </w:pPr>
    </w:p>
    <w:p w14:paraId="741AB03F" w14:textId="77777777" w:rsidR="0040202D" w:rsidRPr="00387D57" w:rsidRDefault="0040202D" w:rsidP="00387D57">
      <w:pPr>
        <w:pStyle w:val="ListParagraph"/>
        <w:ind w:left="1440"/>
        <w:jc w:val="both"/>
        <w:rPr>
          <w:sz w:val="24"/>
          <w:szCs w:val="24"/>
        </w:rPr>
      </w:pPr>
      <w:r w:rsidRPr="00387D57">
        <w:rPr>
          <w:sz w:val="24"/>
          <w:szCs w:val="24"/>
        </w:rPr>
        <w:t xml:space="preserve">To find out why purchasers and sellers of private placements of stock do such, Barclay et al. conducted an extensive study on private placements of large-percentage blocks of stock. From 1979 to 1997, a sample of 594 private placement deals were found by searching the Dow Jones News Service database. </w:t>
      </w:r>
    </w:p>
    <w:p w14:paraId="3EE85D45" w14:textId="77777777" w:rsidR="0040202D" w:rsidRPr="008B3DE8" w:rsidRDefault="0040202D" w:rsidP="008B1F7F">
      <w:pPr>
        <w:pStyle w:val="FootnoteText"/>
        <w:jc w:val="both"/>
        <w:rPr>
          <w:rFonts w:ascii="Arial" w:hAnsi="Arial" w:cs="Arial"/>
          <w:sz w:val="24"/>
          <w:szCs w:val="24"/>
        </w:rPr>
      </w:pPr>
    </w:p>
    <w:p w14:paraId="734EE79F" w14:textId="5535531F" w:rsidR="0040202D" w:rsidRPr="00387D57" w:rsidRDefault="0040202D" w:rsidP="00387D57">
      <w:pPr>
        <w:pStyle w:val="ListParagraph"/>
        <w:numPr>
          <w:ilvl w:val="0"/>
          <w:numId w:val="8"/>
        </w:numPr>
        <w:jc w:val="both"/>
        <w:rPr>
          <w:sz w:val="24"/>
          <w:szCs w:val="24"/>
        </w:rPr>
      </w:pPr>
      <w:r w:rsidRPr="00387D57">
        <w:rPr>
          <w:sz w:val="24"/>
          <w:szCs w:val="24"/>
        </w:rPr>
        <w:t>Moroney, Robert E. (1973)</w:t>
      </w:r>
      <w:r w:rsidR="008F05A4">
        <w:rPr>
          <w:sz w:val="24"/>
          <w:szCs w:val="24"/>
        </w:rPr>
        <w:t>,</w:t>
      </w:r>
      <w:r w:rsidRPr="00387D57">
        <w:rPr>
          <w:sz w:val="24"/>
          <w:szCs w:val="24"/>
        </w:rPr>
        <w:t xml:space="preserve"> </w:t>
      </w:r>
      <w:r w:rsidRPr="008F05A4">
        <w:rPr>
          <w:i/>
          <w:iCs/>
          <w:sz w:val="24"/>
          <w:szCs w:val="24"/>
        </w:rPr>
        <w:t>Most Courts Overvalue Closely Held Stocks,</w:t>
      </w:r>
      <w:r w:rsidRPr="00387D57">
        <w:rPr>
          <w:sz w:val="24"/>
          <w:szCs w:val="24"/>
        </w:rPr>
        <w:t> Taxes</w:t>
      </w:r>
      <w:r w:rsidR="008F05A4">
        <w:rPr>
          <w:sz w:val="24"/>
          <w:szCs w:val="24"/>
        </w:rPr>
        <w:t xml:space="preserve">: </w:t>
      </w:r>
      <w:r w:rsidRPr="00387D57">
        <w:rPr>
          <w:sz w:val="24"/>
          <w:szCs w:val="24"/>
        </w:rPr>
        <w:t>The Tax Magazine, pp. 144-155.</w:t>
      </w:r>
    </w:p>
    <w:p w14:paraId="3518AA82" w14:textId="77777777" w:rsidR="0040202D" w:rsidRPr="008B3DE8" w:rsidRDefault="0040202D" w:rsidP="008B1F7F">
      <w:pPr>
        <w:pStyle w:val="FootnoteText"/>
        <w:ind w:left="720"/>
        <w:jc w:val="both"/>
        <w:rPr>
          <w:rFonts w:ascii="Arial" w:hAnsi="Arial" w:cs="Arial"/>
          <w:sz w:val="24"/>
          <w:szCs w:val="24"/>
        </w:rPr>
      </w:pPr>
    </w:p>
    <w:p w14:paraId="0E521EDD" w14:textId="77777777" w:rsidR="0040202D" w:rsidRPr="00387D57" w:rsidRDefault="0040202D" w:rsidP="00387D57">
      <w:pPr>
        <w:pStyle w:val="ListParagraph"/>
        <w:ind w:left="1440"/>
        <w:jc w:val="both"/>
        <w:rPr>
          <w:sz w:val="24"/>
          <w:szCs w:val="24"/>
        </w:rPr>
      </w:pPr>
      <w:r w:rsidRPr="00387D57">
        <w:rPr>
          <w:sz w:val="24"/>
          <w:szCs w:val="24"/>
        </w:rPr>
        <w:t xml:space="preserve">Moroney analysis the price of 146 acquisitions of restricted stock by 10 investment companies. Moroney compares the evidence of the real cash deals with the lower average price reductions determined by most previous court rulings on gift and estate tax issues due to lack of marketability. </w:t>
      </w:r>
    </w:p>
    <w:p w14:paraId="069A3ADB" w14:textId="77777777" w:rsidR="0040202D" w:rsidRDefault="0040202D" w:rsidP="008B1F7F">
      <w:pPr>
        <w:jc w:val="both"/>
        <w:rPr>
          <w:sz w:val="24"/>
          <w:szCs w:val="24"/>
        </w:rPr>
      </w:pPr>
    </w:p>
    <w:p w14:paraId="65D08C18" w14:textId="42C38F47" w:rsidR="0040202D" w:rsidRPr="00387D57" w:rsidRDefault="0040202D" w:rsidP="00387D57">
      <w:pPr>
        <w:pStyle w:val="ListParagraph"/>
        <w:numPr>
          <w:ilvl w:val="0"/>
          <w:numId w:val="8"/>
        </w:numPr>
        <w:jc w:val="both"/>
        <w:rPr>
          <w:sz w:val="24"/>
          <w:szCs w:val="24"/>
        </w:rPr>
      </w:pPr>
      <w:r w:rsidRPr="00387D57">
        <w:rPr>
          <w:sz w:val="24"/>
          <w:szCs w:val="24"/>
        </w:rPr>
        <w:t>Mukesh Bajaj, Stephen P. Ferris, David J. Denis, and Atulya Sarin (2001)</w:t>
      </w:r>
      <w:r w:rsidR="008F05A4">
        <w:rPr>
          <w:sz w:val="24"/>
          <w:szCs w:val="24"/>
        </w:rPr>
        <w:t>,</w:t>
      </w:r>
      <w:r w:rsidRPr="00387D57">
        <w:rPr>
          <w:sz w:val="24"/>
          <w:szCs w:val="24"/>
        </w:rPr>
        <w:t xml:space="preserve"> </w:t>
      </w:r>
      <w:r w:rsidRPr="008F05A4">
        <w:rPr>
          <w:i/>
          <w:iCs/>
          <w:sz w:val="24"/>
          <w:szCs w:val="24"/>
        </w:rPr>
        <w:t>Firm Value and Marketability Discounts</w:t>
      </w:r>
      <w:r w:rsidRPr="00387D57">
        <w:rPr>
          <w:sz w:val="24"/>
          <w:szCs w:val="24"/>
        </w:rPr>
        <w:t xml:space="preserve">, The Journal of Corporation Law </w:t>
      </w:r>
    </w:p>
    <w:p w14:paraId="0C9B58D4" w14:textId="77777777" w:rsidR="0040202D" w:rsidRPr="008B3DE8" w:rsidRDefault="0040202D" w:rsidP="008B1F7F">
      <w:pPr>
        <w:spacing w:line="280" w:lineRule="exact"/>
        <w:ind w:left="720"/>
        <w:jc w:val="both"/>
        <w:rPr>
          <w:sz w:val="24"/>
          <w:szCs w:val="24"/>
        </w:rPr>
      </w:pPr>
    </w:p>
    <w:p w14:paraId="3EAB63E7" w14:textId="77777777" w:rsidR="0040202D" w:rsidRPr="00387D57" w:rsidRDefault="0040202D" w:rsidP="00387D57">
      <w:pPr>
        <w:pStyle w:val="ListParagraph"/>
        <w:ind w:left="1440"/>
        <w:jc w:val="both"/>
        <w:rPr>
          <w:sz w:val="24"/>
          <w:szCs w:val="24"/>
        </w:rPr>
      </w:pPr>
      <w:r w:rsidRPr="00387D57">
        <w:rPr>
          <w:sz w:val="24"/>
          <w:szCs w:val="24"/>
        </w:rPr>
        <w:t xml:space="preserve">Bajaj located every private placement that was finished between January 1, 1990, and December 31, 1995, and that was recorded in Securities Data Corporation's electronic database. Information from the Dow Jones News Retrieval Service was compared to the data. </w:t>
      </w:r>
    </w:p>
    <w:p w14:paraId="5024792C" w14:textId="77777777" w:rsidR="0040202D" w:rsidRPr="008B3DE8" w:rsidRDefault="0040202D" w:rsidP="008B1F7F">
      <w:pPr>
        <w:pStyle w:val="FootnoteText"/>
        <w:ind w:left="720"/>
        <w:jc w:val="both"/>
        <w:rPr>
          <w:rFonts w:ascii="Arial" w:hAnsi="Arial" w:cs="Arial"/>
          <w:sz w:val="24"/>
          <w:szCs w:val="24"/>
        </w:rPr>
      </w:pPr>
    </w:p>
    <w:p w14:paraId="2249682D" w14:textId="0DEDE166" w:rsidR="0040202D" w:rsidRPr="00387D57" w:rsidRDefault="0040202D" w:rsidP="00387D57">
      <w:pPr>
        <w:pStyle w:val="ListParagraph"/>
        <w:numPr>
          <w:ilvl w:val="0"/>
          <w:numId w:val="8"/>
        </w:numPr>
        <w:jc w:val="both"/>
        <w:rPr>
          <w:sz w:val="24"/>
          <w:szCs w:val="24"/>
        </w:rPr>
      </w:pPr>
      <w:r w:rsidRPr="00387D57">
        <w:rPr>
          <w:sz w:val="24"/>
          <w:szCs w:val="24"/>
        </w:rPr>
        <w:t>Officer, M. S. (2006)</w:t>
      </w:r>
      <w:r w:rsidR="008F05A4">
        <w:rPr>
          <w:sz w:val="24"/>
          <w:szCs w:val="24"/>
        </w:rPr>
        <w:t>,</w:t>
      </w:r>
      <w:r w:rsidRPr="00387D57">
        <w:rPr>
          <w:sz w:val="24"/>
          <w:szCs w:val="24"/>
        </w:rPr>
        <w:t xml:space="preserve"> </w:t>
      </w:r>
      <w:r w:rsidRPr="008F05A4">
        <w:rPr>
          <w:i/>
          <w:iCs/>
          <w:sz w:val="24"/>
          <w:szCs w:val="24"/>
        </w:rPr>
        <w:t>The price of corporate liquidity: Acquisition discounts for unlisted targets</w:t>
      </w:r>
      <w:r w:rsidRPr="00387D57">
        <w:rPr>
          <w:sz w:val="24"/>
          <w:szCs w:val="24"/>
        </w:rPr>
        <w:t>, The Journal of Financial Economics, pp. 571-598.</w:t>
      </w:r>
    </w:p>
    <w:p w14:paraId="752E3BFE" w14:textId="77777777" w:rsidR="0040202D" w:rsidRPr="008B3DE8" w:rsidRDefault="0040202D" w:rsidP="008B1F7F">
      <w:pPr>
        <w:pStyle w:val="FootnoteText"/>
        <w:ind w:left="720"/>
        <w:jc w:val="both"/>
        <w:rPr>
          <w:rFonts w:ascii="Arial" w:hAnsi="Arial" w:cs="Arial"/>
          <w:sz w:val="24"/>
          <w:szCs w:val="24"/>
        </w:rPr>
      </w:pPr>
    </w:p>
    <w:p w14:paraId="09C08194" w14:textId="77777777" w:rsidR="0040202D" w:rsidRPr="00387D57" w:rsidRDefault="0040202D" w:rsidP="00387D57">
      <w:pPr>
        <w:pStyle w:val="ListParagraph"/>
        <w:ind w:left="1440"/>
        <w:jc w:val="both"/>
        <w:rPr>
          <w:sz w:val="24"/>
          <w:szCs w:val="24"/>
        </w:rPr>
      </w:pPr>
      <w:r w:rsidRPr="00387D57">
        <w:rPr>
          <w:sz w:val="24"/>
          <w:szCs w:val="24"/>
        </w:rPr>
        <w:t xml:space="preserve">Officer compared "acquisition multiples for unlisted targets to acquisition multiples for portfolios of comparable (industry- and size-matched) publicly-traded targets" in a study that employed a methodology akin to that of Koeplin and Kooli. </w:t>
      </w:r>
    </w:p>
    <w:p w14:paraId="29D22A79" w14:textId="77777777" w:rsidR="0040202D" w:rsidRPr="008B3DE8" w:rsidRDefault="0040202D" w:rsidP="008B1F7F">
      <w:pPr>
        <w:pStyle w:val="FootnoteText"/>
        <w:ind w:left="720"/>
        <w:jc w:val="both"/>
        <w:rPr>
          <w:rFonts w:ascii="Arial" w:hAnsi="Arial" w:cs="Arial"/>
          <w:sz w:val="24"/>
          <w:szCs w:val="24"/>
        </w:rPr>
      </w:pPr>
    </w:p>
    <w:p w14:paraId="7EB4388C" w14:textId="35F8B166" w:rsidR="0040202D" w:rsidRPr="00387D57" w:rsidRDefault="0040202D" w:rsidP="00387D57">
      <w:pPr>
        <w:pStyle w:val="ListParagraph"/>
        <w:numPr>
          <w:ilvl w:val="0"/>
          <w:numId w:val="8"/>
        </w:numPr>
        <w:jc w:val="both"/>
        <w:rPr>
          <w:sz w:val="24"/>
          <w:szCs w:val="24"/>
        </w:rPr>
      </w:pPr>
      <w:r w:rsidRPr="00387D57">
        <w:rPr>
          <w:sz w:val="24"/>
          <w:szCs w:val="24"/>
        </w:rPr>
        <w:t xml:space="preserve">Paglia, J. K., &amp; </w:t>
      </w:r>
      <w:proofErr w:type="spellStart"/>
      <w:r w:rsidRPr="00387D57">
        <w:rPr>
          <w:sz w:val="24"/>
          <w:szCs w:val="24"/>
        </w:rPr>
        <w:t>Harjoto</w:t>
      </w:r>
      <w:proofErr w:type="spellEnd"/>
      <w:r w:rsidRPr="00387D57">
        <w:rPr>
          <w:sz w:val="24"/>
          <w:szCs w:val="24"/>
        </w:rPr>
        <w:t>, M. A. (2010)</w:t>
      </w:r>
      <w:r w:rsidR="008F05A4">
        <w:rPr>
          <w:sz w:val="24"/>
          <w:szCs w:val="24"/>
        </w:rPr>
        <w:t>,</w:t>
      </w:r>
      <w:r w:rsidRPr="00387D57">
        <w:rPr>
          <w:sz w:val="24"/>
          <w:szCs w:val="24"/>
        </w:rPr>
        <w:t xml:space="preserve"> </w:t>
      </w:r>
      <w:r w:rsidRPr="008F05A4">
        <w:rPr>
          <w:i/>
          <w:iCs/>
          <w:sz w:val="24"/>
          <w:szCs w:val="24"/>
        </w:rPr>
        <w:t>The Discount for Lack of Marketability in Privately Owned Companies: A Multiples Approach</w:t>
      </w:r>
      <w:r w:rsidRPr="00387D57">
        <w:rPr>
          <w:sz w:val="24"/>
          <w:szCs w:val="24"/>
        </w:rPr>
        <w:t>, The Journal of Business Valuation and Economic Loss, 5(1), pp. 1-26.</w:t>
      </w:r>
    </w:p>
    <w:p w14:paraId="62EA55D5" w14:textId="77777777" w:rsidR="0040202D" w:rsidRPr="008B3DE8" w:rsidRDefault="0040202D" w:rsidP="008B1F7F">
      <w:pPr>
        <w:pStyle w:val="FootnoteText"/>
        <w:ind w:left="720"/>
        <w:jc w:val="both"/>
        <w:rPr>
          <w:rFonts w:ascii="Arial" w:hAnsi="Arial" w:cs="Arial"/>
          <w:sz w:val="24"/>
          <w:szCs w:val="24"/>
        </w:rPr>
      </w:pPr>
    </w:p>
    <w:p w14:paraId="52EBB9B3" w14:textId="77777777" w:rsidR="0040202D" w:rsidRPr="00387D57" w:rsidRDefault="0040202D" w:rsidP="00387D57">
      <w:pPr>
        <w:pStyle w:val="ListParagraph"/>
        <w:ind w:left="1440"/>
        <w:jc w:val="both"/>
        <w:rPr>
          <w:sz w:val="24"/>
          <w:szCs w:val="24"/>
        </w:rPr>
      </w:pPr>
      <w:r w:rsidRPr="00387D57">
        <w:rPr>
          <w:sz w:val="24"/>
          <w:szCs w:val="24"/>
        </w:rPr>
        <w:t xml:space="preserve">An analysis of 674 private firm transaction multiples in comparison to publicly traded guideline market trading price multiples was released by Paglia in 2010. </w:t>
      </w:r>
    </w:p>
    <w:p w14:paraId="383FE264" w14:textId="77777777" w:rsidR="0040202D" w:rsidRDefault="0040202D" w:rsidP="008B1F7F">
      <w:pPr>
        <w:jc w:val="both"/>
        <w:rPr>
          <w:sz w:val="24"/>
          <w:szCs w:val="24"/>
        </w:rPr>
      </w:pPr>
    </w:p>
    <w:p w14:paraId="05DCF26B"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Patrick Rozario and Kenneth Ma (2024), </w:t>
      </w:r>
      <w:r w:rsidRPr="008F05A4">
        <w:rPr>
          <w:i/>
          <w:iCs/>
          <w:sz w:val="24"/>
          <w:szCs w:val="24"/>
        </w:rPr>
        <w:t>Control Premium &amp; Discount For Lack of Marketability Study</w:t>
      </w:r>
      <w:r w:rsidRPr="00387D57">
        <w:rPr>
          <w:sz w:val="24"/>
          <w:szCs w:val="24"/>
        </w:rPr>
        <w:t>, Issue 3, Moore Hong Kong</w:t>
      </w:r>
    </w:p>
    <w:p w14:paraId="084CAF6B" w14:textId="77777777" w:rsidR="0040202D" w:rsidRDefault="0040202D" w:rsidP="008B1F7F">
      <w:pPr>
        <w:jc w:val="both"/>
        <w:rPr>
          <w:sz w:val="24"/>
          <w:szCs w:val="24"/>
        </w:rPr>
      </w:pPr>
    </w:p>
    <w:p w14:paraId="00F2465C" w14:textId="77777777" w:rsidR="0040202D" w:rsidRPr="00387D57" w:rsidRDefault="0040202D" w:rsidP="00387D57">
      <w:pPr>
        <w:pStyle w:val="ListParagraph"/>
        <w:ind w:left="1440"/>
        <w:jc w:val="both"/>
        <w:rPr>
          <w:sz w:val="24"/>
          <w:szCs w:val="24"/>
        </w:rPr>
      </w:pPr>
      <w:r w:rsidRPr="00387D57">
        <w:rPr>
          <w:sz w:val="24"/>
          <w:szCs w:val="24"/>
        </w:rPr>
        <w:t>It quarterly summarised the circulars included valuation reports with the adoption of discounts for lack of marketability in Hong Kong Stock Exchange.</w:t>
      </w:r>
    </w:p>
    <w:p w14:paraId="6981EA85" w14:textId="77777777" w:rsidR="0040202D" w:rsidRDefault="0040202D" w:rsidP="008B1F7F">
      <w:pPr>
        <w:jc w:val="both"/>
        <w:rPr>
          <w:sz w:val="24"/>
          <w:szCs w:val="24"/>
        </w:rPr>
      </w:pPr>
    </w:p>
    <w:p w14:paraId="380EEBE0" w14:textId="71B18526" w:rsidR="0040202D" w:rsidRPr="00387D57" w:rsidRDefault="0040202D" w:rsidP="00387D57">
      <w:pPr>
        <w:pStyle w:val="ListParagraph"/>
        <w:numPr>
          <w:ilvl w:val="0"/>
          <w:numId w:val="8"/>
        </w:numPr>
        <w:jc w:val="both"/>
        <w:rPr>
          <w:sz w:val="24"/>
          <w:szCs w:val="24"/>
        </w:rPr>
      </w:pPr>
      <w:r w:rsidRPr="00387D57">
        <w:rPr>
          <w:sz w:val="24"/>
          <w:szCs w:val="24"/>
        </w:rPr>
        <w:t>Peter L. Lohrey</w:t>
      </w:r>
      <w:r w:rsidR="008F05A4">
        <w:rPr>
          <w:sz w:val="24"/>
          <w:szCs w:val="24"/>
        </w:rPr>
        <w:t xml:space="preserve"> (2020)</w:t>
      </w:r>
      <w:r w:rsidRPr="00387D57">
        <w:rPr>
          <w:sz w:val="24"/>
          <w:szCs w:val="24"/>
        </w:rPr>
        <w:t xml:space="preserve">, </w:t>
      </w:r>
      <w:r w:rsidRPr="008F05A4">
        <w:rPr>
          <w:i/>
          <w:iCs/>
          <w:sz w:val="24"/>
          <w:szCs w:val="24"/>
        </w:rPr>
        <w:t>The Dodd-Frank Act and the Private Company Discount: An Empirical Investigation, American Accounting Association</w:t>
      </w:r>
      <w:r w:rsidRPr="00387D57">
        <w:rPr>
          <w:sz w:val="24"/>
          <w:szCs w:val="24"/>
        </w:rPr>
        <w:t>, The Journal of Forensic Accounting Research, 5(1), pp. 298–318</w:t>
      </w:r>
    </w:p>
    <w:p w14:paraId="2F7BC379" w14:textId="77777777" w:rsidR="0040202D" w:rsidRPr="008B3DE8" w:rsidRDefault="0040202D" w:rsidP="008B1F7F">
      <w:pPr>
        <w:spacing w:line="240" w:lineRule="auto"/>
        <w:ind w:left="720"/>
        <w:jc w:val="both"/>
        <w:rPr>
          <w:rFonts w:eastAsia="Times New Roman"/>
          <w:sz w:val="24"/>
          <w:szCs w:val="24"/>
        </w:rPr>
      </w:pPr>
    </w:p>
    <w:p w14:paraId="3A06BD4B" w14:textId="77777777" w:rsidR="0040202D" w:rsidRPr="00387D57" w:rsidRDefault="0040202D" w:rsidP="00387D57">
      <w:pPr>
        <w:pStyle w:val="ListParagraph"/>
        <w:ind w:left="1440"/>
        <w:jc w:val="both"/>
        <w:rPr>
          <w:sz w:val="24"/>
          <w:szCs w:val="24"/>
        </w:rPr>
      </w:pPr>
      <w:r w:rsidRPr="00387D57">
        <w:rPr>
          <w:sz w:val="24"/>
          <w:szCs w:val="24"/>
        </w:rPr>
        <w:t>This study uses acquisition data to perform an empirical investigation into value of private companies. It reviews the literature that examines whether unlisted target companies are acquired at a discount compared to the prices paid for publicly</w:t>
      </w:r>
      <w:r w:rsidRPr="00387D57">
        <w:rPr>
          <w:rFonts w:hint="eastAsia"/>
          <w:sz w:val="24"/>
          <w:szCs w:val="24"/>
        </w:rPr>
        <w:t xml:space="preserve"> </w:t>
      </w:r>
      <w:r w:rsidRPr="00387D57">
        <w:rPr>
          <w:sz w:val="24"/>
          <w:szCs w:val="24"/>
        </w:rPr>
        <w:t>traded target companies.</w:t>
      </w:r>
    </w:p>
    <w:p w14:paraId="2F98B2E6" w14:textId="77777777" w:rsidR="0040202D" w:rsidRPr="008B3DE8" w:rsidRDefault="0040202D" w:rsidP="008B1F7F">
      <w:pPr>
        <w:spacing w:line="280" w:lineRule="exact"/>
        <w:ind w:left="720"/>
        <w:jc w:val="both"/>
        <w:rPr>
          <w:sz w:val="24"/>
          <w:szCs w:val="24"/>
        </w:rPr>
      </w:pPr>
    </w:p>
    <w:p w14:paraId="1013F46E" w14:textId="15D6CA11" w:rsidR="0040202D" w:rsidRPr="00387D57" w:rsidRDefault="0040202D" w:rsidP="00387D57">
      <w:pPr>
        <w:pStyle w:val="ListParagraph"/>
        <w:numPr>
          <w:ilvl w:val="0"/>
          <w:numId w:val="8"/>
        </w:numPr>
        <w:jc w:val="both"/>
        <w:rPr>
          <w:sz w:val="24"/>
          <w:szCs w:val="24"/>
        </w:rPr>
      </w:pPr>
      <w:r w:rsidRPr="00387D57">
        <w:rPr>
          <w:sz w:val="24"/>
          <w:szCs w:val="24"/>
        </w:rPr>
        <w:t xml:space="preserve">Pittock, William F., and Charles H. Stryker, </w:t>
      </w:r>
      <w:r w:rsidRPr="0026064E">
        <w:rPr>
          <w:i/>
          <w:iCs/>
          <w:sz w:val="24"/>
          <w:szCs w:val="24"/>
        </w:rPr>
        <w:t>Revenue Ruling 77-276 Revisited</w:t>
      </w:r>
      <w:r w:rsidR="0026064E">
        <w:rPr>
          <w:sz w:val="24"/>
          <w:szCs w:val="24"/>
        </w:rPr>
        <w:t xml:space="preserve">, </w:t>
      </w:r>
      <w:r w:rsidRPr="00387D57">
        <w:rPr>
          <w:sz w:val="24"/>
          <w:szCs w:val="24"/>
        </w:rPr>
        <w:t>SRC Quarterly Reports, Spring 1983, pp. 1-3.</w:t>
      </w:r>
    </w:p>
    <w:p w14:paraId="6894CF63" w14:textId="77777777" w:rsidR="0040202D" w:rsidRPr="008B3DE8" w:rsidRDefault="0040202D" w:rsidP="008B1F7F">
      <w:pPr>
        <w:pStyle w:val="FootnoteText"/>
        <w:ind w:left="720"/>
        <w:jc w:val="both"/>
        <w:rPr>
          <w:rFonts w:ascii="Arial" w:hAnsi="Arial" w:cs="Arial"/>
          <w:sz w:val="24"/>
          <w:szCs w:val="24"/>
        </w:rPr>
      </w:pPr>
    </w:p>
    <w:p w14:paraId="2FE50858" w14:textId="77777777" w:rsidR="0040202D" w:rsidRPr="00387D57" w:rsidRDefault="0040202D" w:rsidP="00387D57">
      <w:pPr>
        <w:pStyle w:val="ListParagraph"/>
        <w:ind w:left="1440"/>
        <w:jc w:val="both"/>
        <w:rPr>
          <w:sz w:val="24"/>
          <w:szCs w:val="24"/>
        </w:rPr>
      </w:pPr>
      <w:r w:rsidRPr="00387D57">
        <w:rPr>
          <w:sz w:val="24"/>
          <w:szCs w:val="24"/>
        </w:rPr>
        <w:t>It examined 28 restricted stock purchases following the format of the SEC Study on letter stock. They discovered that the median discount at which limited stocks sold was 45 percent by comparing their value to public equities issued by the same corporation.</w:t>
      </w:r>
    </w:p>
    <w:p w14:paraId="72B8B8CC" w14:textId="77777777" w:rsidR="0040202D" w:rsidRDefault="0040202D" w:rsidP="008B1F7F">
      <w:pPr>
        <w:jc w:val="both"/>
        <w:rPr>
          <w:sz w:val="24"/>
          <w:szCs w:val="24"/>
        </w:rPr>
      </w:pPr>
    </w:p>
    <w:p w14:paraId="33965449" w14:textId="77FA9A84" w:rsidR="0040202D" w:rsidRPr="00387D57" w:rsidRDefault="0040202D" w:rsidP="00387D57">
      <w:pPr>
        <w:pStyle w:val="ListParagraph"/>
        <w:numPr>
          <w:ilvl w:val="0"/>
          <w:numId w:val="8"/>
        </w:numPr>
        <w:jc w:val="both"/>
        <w:rPr>
          <w:sz w:val="24"/>
          <w:szCs w:val="24"/>
        </w:rPr>
      </w:pPr>
      <w:r w:rsidRPr="00387D57">
        <w:rPr>
          <w:sz w:val="24"/>
          <w:szCs w:val="24"/>
        </w:rPr>
        <w:t>SHANNON P. PRATT (2012)</w:t>
      </w:r>
      <w:r w:rsidR="00C51C8F">
        <w:rPr>
          <w:sz w:val="24"/>
          <w:szCs w:val="24"/>
        </w:rPr>
        <w:t>,</w:t>
      </w:r>
      <w:r w:rsidRPr="00387D57">
        <w:rPr>
          <w:sz w:val="24"/>
          <w:szCs w:val="24"/>
        </w:rPr>
        <w:t xml:space="preserve"> </w:t>
      </w:r>
      <w:r w:rsidRPr="00C51C8F">
        <w:rPr>
          <w:i/>
          <w:iCs/>
          <w:sz w:val="24"/>
          <w:szCs w:val="24"/>
        </w:rPr>
        <w:t xml:space="preserve">Business Valuation </w:t>
      </w:r>
      <w:r w:rsidR="00C51C8F">
        <w:rPr>
          <w:i/>
          <w:iCs/>
          <w:sz w:val="24"/>
          <w:szCs w:val="24"/>
        </w:rPr>
        <w:t>D</w:t>
      </w:r>
      <w:r w:rsidRPr="00C51C8F">
        <w:rPr>
          <w:i/>
          <w:iCs/>
          <w:sz w:val="24"/>
          <w:szCs w:val="24"/>
        </w:rPr>
        <w:t>iscounts and Premiums</w:t>
      </w:r>
      <w:r w:rsidRPr="00387D57">
        <w:rPr>
          <w:sz w:val="24"/>
          <w:szCs w:val="24"/>
        </w:rPr>
        <w:t>, 2</w:t>
      </w:r>
      <w:r w:rsidRPr="00387D57">
        <w:rPr>
          <w:sz w:val="24"/>
          <w:szCs w:val="24"/>
          <w:vertAlign w:val="superscript"/>
        </w:rPr>
        <w:t>nd</w:t>
      </w:r>
      <w:r w:rsidRPr="00387D57">
        <w:rPr>
          <w:sz w:val="24"/>
          <w:szCs w:val="24"/>
        </w:rPr>
        <w:t xml:space="preserve"> </w:t>
      </w:r>
      <w:proofErr w:type="spellStart"/>
      <w:r w:rsidRPr="00387D57">
        <w:rPr>
          <w:sz w:val="24"/>
          <w:szCs w:val="24"/>
        </w:rPr>
        <w:t>Edn</w:t>
      </w:r>
      <w:proofErr w:type="spellEnd"/>
      <w:r w:rsidR="00C51C8F">
        <w:rPr>
          <w:sz w:val="24"/>
          <w:szCs w:val="24"/>
        </w:rPr>
        <w:t>.</w:t>
      </w:r>
      <w:r w:rsidRPr="00387D57">
        <w:rPr>
          <w:sz w:val="24"/>
          <w:szCs w:val="24"/>
        </w:rPr>
        <w:t>, New Jersey: John Wiley &amp; Sons, Inc.</w:t>
      </w:r>
    </w:p>
    <w:p w14:paraId="292C36D5" w14:textId="77777777" w:rsidR="0040202D" w:rsidRDefault="0040202D" w:rsidP="008B1F7F">
      <w:pPr>
        <w:jc w:val="both"/>
        <w:rPr>
          <w:sz w:val="24"/>
          <w:szCs w:val="24"/>
        </w:rPr>
      </w:pPr>
    </w:p>
    <w:p w14:paraId="204059B4" w14:textId="77777777" w:rsidR="0040202D" w:rsidRPr="00387D57" w:rsidRDefault="0040202D" w:rsidP="00387D57">
      <w:pPr>
        <w:pStyle w:val="ListParagraph"/>
        <w:ind w:left="1440"/>
        <w:jc w:val="both"/>
        <w:rPr>
          <w:sz w:val="24"/>
          <w:szCs w:val="24"/>
        </w:rPr>
      </w:pPr>
      <w:r w:rsidRPr="00387D57">
        <w:rPr>
          <w:sz w:val="24"/>
          <w:szCs w:val="24"/>
        </w:rPr>
        <w:t>Shannon Pratt skilfully and logically explains the various discounts or premiums that may be applicable, depending on the basic valuation approach used, and how the valuation approaches used affect the level. Shannon Pratt addresses the three basic approaches to conducting a valuation: the income approach, the market approach, and the asset approach.</w:t>
      </w:r>
    </w:p>
    <w:p w14:paraId="5FBE1D70" w14:textId="77777777" w:rsidR="0040202D" w:rsidRPr="00A7659B" w:rsidRDefault="0040202D" w:rsidP="008B1F7F">
      <w:pPr>
        <w:ind w:left="720"/>
        <w:jc w:val="both"/>
        <w:rPr>
          <w:sz w:val="24"/>
          <w:szCs w:val="24"/>
        </w:rPr>
      </w:pPr>
    </w:p>
    <w:p w14:paraId="1B7C43BB"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Shannon P. Pratt (2022), </w:t>
      </w:r>
      <w:r w:rsidRPr="00C51C8F">
        <w:rPr>
          <w:i/>
          <w:iCs/>
          <w:sz w:val="24"/>
          <w:szCs w:val="24"/>
        </w:rPr>
        <w:t>Valuing a Business: The Analysis and Appraisal of Closely Held Companies</w:t>
      </w:r>
      <w:r w:rsidRPr="00387D57">
        <w:rPr>
          <w:sz w:val="24"/>
          <w:szCs w:val="24"/>
        </w:rPr>
        <w:t xml:space="preserve">, 6th </w:t>
      </w:r>
      <w:proofErr w:type="spellStart"/>
      <w:r w:rsidRPr="00387D57">
        <w:rPr>
          <w:sz w:val="24"/>
          <w:szCs w:val="24"/>
        </w:rPr>
        <w:t>edn</w:t>
      </w:r>
      <w:proofErr w:type="spellEnd"/>
      <w:r w:rsidRPr="00387D57">
        <w:rPr>
          <w:sz w:val="24"/>
          <w:szCs w:val="24"/>
        </w:rPr>
        <w:t>, New York: McGraw-Hill, pp. 425.</w:t>
      </w:r>
    </w:p>
    <w:p w14:paraId="093F21F2" w14:textId="77777777" w:rsidR="0040202D" w:rsidRPr="008B3DE8" w:rsidRDefault="0040202D" w:rsidP="008B1F7F">
      <w:pPr>
        <w:spacing w:line="280" w:lineRule="exact"/>
        <w:ind w:left="720"/>
        <w:jc w:val="both"/>
        <w:rPr>
          <w:sz w:val="24"/>
          <w:szCs w:val="24"/>
        </w:rPr>
      </w:pPr>
    </w:p>
    <w:p w14:paraId="5605FF8E" w14:textId="77777777" w:rsidR="0040202D" w:rsidRPr="00387D57" w:rsidRDefault="0040202D" w:rsidP="00387D57">
      <w:pPr>
        <w:pStyle w:val="ListParagraph"/>
        <w:ind w:left="1440"/>
        <w:jc w:val="both"/>
        <w:rPr>
          <w:sz w:val="24"/>
          <w:szCs w:val="24"/>
        </w:rPr>
      </w:pPr>
      <w:r w:rsidRPr="00387D57">
        <w:rPr>
          <w:sz w:val="24"/>
          <w:szCs w:val="24"/>
        </w:rPr>
        <w:t xml:space="preserve">The purpose of the study was to present more recent data on DLOM for restricted stock transactions. Shannon Pratt (2012) claims that the report was initially created to bolster his claims in a Tax Court case. He eliminated all the blatant insider trades, corrected the price to reflect the date's difference from the IPO's pricing, and took industry P/E ratios into consideration. </w:t>
      </w:r>
    </w:p>
    <w:p w14:paraId="3F29BEBB" w14:textId="77777777" w:rsidR="0040202D" w:rsidRPr="008B3DE8" w:rsidRDefault="0040202D" w:rsidP="008B1F7F">
      <w:pPr>
        <w:ind w:left="720"/>
        <w:jc w:val="both"/>
        <w:rPr>
          <w:sz w:val="24"/>
          <w:szCs w:val="24"/>
        </w:rPr>
      </w:pPr>
    </w:p>
    <w:p w14:paraId="3F86E519" w14:textId="7B103EBF" w:rsidR="0040202D" w:rsidRPr="00387D57" w:rsidRDefault="0040202D" w:rsidP="00387D57">
      <w:pPr>
        <w:pStyle w:val="ListParagraph"/>
        <w:numPr>
          <w:ilvl w:val="0"/>
          <w:numId w:val="8"/>
        </w:numPr>
        <w:jc w:val="both"/>
        <w:rPr>
          <w:sz w:val="24"/>
          <w:szCs w:val="24"/>
        </w:rPr>
      </w:pPr>
      <w:r w:rsidRPr="00387D57">
        <w:rPr>
          <w:sz w:val="24"/>
          <w:szCs w:val="24"/>
        </w:rPr>
        <w:t>Securities and Exchange Commission (1971)</w:t>
      </w:r>
      <w:r w:rsidR="00C51C8F">
        <w:rPr>
          <w:sz w:val="24"/>
          <w:szCs w:val="24"/>
        </w:rPr>
        <w:t>,</w:t>
      </w:r>
      <w:r w:rsidRPr="00387D57">
        <w:rPr>
          <w:sz w:val="24"/>
          <w:szCs w:val="24"/>
        </w:rPr>
        <w:t xml:space="preserve"> </w:t>
      </w:r>
      <w:r w:rsidRPr="00C51C8F">
        <w:rPr>
          <w:i/>
          <w:iCs/>
          <w:sz w:val="24"/>
          <w:szCs w:val="24"/>
        </w:rPr>
        <w:t>Discounts Involved in Purchases of Common Stock Institutional Investor Study Report</w:t>
      </w:r>
      <w:r w:rsidRPr="00387D57">
        <w:rPr>
          <w:sz w:val="24"/>
          <w:szCs w:val="24"/>
        </w:rPr>
        <w:t>. Do. No. 92-64, Part 5, pp. 2444- 2456.</w:t>
      </w:r>
    </w:p>
    <w:p w14:paraId="350FCFC4" w14:textId="77777777" w:rsidR="0040202D" w:rsidRPr="008B3DE8" w:rsidRDefault="0040202D" w:rsidP="008B1F7F">
      <w:pPr>
        <w:pStyle w:val="FootnoteText"/>
        <w:ind w:left="720"/>
        <w:jc w:val="both"/>
        <w:rPr>
          <w:rFonts w:ascii="Arial" w:hAnsi="Arial" w:cs="Arial"/>
          <w:sz w:val="24"/>
          <w:szCs w:val="24"/>
          <w:lang w:val="en-US"/>
        </w:rPr>
      </w:pPr>
    </w:p>
    <w:p w14:paraId="3AA26A52" w14:textId="77777777" w:rsidR="0040202D" w:rsidRPr="00387D57" w:rsidRDefault="0040202D" w:rsidP="00387D57">
      <w:pPr>
        <w:pStyle w:val="ListParagraph"/>
        <w:ind w:left="1440"/>
        <w:jc w:val="both"/>
        <w:rPr>
          <w:sz w:val="24"/>
          <w:szCs w:val="24"/>
        </w:rPr>
      </w:pPr>
      <w:r w:rsidRPr="00387D57">
        <w:rPr>
          <w:sz w:val="24"/>
          <w:szCs w:val="24"/>
        </w:rPr>
        <w:t xml:space="preserve">It compared the prices at which transactions of restricted securities were made to the prices of publicly traded stocks from the same companies in a study that was published in March 1971 and reviewed purchases of restricted securities by investment companies for the period of January 1, 1966, through June 30, 1969. </w:t>
      </w:r>
    </w:p>
    <w:p w14:paraId="03D596A5" w14:textId="77777777" w:rsidR="0040202D" w:rsidRDefault="0040202D" w:rsidP="008B1F7F">
      <w:pPr>
        <w:jc w:val="both"/>
        <w:rPr>
          <w:sz w:val="24"/>
          <w:szCs w:val="24"/>
        </w:rPr>
      </w:pPr>
    </w:p>
    <w:p w14:paraId="3400FD07" w14:textId="1F7F8B50" w:rsidR="0040202D" w:rsidRPr="00387D57" w:rsidRDefault="0040202D" w:rsidP="00387D57">
      <w:pPr>
        <w:pStyle w:val="ListParagraph"/>
        <w:numPr>
          <w:ilvl w:val="0"/>
          <w:numId w:val="8"/>
        </w:numPr>
        <w:jc w:val="both"/>
        <w:rPr>
          <w:sz w:val="24"/>
          <w:szCs w:val="24"/>
        </w:rPr>
      </w:pPr>
      <w:r w:rsidRPr="00387D57">
        <w:rPr>
          <w:sz w:val="24"/>
          <w:szCs w:val="24"/>
        </w:rPr>
        <w:t>Stout Risius Ross (2023)</w:t>
      </w:r>
      <w:r w:rsidR="00C51C8F">
        <w:rPr>
          <w:sz w:val="24"/>
          <w:szCs w:val="24"/>
        </w:rPr>
        <w:t>,</w:t>
      </w:r>
      <w:r w:rsidRPr="00387D57">
        <w:rPr>
          <w:sz w:val="24"/>
          <w:szCs w:val="24"/>
        </w:rPr>
        <w:t xml:space="preserve"> </w:t>
      </w:r>
      <w:r w:rsidRPr="00C51C8F">
        <w:rPr>
          <w:i/>
          <w:iCs/>
          <w:sz w:val="24"/>
          <w:szCs w:val="24"/>
        </w:rPr>
        <w:t>The Stout Restricted Stock Study Companion Guide</w:t>
      </w:r>
      <w:r w:rsidRPr="00387D57">
        <w:rPr>
          <w:sz w:val="24"/>
          <w:szCs w:val="24"/>
        </w:rPr>
        <w:t xml:space="preserve">, 2023 </w:t>
      </w:r>
      <w:proofErr w:type="spellStart"/>
      <w:r w:rsidRPr="00387D57">
        <w:rPr>
          <w:sz w:val="24"/>
          <w:szCs w:val="24"/>
        </w:rPr>
        <w:t>edn</w:t>
      </w:r>
      <w:proofErr w:type="spellEnd"/>
      <w:r w:rsidRPr="00387D57">
        <w:rPr>
          <w:sz w:val="24"/>
          <w:szCs w:val="24"/>
        </w:rPr>
        <w:t>, Stout Risius Ross, LLC</w:t>
      </w:r>
    </w:p>
    <w:p w14:paraId="24F7BB27" w14:textId="77777777" w:rsidR="0040202D" w:rsidRPr="008B3DE8" w:rsidRDefault="0040202D" w:rsidP="008B1F7F">
      <w:pPr>
        <w:ind w:left="720"/>
        <w:jc w:val="both"/>
        <w:rPr>
          <w:sz w:val="24"/>
          <w:szCs w:val="24"/>
        </w:rPr>
      </w:pPr>
    </w:p>
    <w:p w14:paraId="4ED39731" w14:textId="77777777" w:rsidR="0040202D" w:rsidRPr="00387D57" w:rsidRDefault="0040202D" w:rsidP="00387D57">
      <w:pPr>
        <w:pStyle w:val="ListParagraph"/>
        <w:ind w:left="1440"/>
        <w:jc w:val="both"/>
        <w:rPr>
          <w:sz w:val="24"/>
          <w:szCs w:val="24"/>
        </w:rPr>
      </w:pPr>
      <w:r w:rsidRPr="00387D57">
        <w:rPr>
          <w:sz w:val="24"/>
          <w:szCs w:val="24"/>
        </w:rPr>
        <w:t xml:space="preserve">Searches conducted across multiple sources, such as 10K Wizard, Security Data Corp., EDGAR and EDGAR Pro, Dow Jones News Retrieval, Disclosure </w:t>
      </w:r>
      <w:proofErr w:type="spellStart"/>
      <w:r w:rsidRPr="00387D57">
        <w:rPr>
          <w:sz w:val="24"/>
          <w:szCs w:val="24"/>
        </w:rPr>
        <w:t>CompactD</w:t>
      </w:r>
      <w:proofErr w:type="spellEnd"/>
      <w:r w:rsidRPr="00387D57">
        <w:rPr>
          <w:sz w:val="24"/>
          <w:szCs w:val="24"/>
        </w:rPr>
        <w:t xml:space="preserve">, and S&amp;P Corporate Transactions Records, yielded the majority of the transactions included in the study. </w:t>
      </w:r>
    </w:p>
    <w:p w14:paraId="265C0C58" w14:textId="77777777" w:rsidR="0040202D" w:rsidRDefault="0040202D" w:rsidP="008E2CCE">
      <w:pPr>
        <w:pStyle w:val="FootnoteText"/>
        <w:jc w:val="both"/>
        <w:rPr>
          <w:rFonts w:ascii="Arial" w:hAnsi="Arial" w:cs="Arial"/>
          <w:sz w:val="24"/>
          <w:szCs w:val="24"/>
        </w:rPr>
      </w:pPr>
    </w:p>
    <w:p w14:paraId="4A4A6E59" w14:textId="6DFC117E" w:rsidR="004839EF" w:rsidRPr="005E2BDF" w:rsidRDefault="008E2CCE" w:rsidP="005E2BDF">
      <w:pPr>
        <w:pStyle w:val="ListParagraph"/>
        <w:numPr>
          <w:ilvl w:val="0"/>
          <w:numId w:val="8"/>
        </w:numPr>
        <w:jc w:val="both"/>
        <w:rPr>
          <w:sz w:val="24"/>
          <w:szCs w:val="24"/>
        </w:rPr>
      </w:pPr>
      <w:r>
        <w:rPr>
          <w:sz w:val="24"/>
          <w:szCs w:val="24"/>
        </w:rPr>
        <w:t xml:space="preserve">T. </w:t>
      </w:r>
      <w:r w:rsidR="00DC494E">
        <w:rPr>
          <w:sz w:val="24"/>
          <w:szCs w:val="24"/>
        </w:rPr>
        <w:t xml:space="preserve">Koller </w:t>
      </w:r>
      <w:r w:rsidR="00DC494E" w:rsidRPr="008577B3">
        <w:rPr>
          <w:sz w:val="24"/>
          <w:szCs w:val="24"/>
        </w:rPr>
        <w:t>et al.</w:t>
      </w:r>
      <w:r w:rsidR="005E2BDF">
        <w:rPr>
          <w:sz w:val="24"/>
          <w:szCs w:val="24"/>
        </w:rPr>
        <w:t xml:space="preserve">(2020), </w:t>
      </w:r>
      <w:r w:rsidR="004839EF" w:rsidRPr="00C51C8F">
        <w:rPr>
          <w:i/>
          <w:iCs/>
          <w:sz w:val="24"/>
          <w:szCs w:val="24"/>
        </w:rPr>
        <w:t>Valuation: Measuring and Managing the Value of Companies</w:t>
      </w:r>
      <w:r w:rsidR="00D35516" w:rsidRPr="00FD7F3F">
        <w:rPr>
          <w:sz w:val="24"/>
          <w:szCs w:val="24"/>
        </w:rPr>
        <w:t xml:space="preserve">, 7th </w:t>
      </w:r>
      <w:proofErr w:type="spellStart"/>
      <w:r w:rsidR="00D35516" w:rsidRPr="00FD7F3F">
        <w:rPr>
          <w:sz w:val="24"/>
          <w:szCs w:val="24"/>
        </w:rPr>
        <w:t>Edn</w:t>
      </w:r>
      <w:proofErr w:type="spellEnd"/>
      <w:r w:rsidR="00D35516" w:rsidRPr="00FD7F3F">
        <w:rPr>
          <w:sz w:val="24"/>
          <w:szCs w:val="24"/>
        </w:rPr>
        <w:t xml:space="preserve">., </w:t>
      </w:r>
      <w:r w:rsidR="00FD7F3F" w:rsidRPr="00FD7F3F">
        <w:rPr>
          <w:sz w:val="24"/>
          <w:szCs w:val="24"/>
        </w:rPr>
        <w:t>New Jersey: John Wiley &amp; Sons, Inc.,</w:t>
      </w:r>
      <w:r w:rsidR="00FD7F3F" w:rsidRPr="005E2BDF">
        <w:rPr>
          <w:sz w:val="24"/>
          <w:szCs w:val="24"/>
        </w:rPr>
        <w:t xml:space="preserve"> </w:t>
      </w:r>
    </w:p>
    <w:p w14:paraId="2DF4745A" w14:textId="77777777" w:rsidR="008E2CCE" w:rsidRDefault="008E2CCE" w:rsidP="008E2CCE">
      <w:pPr>
        <w:pStyle w:val="FootnoteText"/>
        <w:jc w:val="both"/>
        <w:rPr>
          <w:rFonts w:ascii="Arial" w:hAnsi="Arial" w:cs="Arial"/>
          <w:sz w:val="24"/>
          <w:szCs w:val="24"/>
        </w:rPr>
      </w:pPr>
    </w:p>
    <w:p w14:paraId="54DCCE39" w14:textId="6B7E3C84" w:rsidR="005E2BDF" w:rsidRDefault="00D973DC" w:rsidP="00D973DC">
      <w:pPr>
        <w:pStyle w:val="ListParagraph"/>
        <w:ind w:left="1440"/>
        <w:jc w:val="both"/>
        <w:rPr>
          <w:sz w:val="24"/>
          <w:szCs w:val="24"/>
        </w:rPr>
      </w:pPr>
      <w:r w:rsidRPr="00D973DC">
        <w:rPr>
          <w:sz w:val="24"/>
          <w:szCs w:val="24"/>
        </w:rPr>
        <w:t>This book provides useful information including complete, detailed guidance on every crucial aspect of corporate valuation, explanation of the strategies, techniques, and nuances of valuation that every manager needs to know, and details on both core and advanced valuation techniques and management strategies.</w:t>
      </w:r>
    </w:p>
    <w:p w14:paraId="75022C3D" w14:textId="77777777" w:rsidR="005E2BDF" w:rsidRPr="008B3DE8" w:rsidRDefault="005E2BDF" w:rsidP="008E2CCE">
      <w:pPr>
        <w:pStyle w:val="FootnoteText"/>
        <w:jc w:val="both"/>
        <w:rPr>
          <w:rFonts w:ascii="Arial" w:hAnsi="Arial" w:cs="Arial"/>
          <w:sz w:val="24"/>
          <w:szCs w:val="24"/>
        </w:rPr>
      </w:pPr>
    </w:p>
    <w:p w14:paraId="345241C5" w14:textId="028E131A" w:rsidR="0040202D" w:rsidRPr="00387D57" w:rsidRDefault="0040202D" w:rsidP="00387D57">
      <w:pPr>
        <w:pStyle w:val="ListParagraph"/>
        <w:numPr>
          <w:ilvl w:val="0"/>
          <w:numId w:val="8"/>
        </w:numPr>
        <w:jc w:val="both"/>
        <w:rPr>
          <w:sz w:val="24"/>
          <w:szCs w:val="24"/>
        </w:rPr>
      </w:pPr>
      <w:r w:rsidRPr="00387D57">
        <w:rPr>
          <w:sz w:val="24"/>
          <w:szCs w:val="24"/>
        </w:rPr>
        <w:t>Trout, R. R. (1977)</w:t>
      </w:r>
      <w:r w:rsidR="00C51C8F">
        <w:rPr>
          <w:sz w:val="24"/>
          <w:szCs w:val="24"/>
        </w:rPr>
        <w:t>,</w:t>
      </w:r>
      <w:r w:rsidRPr="00387D57">
        <w:rPr>
          <w:sz w:val="24"/>
          <w:szCs w:val="24"/>
        </w:rPr>
        <w:t xml:space="preserve"> </w:t>
      </w:r>
      <w:r w:rsidRPr="00C51C8F">
        <w:rPr>
          <w:i/>
          <w:iCs/>
          <w:sz w:val="24"/>
          <w:szCs w:val="24"/>
        </w:rPr>
        <w:t>Estimation of the discount associated with the transfer of restricted securities</w:t>
      </w:r>
      <w:r w:rsidRPr="00387D57">
        <w:rPr>
          <w:sz w:val="24"/>
          <w:szCs w:val="24"/>
        </w:rPr>
        <w:t>. Taxes, 55, pp. 381–385..</w:t>
      </w:r>
    </w:p>
    <w:p w14:paraId="52B1E613" w14:textId="77777777" w:rsidR="0040202D" w:rsidRPr="008B3DE8" w:rsidRDefault="0040202D" w:rsidP="008B1F7F">
      <w:pPr>
        <w:pStyle w:val="FootnoteText"/>
        <w:ind w:left="720"/>
        <w:jc w:val="both"/>
        <w:rPr>
          <w:rFonts w:ascii="Arial" w:hAnsi="Arial" w:cs="Arial"/>
          <w:sz w:val="24"/>
          <w:szCs w:val="24"/>
          <w:lang w:val="en-US"/>
        </w:rPr>
      </w:pPr>
    </w:p>
    <w:p w14:paraId="0DD459FF" w14:textId="77777777" w:rsidR="0040202D" w:rsidRPr="00387D57" w:rsidRDefault="0040202D" w:rsidP="00387D57">
      <w:pPr>
        <w:pStyle w:val="ListParagraph"/>
        <w:ind w:left="1440"/>
        <w:jc w:val="both"/>
        <w:rPr>
          <w:sz w:val="24"/>
          <w:szCs w:val="24"/>
        </w:rPr>
      </w:pPr>
      <w:r w:rsidRPr="00387D57">
        <w:rPr>
          <w:sz w:val="24"/>
          <w:szCs w:val="24"/>
        </w:rPr>
        <w:t xml:space="preserve">Robert Trout conducted research on mutual fund purchases of limited stocks, just like Gelman. His period of time was 1968–1972. He made use of three additional fund in addition to the three Gelman had studied. </w:t>
      </w:r>
    </w:p>
    <w:p w14:paraId="268D3F1D" w14:textId="77777777" w:rsidR="0040202D" w:rsidRPr="008B3DE8" w:rsidRDefault="0040202D" w:rsidP="008B1F7F">
      <w:pPr>
        <w:spacing w:line="280" w:lineRule="exact"/>
        <w:ind w:left="720"/>
        <w:jc w:val="both"/>
        <w:rPr>
          <w:sz w:val="24"/>
          <w:szCs w:val="24"/>
        </w:rPr>
      </w:pPr>
    </w:p>
    <w:p w14:paraId="13BB0D36" w14:textId="2FDE69D0" w:rsidR="0040202D" w:rsidRPr="00387D57" w:rsidRDefault="0040202D" w:rsidP="00387D57">
      <w:pPr>
        <w:pStyle w:val="ListParagraph"/>
        <w:numPr>
          <w:ilvl w:val="0"/>
          <w:numId w:val="8"/>
        </w:numPr>
        <w:jc w:val="both"/>
        <w:rPr>
          <w:sz w:val="24"/>
          <w:szCs w:val="24"/>
        </w:rPr>
      </w:pPr>
      <w:r w:rsidRPr="00387D57">
        <w:rPr>
          <w:sz w:val="24"/>
          <w:szCs w:val="24"/>
        </w:rPr>
        <w:t xml:space="preserve">Valuation Advisors </w:t>
      </w:r>
      <w:r w:rsidR="00ED368A">
        <w:rPr>
          <w:sz w:val="24"/>
          <w:szCs w:val="24"/>
        </w:rPr>
        <w:t xml:space="preserve">(2007), </w:t>
      </w:r>
      <w:r w:rsidRPr="00C51C8F">
        <w:rPr>
          <w:i/>
          <w:iCs/>
          <w:sz w:val="24"/>
          <w:szCs w:val="24"/>
        </w:rPr>
        <w:t>Lack of Marketability Discount Study—DLOM Database (Discount for Lack of  Marketability),</w:t>
      </w:r>
      <w:r w:rsidRPr="00387D57">
        <w:rPr>
          <w:sz w:val="24"/>
          <w:szCs w:val="24"/>
        </w:rPr>
        <w:t xml:space="preserve"> Business Valuation Resources</w:t>
      </w:r>
    </w:p>
    <w:p w14:paraId="09F683A6" w14:textId="77777777" w:rsidR="0040202D" w:rsidRPr="008B3DE8" w:rsidRDefault="0040202D" w:rsidP="008B1F7F">
      <w:pPr>
        <w:spacing w:line="280" w:lineRule="exact"/>
        <w:ind w:left="720"/>
        <w:jc w:val="both"/>
        <w:rPr>
          <w:sz w:val="24"/>
          <w:szCs w:val="24"/>
        </w:rPr>
      </w:pPr>
    </w:p>
    <w:p w14:paraId="51251F2A" w14:textId="77777777" w:rsidR="0040202D" w:rsidRPr="00387D57" w:rsidRDefault="0040202D" w:rsidP="00387D57">
      <w:pPr>
        <w:pStyle w:val="ListParagraph"/>
        <w:ind w:left="1440"/>
        <w:jc w:val="both"/>
        <w:rPr>
          <w:sz w:val="24"/>
          <w:szCs w:val="24"/>
        </w:rPr>
      </w:pPr>
      <w:r w:rsidRPr="00387D57">
        <w:rPr>
          <w:sz w:val="24"/>
          <w:szCs w:val="24"/>
        </w:rPr>
        <w:t xml:space="preserve">It conducts a comparative analysis between the pre-IPO prices of common stock, convertible preferred stock, and common stock options and the IPO stock price. </w:t>
      </w:r>
    </w:p>
    <w:p w14:paraId="18298060" w14:textId="77777777" w:rsidR="0040202D" w:rsidRPr="008B3DE8" w:rsidRDefault="0040202D" w:rsidP="008B1F7F">
      <w:pPr>
        <w:spacing w:line="280" w:lineRule="exact"/>
        <w:ind w:left="720"/>
        <w:jc w:val="both"/>
        <w:rPr>
          <w:sz w:val="24"/>
          <w:szCs w:val="24"/>
        </w:rPr>
      </w:pPr>
    </w:p>
    <w:p w14:paraId="0B2EAEDB"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William Harris (2011), </w:t>
      </w:r>
      <w:r w:rsidRPr="00886C48">
        <w:rPr>
          <w:i/>
          <w:iCs/>
          <w:sz w:val="24"/>
          <w:szCs w:val="24"/>
        </w:rPr>
        <w:t>‘</w:t>
      </w:r>
      <w:proofErr w:type="spellStart"/>
      <w:r w:rsidRPr="00886C48">
        <w:rPr>
          <w:i/>
          <w:iCs/>
          <w:sz w:val="24"/>
          <w:szCs w:val="24"/>
        </w:rPr>
        <w:t>Trugman</w:t>
      </w:r>
      <w:proofErr w:type="spellEnd"/>
      <w:r w:rsidRPr="00886C48">
        <w:rPr>
          <w:i/>
          <w:iCs/>
          <w:sz w:val="24"/>
          <w:szCs w:val="24"/>
        </w:rPr>
        <w:t xml:space="preserve"> Valuation Advisors, Inc. (TVA), Restricted Stock Study’</w:t>
      </w:r>
      <w:r w:rsidRPr="00387D57">
        <w:rPr>
          <w:sz w:val="24"/>
          <w:szCs w:val="24"/>
        </w:rPr>
        <w:t>, Business Valuation Review (Winter 2011): pp. 132–139.</w:t>
      </w:r>
    </w:p>
    <w:p w14:paraId="18F6C215" w14:textId="77777777" w:rsidR="0040202D" w:rsidRPr="008B3DE8" w:rsidRDefault="0040202D" w:rsidP="008B1F7F">
      <w:pPr>
        <w:spacing w:line="280" w:lineRule="exact"/>
        <w:ind w:left="720"/>
        <w:jc w:val="both"/>
        <w:rPr>
          <w:sz w:val="24"/>
          <w:szCs w:val="24"/>
        </w:rPr>
      </w:pPr>
    </w:p>
    <w:p w14:paraId="4D804DC9" w14:textId="77777777" w:rsidR="0040202D" w:rsidRPr="00387D57" w:rsidRDefault="0040202D" w:rsidP="00387D57">
      <w:pPr>
        <w:pStyle w:val="ListParagraph"/>
        <w:ind w:left="1440"/>
        <w:jc w:val="both"/>
        <w:rPr>
          <w:sz w:val="24"/>
          <w:szCs w:val="24"/>
        </w:rPr>
      </w:pPr>
      <w:r w:rsidRPr="00387D57">
        <w:rPr>
          <w:sz w:val="24"/>
          <w:szCs w:val="24"/>
        </w:rPr>
        <w:t xml:space="preserve">It examines stock discounts that occurred between January 2007 and December 2008, a time of intense financial market volatility and widespread investor concern. In the first study, 80 transactions were examined to see if greater indicated DLOM was a direct result of the economic downturn. </w:t>
      </w:r>
    </w:p>
    <w:p w14:paraId="4E34EDA9" w14:textId="77777777" w:rsidR="0040202D" w:rsidRPr="008B3DE8" w:rsidRDefault="0040202D" w:rsidP="008B1F7F">
      <w:pPr>
        <w:spacing w:line="280" w:lineRule="exact"/>
        <w:ind w:left="720"/>
        <w:jc w:val="both"/>
        <w:rPr>
          <w:sz w:val="24"/>
          <w:szCs w:val="24"/>
        </w:rPr>
      </w:pPr>
    </w:p>
    <w:p w14:paraId="5F8E5DD6" w14:textId="29AFF407" w:rsidR="0040202D" w:rsidRPr="00387D57" w:rsidRDefault="0040202D" w:rsidP="00387D57">
      <w:pPr>
        <w:pStyle w:val="ListParagraph"/>
        <w:numPr>
          <w:ilvl w:val="0"/>
          <w:numId w:val="8"/>
        </w:numPr>
        <w:jc w:val="both"/>
        <w:rPr>
          <w:sz w:val="24"/>
          <w:szCs w:val="24"/>
        </w:rPr>
      </w:pPr>
      <w:r w:rsidRPr="00387D57">
        <w:rPr>
          <w:sz w:val="24"/>
          <w:szCs w:val="24"/>
        </w:rPr>
        <w:t>William L. Silber (1991)</w:t>
      </w:r>
      <w:r w:rsidR="00CF1C48">
        <w:rPr>
          <w:sz w:val="24"/>
          <w:szCs w:val="24"/>
        </w:rPr>
        <w:t>,</w:t>
      </w:r>
      <w:r w:rsidRPr="00387D57">
        <w:rPr>
          <w:sz w:val="24"/>
          <w:szCs w:val="24"/>
        </w:rPr>
        <w:t xml:space="preserve"> </w:t>
      </w:r>
      <w:r w:rsidRPr="00CF1C48">
        <w:rPr>
          <w:i/>
          <w:iCs/>
          <w:sz w:val="24"/>
          <w:szCs w:val="24"/>
        </w:rPr>
        <w:t>Discounts of Restricted Stock: The Impact of Illiquidity on Stock Prices</w:t>
      </w:r>
      <w:r w:rsidRPr="00387D57">
        <w:rPr>
          <w:sz w:val="24"/>
          <w:szCs w:val="24"/>
        </w:rPr>
        <w:t>, The Financial Analysts Journal, pp. 60–64.</w:t>
      </w:r>
    </w:p>
    <w:p w14:paraId="73B2B4BA" w14:textId="77777777" w:rsidR="0040202D" w:rsidRPr="008B3DE8" w:rsidRDefault="0040202D" w:rsidP="008B1F7F">
      <w:pPr>
        <w:spacing w:line="280" w:lineRule="exact"/>
        <w:ind w:left="720"/>
        <w:jc w:val="both"/>
        <w:rPr>
          <w:sz w:val="24"/>
          <w:szCs w:val="24"/>
        </w:rPr>
      </w:pPr>
    </w:p>
    <w:p w14:paraId="29CC498B" w14:textId="77777777" w:rsidR="0040202D" w:rsidRPr="00387D57" w:rsidRDefault="0040202D" w:rsidP="00387D57">
      <w:pPr>
        <w:pStyle w:val="ListParagraph"/>
        <w:ind w:left="1440"/>
        <w:jc w:val="both"/>
        <w:rPr>
          <w:sz w:val="24"/>
          <w:szCs w:val="24"/>
        </w:rPr>
      </w:pPr>
      <w:r w:rsidRPr="00387D57">
        <w:rPr>
          <w:sz w:val="24"/>
          <w:szCs w:val="24"/>
        </w:rPr>
        <w:t xml:space="preserve">The study's objective is to present proof of the influence of liquidity on restricted stock pricing. It's interesting to note that Silber included marketability as a variable in his formulas. Silber used the block size expressed as a percentage of the total number of outstanding shares to determine marketability. </w:t>
      </w:r>
    </w:p>
    <w:p w14:paraId="58A0CAF8" w14:textId="77777777" w:rsidR="00A02CE5" w:rsidRDefault="00A02CE5" w:rsidP="00D21CAB">
      <w:pPr>
        <w:rPr>
          <w:sz w:val="24"/>
          <w:szCs w:val="24"/>
        </w:rPr>
      </w:pPr>
    </w:p>
    <w:p w14:paraId="39A47390" w14:textId="263B0E10" w:rsidR="0065191D" w:rsidRPr="008A6630" w:rsidRDefault="00C11BE1" w:rsidP="008A6630">
      <w:pPr>
        <w:pStyle w:val="ListParagraph"/>
        <w:numPr>
          <w:ilvl w:val="0"/>
          <w:numId w:val="8"/>
        </w:numPr>
        <w:jc w:val="both"/>
        <w:rPr>
          <w:sz w:val="24"/>
          <w:szCs w:val="24"/>
        </w:rPr>
      </w:pPr>
      <w:r w:rsidRPr="008577B3">
        <w:rPr>
          <w:sz w:val="24"/>
          <w:szCs w:val="24"/>
        </w:rPr>
        <w:t>Z. Christopher Mercer et al. (2011)</w:t>
      </w:r>
      <w:r w:rsidR="00CF1C48">
        <w:rPr>
          <w:sz w:val="24"/>
          <w:szCs w:val="24"/>
        </w:rPr>
        <w:t>,</w:t>
      </w:r>
      <w:r w:rsidR="00131227">
        <w:rPr>
          <w:sz w:val="24"/>
          <w:szCs w:val="24"/>
        </w:rPr>
        <w:t xml:space="preserve"> </w:t>
      </w:r>
      <w:r w:rsidR="0065191D" w:rsidRPr="00CF1C48">
        <w:rPr>
          <w:i/>
          <w:iCs/>
          <w:sz w:val="24"/>
          <w:szCs w:val="24"/>
        </w:rPr>
        <w:t>Buy-Sell Agreements for Closely Held and Family Business</w:t>
      </w:r>
      <w:r w:rsidR="0065191D" w:rsidRPr="008A6630">
        <w:rPr>
          <w:sz w:val="24"/>
          <w:szCs w:val="24"/>
        </w:rPr>
        <w:t xml:space="preserve">, </w:t>
      </w:r>
      <w:r w:rsidR="00122D65" w:rsidRPr="008A6630">
        <w:rPr>
          <w:sz w:val="24"/>
          <w:szCs w:val="24"/>
        </w:rPr>
        <w:t xml:space="preserve">New York: </w:t>
      </w:r>
      <w:r w:rsidR="00B05D91" w:rsidRPr="008A6630">
        <w:rPr>
          <w:sz w:val="24"/>
          <w:szCs w:val="24"/>
        </w:rPr>
        <w:t>Peabody Publishing, LP</w:t>
      </w:r>
    </w:p>
    <w:p w14:paraId="5BE21B20" w14:textId="77777777" w:rsidR="00122D65" w:rsidRDefault="00122D65" w:rsidP="0065191D">
      <w:pPr>
        <w:rPr>
          <w:b/>
          <w:bCs/>
          <w:sz w:val="24"/>
          <w:szCs w:val="24"/>
        </w:rPr>
      </w:pPr>
    </w:p>
    <w:p w14:paraId="480E38CC" w14:textId="5BD8893C" w:rsidR="00122D65" w:rsidRPr="008A6630" w:rsidRDefault="000B15FA" w:rsidP="008A6630">
      <w:pPr>
        <w:pStyle w:val="ListParagraph"/>
        <w:ind w:left="1440"/>
        <w:jc w:val="both"/>
        <w:rPr>
          <w:sz w:val="24"/>
          <w:szCs w:val="24"/>
        </w:rPr>
      </w:pPr>
      <w:r w:rsidRPr="008A6630">
        <w:rPr>
          <w:sz w:val="24"/>
          <w:szCs w:val="24"/>
        </w:rPr>
        <w:t>It pro</w:t>
      </w:r>
      <w:r w:rsidR="008A6630" w:rsidRPr="008A6630">
        <w:rPr>
          <w:sz w:val="24"/>
          <w:szCs w:val="24"/>
        </w:rPr>
        <w:t xml:space="preserve">vides you a </w:t>
      </w:r>
      <w:r w:rsidRPr="008A6630">
        <w:rPr>
          <w:sz w:val="24"/>
          <w:szCs w:val="24"/>
        </w:rPr>
        <w:t>guide for understanding what your agreement says from business and valuation perspectives.  The book includes a comprehensive and yet understandable roadmap for business owners and their advisers.  </w:t>
      </w:r>
    </w:p>
    <w:p w14:paraId="3735682E" w14:textId="74F225C0" w:rsidR="00C11BE1" w:rsidRDefault="00C11BE1" w:rsidP="00D21CAB">
      <w:pPr>
        <w:rPr>
          <w:sz w:val="24"/>
          <w:szCs w:val="24"/>
        </w:rPr>
      </w:pPr>
    </w:p>
    <w:sectPr w:rsidR="00C11B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8ECC4" w14:textId="77777777" w:rsidR="0018425D" w:rsidRDefault="0018425D" w:rsidP="006C143A">
      <w:pPr>
        <w:spacing w:line="240" w:lineRule="auto"/>
      </w:pPr>
      <w:r>
        <w:separator/>
      </w:r>
    </w:p>
  </w:endnote>
  <w:endnote w:type="continuationSeparator" w:id="0">
    <w:p w14:paraId="05B324C1" w14:textId="77777777" w:rsidR="0018425D" w:rsidRDefault="0018425D" w:rsidP="006C14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Montserrat-Regular">
    <w:altName w:val="Montserrat"/>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D3996" w14:textId="77777777" w:rsidR="0018425D" w:rsidRDefault="0018425D" w:rsidP="006C143A">
      <w:pPr>
        <w:spacing w:line="240" w:lineRule="auto"/>
      </w:pPr>
      <w:r>
        <w:separator/>
      </w:r>
    </w:p>
  </w:footnote>
  <w:footnote w:type="continuationSeparator" w:id="0">
    <w:p w14:paraId="0359427C" w14:textId="77777777" w:rsidR="0018425D" w:rsidRDefault="0018425D" w:rsidP="006C14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02A6"/>
    <w:multiLevelType w:val="hybridMultilevel"/>
    <w:tmpl w:val="0382DB8A"/>
    <w:lvl w:ilvl="0" w:tplc="DC64A03E">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1A5D21B2"/>
    <w:multiLevelType w:val="hybridMultilevel"/>
    <w:tmpl w:val="6A188E18"/>
    <w:lvl w:ilvl="0" w:tplc="8180A2E8">
      <w:start w:val="5"/>
      <w:numFmt w:val="bullet"/>
      <w:lvlText w:val="-"/>
      <w:lvlJc w:val="left"/>
      <w:pPr>
        <w:ind w:left="1080" w:hanging="360"/>
      </w:pPr>
      <w:rPr>
        <w:rFonts w:ascii="Arial" w:eastAsia="宋体"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2" w15:restartNumberingAfterBreak="0">
    <w:nsid w:val="20DC4320"/>
    <w:multiLevelType w:val="hybridMultilevel"/>
    <w:tmpl w:val="1340C050"/>
    <w:lvl w:ilvl="0" w:tplc="FA42385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211B361B"/>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1091AC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C3A70F2"/>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393550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659356B"/>
    <w:multiLevelType w:val="hybridMultilevel"/>
    <w:tmpl w:val="308E42C4"/>
    <w:lvl w:ilvl="0" w:tplc="3C09000F">
      <w:start w:val="1"/>
      <w:numFmt w:val="decimal"/>
      <w:lvlText w:val="%1."/>
      <w:lvlJc w:val="left"/>
      <w:pPr>
        <w:ind w:left="720" w:hanging="360"/>
      </w:p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727E2619"/>
    <w:multiLevelType w:val="hybridMultilevel"/>
    <w:tmpl w:val="0A628CD4"/>
    <w:lvl w:ilvl="0" w:tplc="DC0A2A3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91068897">
    <w:abstractNumId w:val="0"/>
  </w:num>
  <w:num w:numId="2" w16cid:durableId="1186747306">
    <w:abstractNumId w:val="8"/>
  </w:num>
  <w:num w:numId="3" w16cid:durableId="1436170903">
    <w:abstractNumId w:val="3"/>
  </w:num>
  <w:num w:numId="4" w16cid:durableId="1058161797">
    <w:abstractNumId w:val="5"/>
  </w:num>
  <w:num w:numId="5" w16cid:durableId="1240602012">
    <w:abstractNumId w:val="4"/>
  </w:num>
  <w:num w:numId="6" w16cid:durableId="35929909">
    <w:abstractNumId w:val="6"/>
  </w:num>
  <w:num w:numId="7" w16cid:durableId="1790391979">
    <w:abstractNumId w:val="2"/>
  </w:num>
  <w:num w:numId="8" w16cid:durableId="72170655">
    <w:abstractNumId w:val="7"/>
  </w:num>
  <w:num w:numId="9" w16cid:durableId="1390497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438"/>
    <w:rsid w:val="00001791"/>
    <w:rsid w:val="00002097"/>
    <w:rsid w:val="000049A4"/>
    <w:rsid w:val="00012156"/>
    <w:rsid w:val="0001334A"/>
    <w:rsid w:val="000150C1"/>
    <w:rsid w:val="0002179A"/>
    <w:rsid w:val="000218EC"/>
    <w:rsid w:val="000236EA"/>
    <w:rsid w:val="0002538F"/>
    <w:rsid w:val="0002561A"/>
    <w:rsid w:val="00025CB4"/>
    <w:rsid w:val="000271B5"/>
    <w:rsid w:val="000273C0"/>
    <w:rsid w:val="000312A9"/>
    <w:rsid w:val="00031A3A"/>
    <w:rsid w:val="00036270"/>
    <w:rsid w:val="00036E1B"/>
    <w:rsid w:val="00040A4C"/>
    <w:rsid w:val="00043439"/>
    <w:rsid w:val="000464C4"/>
    <w:rsid w:val="00050248"/>
    <w:rsid w:val="000543EA"/>
    <w:rsid w:val="000543FD"/>
    <w:rsid w:val="000568DB"/>
    <w:rsid w:val="000607DE"/>
    <w:rsid w:val="0006088B"/>
    <w:rsid w:val="00064174"/>
    <w:rsid w:val="00065CA8"/>
    <w:rsid w:val="00074A82"/>
    <w:rsid w:val="000750B7"/>
    <w:rsid w:val="00077B70"/>
    <w:rsid w:val="0008214D"/>
    <w:rsid w:val="00084C41"/>
    <w:rsid w:val="00096F03"/>
    <w:rsid w:val="0009753B"/>
    <w:rsid w:val="000B15FA"/>
    <w:rsid w:val="000B300E"/>
    <w:rsid w:val="000B3359"/>
    <w:rsid w:val="000B390D"/>
    <w:rsid w:val="000B49FC"/>
    <w:rsid w:val="000B6D5B"/>
    <w:rsid w:val="000C0C7F"/>
    <w:rsid w:val="000C0E23"/>
    <w:rsid w:val="000C39B0"/>
    <w:rsid w:val="000C4248"/>
    <w:rsid w:val="000C48D1"/>
    <w:rsid w:val="000D6CCD"/>
    <w:rsid w:val="000E1E3E"/>
    <w:rsid w:val="000E5B49"/>
    <w:rsid w:val="000E73DF"/>
    <w:rsid w:val="000F107A"/>
    <w:rsid w:val="000F4171"/>
    <w:rsid w:val="000F52C4"/>
    <w:rsid w:val="000F5E8C"/>
    <w:rsid w:val="0010096F"/>
    <w:rsid w:val="001021AF"/>
    <w:rsid w:val="00103DEF"/>
    <w:rsid w:val="0010460D"/>
    <w:rsid w:val="0010663C"/>
    <w:rsid w:val="0011411F"/>
    <w:rsid w:val="00114C0D"/>
    <w:rsid w:val="00122D65"/>
    <w:rsid w:val="00122F24"/>
    <w:rsid w:val="001259AC"/>
    <w:rsid w:val="00126262"/>
    <w:rsid w:val="00126A73"/>
    <w:rsid w:val="00131227"/>
    <w:rsid w:val="00133E52"/>
    <w:rsid w:val="00134131"/>
    <w:rsid w:val="00134774"/>
    <w:rsid w:val="00134AB5"/>
    <w:rsid w:val="00135D29"/>
    <w:rsid w:val="00136766"/>
    <w:rsid w:val="001375D0"/>
    <w:rsid w:val="00142ABC"/>
    <w:rsid w:val="00143361"/>
    <w:rsid w:val="001441A4"/>
    <w:rsid w:val="0014522D"/>
    <w:rsid w:val="00151B5F"/>
    <w:rsid w:val="001531BA"/>
    <w:rsid w:val="00156A94"/>
    <w:rsid w:val="001570AF"/>
    <w:rsid w:val="001617B2"/>
    <w:rsid w:val="00164198"/>
    <w:rsid w:val="00170738"/>
    <w:rsid w:val="0017557A"/>
    <w:rsid w:val="00182E16"/>
    <w:rsid w:val="0018425D"/>
    <w:rsid w:val="00184A29"/>
    <w:rsid w:val="00185568"/>
    <w:rsid w:val="00185844"/>
    <w:rsid w:val="00186CA6"/>
    <w:rsid w:val="001937B7"/>
    <w:rsid w:val="00197ED4"/>
    <w:rsid w:val="001A0404"/>
    <w:rsid w:val="001A13A5"/>
    <w:rsid w:val="001A224C"/>
    <w:rsid w:val="001A294D"/>
    <w:rsid w:val="001A32CD"/>
    <w:rsid w:val="001A3A60"/>
    <w:rsid w:val="001A651D"/>
    <w:rsid w:val="001A7129"/>
    <w:rsid w:val="001A7DA5"/>
    <w:rsid w:val="001B3113"/>
    <w:rsid w:val="001B4589"/>
    <w:rsid w:val="001B5C5F"/>
    <w:rsid w:val="001B63B2"/>
    <w:rsid w:val="001B6FD8"/>
    <w:rsid w:val="001B77A3"/>
    <w:rsid w:val="001C0FFF"/>
    <w:rsid w:val="001D270F"/>
    <w:rsid w:val="001D2E40"/>
    <w:rsid w:val="001D7F4D"/>
    <w:rsid w:val="001F02D4"/>
    <w:rsid w:val="001F389C"/>
    <w:rsid w:val="001F404A"/>
    <w:rsid w:val="001F78E0"/>
    <w:rsid w:val="00200C3A"/>
    <w:rsid w:val="00200F6A"/>
    <w:rsid w:val="00205C32"/>
    <w:rsid w:val="00207DAF"/>
    <w:rsid w:val="00213082"/>
    <w:rsid w:val="0021519A"/>
    <w:rsid w:val="00220B93"/>
    <w:rsid w:val="00222E86"/>
    <w:rsid w:val="002249A7"/>
    <w:rsid w:val="00226150"/>
    <w:rsid w:val="002306BF"/>
    <w:rsid w:val="002309FA"/>
    <w:rsid w:val="00233B81"/>
    <w:rsid w:val="00244964"/>
    <w:rsid w:val="00245ADA"/>
    <w:rsid w:val="00246D0E"/>
    <w:rsid w:val="00250D89"/>
    <w:rsid w:val="002536C9"/>
    <w:rsid w:val="00254E0E"/>
    <w:rsid w:val="002560D5"/>
    <w:rsid w:val="00260352"/>
    <w:rsid w:val="0026064E"/>
    <w:rsid w:val="00262F84"/>
    <w:rsid w:val="00264424"/>
    <w:rsid w:val="00270157"/>
    <w:rsid w:val="00272808"/>
    <w:rsid w:val="0027307A"/>
    <w:rsid w:val="0027607C"/>
    <w:rsid w:val="002818D1"/>
    <w:rsid w:val="00281B30"/>
    <w:rsid w:val="002836A0"/>
    <w:rsid w:val="002839D3"/>
    <w:rsid w:val="002847B5"/>
    <w:rsid w:val="002849D5"/>
    <w:rsid w:val="00284C7F"/>
    <w:rsid w:val="002865DB"/>
    <w:rsid w:val="00286ADE"/>
    <w:rsid w:val="00290334"/>
    <w:rsid w:val="0029088A"/>
    <w:rsid w:val="002920C4"/>
    <w:rsid w:val="002960F1"/>
    <w:rsid w:val="002A1838"/>
    <w:rsid w:val="002A2E32"/>
    <w:rsid w:val="002A4CAB"/>
    <w:rsid w:val="002A62C2"/>
    <w:rsid w:val="002B03E8"/>
    <w:rsid w:val="002B1E79"/>
    <w:rsid w:val="002B24CF"/>
    <w:rsid w:val="002C4216"/>
    <w:rsid w:val="002C4A3E"/>
    <w:rsid w:val="002D0158"/>
    <w:rsid w:val="002D5290"/>
    <w:rsid w:val="002E3FF5"/>
    <w:rsid w:val="002E411F"/>
    <w:rsid w:val="002F31D7"/>
    <w:rsid w:val="002F622F"/>
    <w:rsid w:val="002F77C2"/>
    <w:rsid w:val="00302B1C"/>
    <w:rsid w:val="00306CF2"/>
    <w:rsid w:val="0031124E"/>
    <w:rsid w:val="00312856"/>
    <w:rsid w:val="00312BEF"/>
    <w:rsid w:val="00312BF1"/>
    <w:rsid w:val="00313487"/>
    <w:rsid w:val="00315F36"/>
    <w:rsid w:val="00317E4B"/>
    <w:rsid w:val="00322273"/>
    <w:rsid w:val="0032468A"/>
    <w:rsid w:val="00326143"/>
    <w:rsid w:val="0032660A"/>
    <w:rsid w:val="00326B6F"/>
    <w:rsid w:val="003278B3"/>
    <w:rsid w:val="0033117D"/>
    <w:rsid w:val="0033691C"/>
    <w:rsid w:val="0033791B"/>
    <w:rsid w:val="003414D1"/>
    <w:rsid w:val="0034387F"/>
    <w:rsid w:val="00343D3D"/>
    <w:rsid w:val="00345521"/>
    <w:rsid w:val="00350000"/>
    <w:rsid w:val="003610EC"/>
    <w:rsid w:val="00364320"/>
    <w:rsid w:val="00367400"/>
    <w:rsid w:val="00367667"/>
    <w:rsid w:val="00367810"/>
    <w:rsid w:val="003678E1"/>
    <w:rsid w:val="0037201D"/>
    <w:rsid w:val="003807EF"/>
    <w:rsid w:val="00384DBE"/>
    <w:rsid w:val="003855E8"/>
    <w:rsid w:val="00385CDC"/>
    <w:rsid w:val="00387D57"/>
    <w:rsid w:val="00390720"/>
    <w:rsid w:val="00394164"/>
    <w:rsid w:val="003A1864"/>
    <w:rsid w:val="003B106E"/>
    <w:rsid w:val="003B1E80"/>
    <w:rsid w:val="003B492A"/>
    <w:rsid w:val="003B5371"/>
    <w:rsid w:val="003B5E45"/>
    <w:rsid w:val="003C0EE0"/>
    <w:rsid w:val="003C19A5"/>
    <w:rsid w:val="003C22DA"/>
    <w:rsid w:val="003C23F3"/>
    <w:rsid w:val="003C4A1F"/>
    <w:rsid w:val="003D0775"/>
    <w:rsid w:val="003D2D8A"/>
    <w:rsid w:val="003D32D5"/>
    <w:rsid w:val="003D4ED6"/>
    <w:rsid w:val="003D527F"/>
    <w:rsid w:val="003E37D2"/>
    <w:rsid w:val="003E53B7"/>
    <w:rsid w:val="003F012A"/>
    <w:rsid w:val="003F527B"/>
    <w:rsid w:val="00401B25"/>
    <w:rsid w:val="0040202D"/>
    <w:rsid w:val="004037BC"/>
    <w:rsid w:val="00404225"/>
    <w:rsid w:val="00405F7E"/>
    <w:rsid w:val="004066D7"/>
    <w:rsid w:val="00407591"/>
    <w:rsid w:val="00410487"/>
    <w:rsid w:val="004113F0"/>
    <w:rsid w:val="004114EF"/>
    <w:rsid w:val="00412C25"/>
    <w:rsid w:val="00417D81"/>
    <w:rsid w:val="0042149E"/>
    <w:rsid w:val="00425992"/>
    <w:rsid w:val="004259D3"/>
    <w:rsid w:val="00425F0D"/>
    <w:rsid w:val="0042682E"/>
    <w:rsid w:val="00431236"/>
    <w:rsid w:val="00434364"/>
    <w:rsid w:val="004367DA"/>
    <w:rsid w:val="00437830"/>
    <w:rsid w:val="0044363C"/>
    <w:rsid w:val="004479AF"/>
    <w:rsid w:val="00452CCD"/>
    <w:rsid w:val="004538DA"/>
    <w:rsid w:val="00455ACE"/>
    <w:rsid w:val="0046094B"/>
    <w:rsid w:val="00461C19"/>
    <w:rsid w:val="00470CFE"/>
    <w:rsid w:val="00471B7D"/>
    <w:rsid w:val="004733AE"/>
    <w:rsid w:val="00474979"/>
    <w:rsid w:val="00476EFD"/>
    <w:rsid w:val="0047792E"/>
    <w:rsid w:val="00481C3C"/>
    <w:rsid w:val="0048226A"/>
    <w:rsid w:val="004839EF"/>
    <w:rsid w:val="00483DDF"/>
    <w:rsid w:val="0048548D"/>
    <w:rsid w:val="004911BB"/>
    <w:rsid w:val="00492FF1"/>
    <w:rsid w:val="00495629"/>
    <w:rsid w:val="004979C9"/>
    <w:rsid w:val="004A079F"/>
    <w:rsid w:val="004A757E"/>
    <w:rsid w:val="004B1431"/>
    <w:rsid w:val="004B46EE"/>
    <w:rsid w:val="004B470A"/>
    <w:rsid w:val="004C3FC7"/>
    <w:rsid w:val="004C5D0B"/>
    <w:rsid w:val="004C74B7"/>
    <w:rsid w:val="004C7DB3"/>
    <w:rsid w:val="004D316B"/>
    <w:rsid w:val="004E11AE"/>
    <w:rsid w:val="004F2CCE"/>
    <w:rsid w:val="004F5772"/>
    <w:rsid w:val="004F5960"/>
    <w:rsid w:val="004F59F5"/>
    <w:rsid w:val="00501D73"/>
    <w:rsid w:val="00502F3F"/>
    <w:rsid w:val="005078C0"/>
    <w:rsid w:val="00516B04"/>
    <w:rsid w:val="00517AAF"/>
    <w:rsid w:val="005204EA"/>
    <w:rsid w:val="00522193"/>
    <w:rsid w:val="00523AD4"/>
    <w:rsid w:val="00532D4F"/>
    <w:rsid w:val="00533309"/>
    <w:rsid w:val="00534627"/>
    <w:rsid w:val="005353FF"/>
    <w:rsid w:val="00535D06"/>
    <w:rsid w:val="00542804"/>
    <w:rsid w:val="00550A59"/>
    <w:rsid w:val="00553103"/>
    <w:rsid w:val="005540FF"/>
    <w:rsid w:val="005547EF"/>
    <w:rsid w:val="00555E5E"/>
    <w:rsid w:val="00556DF4"/>
    <w:rsid w:val="005611B6"/>
    <w:rsid w:val="005643A9"/>
    <w:rsid w:val="005663ED"/>
    <w:rsid w:val="005670C0"/>
    <w:rsid w:val="00570B20"/>
    <w:rsid w:val="00571E60"/>
    <w:rsid w:val="00575BDC"/>
    <w:rsid w:val="00580172"/>
    <w:rsid w:val="005816B0"/>
    <w:rsid w:val="00585AC7"/>
    <w:rsid w:val="00587628"/>
    <w:rsid w:val="00594DEB"/>
    <w:rsid w:val="005A2142"/>
    <w:rsid w:val="005A77BE"/>
    <w:rsid w:val="005B4404"/>
    <w:rsid w:val="005B69DD"/>
    <w:rsid w:val="005B7588"/>
    <w:rsid w:val="005C4F6C"/>
    <w:rsid w:val="005C506C"/>
    <w:rsid w:val="005D20C3"/>
    <w:rsid w:val="005D2C29"/>
    <w:rsid w:val="005D4A80"/>
    <w:rsid w:val="005D4E3B"/>
    <w:rsid w:val="005D4E7E"/>
    <w:rsid w:val="005D50B5"/>
    <w:rsid w:val="005D69EB"/>
    <w:rsid w:val="005D6D61"/>
    <w:rsid w:val="005E1A3F"/>
    <w:rsid w:val="005E2BDF"/>
    <w:rsid w:val="005E4AB8"/>
    <w:rsid w:val="005E6B19"/>
    <w:rsid w:val="005E7B4D"/>
    <w:rsid w:val="005E7B9C"/>
    <w:rsid w:val="005F0B78"/>
    <w:rsid w:val="005F22C2"/>
    <w:rsid w:val="005F24DF"/>
    <w:rsid w:val="005F31B9"/>
    <w:rsid w:val="005F36BD"/>
    <w:rsid w:val="005F7A32"/>
    <w:rsid w:val="00600865"/>
    <w:rsid w:val="00601F5E"/>
    <w:rsid w:val="006053A9"/>
    <w:rsid w:val="00606A95"/>
    <w:rsid w:val="00607182"/>
    <w:rsid w:val="00614977"/>
    <w:rsid w:val="00615721"/>
    <w:rsid w:val="00617C80"/>
    <w:rsid w:val="0062226A"/>
    <w:rsid w:val="006233CE"/>
    <w:rsid w:val="0062449F"/>
    <w:rsid w:val="00624DBF"/>
    <w:rsid w:val="006325B1"/>
    <w:rsid w:val="00634254"/>
    <w:rsid w:val="006374EA"/>
    <w:rsid w:val="00641309"/>
    <w:rsid w:val="0064194F"/>
    <w:rsid w:val="0064466D"/>
    <w:rsid w:val="00644873"/>
    <w:rsid w:val="00645277"/>
    <w:rsid w:val="00645AD2"/>
    <w:rsid w:val="00650D22"/>
    <w:rsid w:val="00651231"/>
    <w:rsid w:val="0065191D"/>
    <w:rsid w:val="006531A7"/>
    <w:rsid w:val="006545BF"/>
    <w:rsid w:val="00656DA4"/>
    <w:rsid w:val="006636A9"/>
    <w:rsid w:val="00663D9D"/>
    <w:rsid w:val="006705B3"/>
    <w:rsid w:val="0067134A"/>
    <w:rsid w:val="00671ED3"/>
    <w:rsid w:val="00673343"/>
    <w:rsid w:val="00680C54"/>
    <w:rsid w:val="0068347B"/>
    <w:rsid w:val="00685FC5"/>
    <w:rsid w:val="00690E81"/>
    <w:rsid w:val="00693406"/>
    <w:rsid w:val="00693F34"/>
    <w:rsid w:val="006967B8"/>
    <w:rsid w:val="00697918"/>
    <w:rsid w:val="006A128A"/>
    <w:rsid w:val="006A207C"/>
    <w:rsid w:val="006A2891"/>
    <w:rsid w:val="006A644B"/>
    <w:rsid w:val="006A7466"/>
    <w:rsid w:val="006C143A"/>
    <w:rsid w:val="006C2D13"/>
    <w:rsid w:val="006C4441"/>
    <w:rsid w:val="006C4A5E"/>
    <w:rsid w:val="006C59A4"/>
    <w:rsid w:val="006C7F8D"/>
    <w:rsid w:val="006D6513"/>
    <w:rsid w:val="006E7487"/>
    <w:rsid w:val="006F35E4"/>
    <w:rsid w:val="006F4B34"/>
    <w:rsid w:val="006F7D46"/>
    <w:rsid w:val="007009AC"/>
    <w:rsid w:val="00711055"/>
    <w:rsid w:val="007113BC"/>
    <w:rsid w:val="007113E7"/>
    <w:rsid w:val="00713B70"/>
    <w:rsid w:val="007155AD"/>
    <w:rsid w:val="007207A3"/>
    <w:rsid w:val="00720EC4"/>
    <w:rsid w:val="00721233"/>
    <w:rsid w:val="0072538B"/>
    <w:rsid w:val="007347FB"/>
    <w:rsid w:val="00744C0E"/>
    <w:rsid w:val="00747B02"/>
    <w:rsid w:val="00751840"/>
    <w:rsid w:val="00751C0F"/>
    <w:rsid w:val="00760E0D"/>
    <w:rsid w:val="00761B5B"/>
    <w:rsid w:val="007622EF"/>
    <w:rsid w:val="007624E7"/>
    <w:rsid w:val="0076279E"/>
    <w:rsid w:val="00763EC9"/>
    <w:rsid w:val="00764461"/>
    <w:rsid w:val="007654EB"/>
    <w:rsid w:val="00766E81"/>
    <w:rsid w:val="00767DD6"/>
    <w:rsid w:val="00771AE7"/>
    <w:rsid w:val="007755F0"/>
    <w:rsid w:val="007768A9"/>
    <w:rsid w:val="00776D8D"/>
    <w:rsid w:val="0078413D"/>
    <w:rsid w:val="00790809"/>
    <w:rsid w:val="00791FE6"/>
    <w:rsid w:val="007922D2"/>
    <w:rsid w:val="00794309"/>
    <w:rsid w:val="007972BC"/>
    <w:rsid w:val="007B5C77"/>
    <w:rsid w:val="007C0A4E"/>
    <w:rsid w:val="007C0EBE"/>
    <w:rsid w:val="007C11E0"/>
    <w:rsid w:val="007C3D2A"/>
    <w:rsid w:val="007C56E8"/>
    <w:rsid w:val="007C79CF"/>
    <w:rsid w:val="007C7A0D"/>
    <w:rsid w:val="007C7F80"/>
    <w:rsid w:val="007D6110"/>
    <w:rsid w:val="007D67AB"/>
    <w:rsid w:val="007E10F4"/>
    <w:rsid w:val="007E3E5D"/>
    <w:rsid w:val="007F124E"/>
    <w:rsid w:val="007F2054"/>
    <w:rsid w:val="007F2F4F"/>
    <w:rsid w:val="007F5544"/>
    <w:rsid w:val="00800B58"/>
    <w:rsid w:val="008038D2"/>
    <w:rsid w:val="008044CD"/>
    <w:rsid w:val="00804747"/>
    <w:rsid w:val="00804ADA"/>
    <w:rsid w:val="00806BB3"/>
    <w:rsid w:val="00810416"/>
    <w:rsid w:val="00813DB0"/>
    <w:rsid w:val="00814526"/>
    <w:rsid w:val="00815B85"/>
    <w:rsid w:val="008160A7"/>
    <w:rsid w:val="008166D9"/>
    <w:rsid w:val="00817C95"/>
    <w:rsid w:val="00824272"/>
    <w:rsid w:val="00824BD2"/>
    <w:rsid w:val="0083383E"/>
    <w:rsid w:val="00833A4E"/>
    <w:rsid w:val="00843445"/>
    <w:rsid w:val="00846D9B"/>
    <w:rsid w:val="0085053D"/>
    <w:rsid w:val="0085181B"/>
    <w:rsid w:val="008561A5"/>
    <w:rsid w:val="008577B3"/>
    <w:rsid w:val="00860FF0"/>
    <w:rsid w:val="00861AC0"/>
    <w:rsid w:val="00864A2C"/>
    <w:rsid w:val="00864E35"/>
    <w:rsid w:val="00866191"/>
    <w:rsid w:val="00871438"/>
    <w:rsid w:val="00872F70"/>
    <w:rsid w:val="0087547F"/>
    <w:rsid w:val="00876D4F"/>
    <w:rsid w:val="008824A5"/>
    <w:rsid w:val="00885600"/>
    <w:rsid w:val="00886C48"/>
    <w:rsid w:val="00887B43"/>
    <w:rsid w:val="0089067B"/>
    <w:rsid w:val="00891CA9"/>
    <w:rsid w:val="00891FB7"/>
    <w:rsid w:val="00892100"/>
    <w:rsid w:val="008944D2"/>
    <w:rsid w:val="00895D88"/>
    <w:rsid w:val="0089656C"/>
    <w:rsid w:val="00896A76"/>
    <w:rsid w:val="00896E1C"/>
    <w:rsid w:val="0089736C"/>
    <w:rsid w:val="008A01A5"/>
    <w:rsid w:val="008A1830"/>
    <w:rsid w:val="008A2C85"/>
    <w:rsid w:val="008A6630"/>
    <w:rsid w:val="008B1B92"/>
    <w:rsid w:val="008B1F7F"/>
    <w:rsid w:val="008B3DE8"/>
    <w:rsid w:val="008B79B5"/>
    <w:rsid w:val="008C3F43"/>
    <w:rsid w:val="008C49BC"/>
    <w:rsid w:val="008C7FB2"/>
    <w:rsid w:val="008D0F44"/>
    <w:rsid w:val="008D1F56"/>
    <w:rsid w:val="008D2AFD"/>
    <w:rsid w:val="008D466F"/>
    <w:rsid w:val="008D4BFC"/>
    <w:rsid w:val="008D4F62"/>
    <w:rsid w:val="008D55DA"/>
    <w:rsid w:val="008D5E93"/>
    <w:rsid w:val="008D62E8"/>
    <w:rsid w:val="008D70ED"/>
    <w:rsid w:val="008E080B"/>
    <w:rsid w:val="008E0F3B"/>
    <w:rsid w:val="008E1591"/>
    <w:rsid w:val="008E2CCE"/>
    <w:rsid w:val="008E5405"/>
    <w:rsid w:val="008E74C1"/>
    <w:rsid w:val="008F05A4"/>
    <w:rsid w:val="008F0FD8"/>
    <w:rsid w:val="008F2026"/>
    <w:rsid w:val="008F4295"/>
    <w:rsid w:val="008F431C"/>
    <w:rsid w:val="008F49C8"/>
    <w:rsid w:val="008F53BA"/>
    <w:rsid w:val="008F7221"/>
    <w:rsid w:val="008F790B"/>
    <w:rsid w:val="00904461"/>
    <w:rsid w:val="0090511D"/>
    <w:rsid w:val="00907F2C"/>
    <w:rsid w:val="0091325D"/>
    <w:rsid w:val="0091410F"/>
    <w:rsid w:val="00915CAA"/>
    <w:rsid w:val="00920CFC"/>
    <w:rsid w:val="00921913"/>
    <w:rsid w:val="0092705F"/>
    <w:rsid w:val="009271D5"/>
    <w:rsid w:val="00934A32"/>
    <w:rsid w:val="00936A70"/>
    <w:rsid w:val="009417E2"/>
    <w:rsid w:val="00943389"/>
    <w:rsid w:val="0094511D"/>
    <w:rsid w:val="0095011F"/>
    <w:rsid w:val="00950712"/>
    <w:rsid w:val="00950979"/>
    <w:rsid w:val="009535B9"/>
    <w:rsid w:val="0095625F"/>
    <w:rsid w:val="00957A74"/>
    <w:rsid w:val="00957EFB"/>
    <w:rsid w:val="0096155F"/>
    <w:rsid w:val="00962F57"/>
    <w:rsid w:val="009631F5"/>
    <w:rsid w:val="00963E9C"/>
    <w:rsid w:val="0097183D"/>
    <w:rsid w:val="00971B9A"/>
    <w:rsid w:val="009729F4"/>
    <w:rsid w:val="009737E6"/>
    <w:rsid w:val="00974557"/>
    <w:rsid w:val="00975EA6"/>
    <w:rsid w:val="00983ED0"/>
    <w:rsid w:val="00984BF0"/>
    <w:rsid w:val="00987AF6"/>
    <w:rsid w:val="00990C10"/>
    <w:rsid w:val="00991846"/>
    <w:rsid w:val="009960F8"/>
    <w:rsid w:val="009A0DB1"/>
    <w:rsid w:val="009A52C8"/>
    <w:rsid w:val="009A63C2"/>
    <w:rsid w:val="009B0DDC"/>
    <w:rsid w:val="009B169C"/>
    <w:rsid w:val="009B4BD6"/>
    <w:rsid w:val="009B4FAB"/>
    <w:rsid w:val="009C0887"/>
    <w:rsid w:val="009C273A"/>
    <w:rsid w:val="009C4EB9"/>
    <w:rsid w:val="009D0AB8"/>
    <w:rsid w:val="009D136A"/>
    <w:rsid w:val="009E0587"/>
    <w:rsid w:val="009E0869"/>
    <w:rsid w:val="009E1787"/>
    <w:rsid w:val="009E48EE"/>
    <w:rsid w:val="009E564A"/>
    <w:rsid w:val="009F0711"/>
    <w:rsid w:val="009F539F"/>
    <w:rsid w:val="009F55C6"/>
    <w:rsid w:val="009F6A5B"/>
    <w:rsid w:val="009F7315"/>
    <w:rsid w:val="00A00631"/>
    <w:rsid w:val="00A02CE5"/>
    <w:rsid w:val="00A0399F"/>
    <w:rsid w:val="00A078A2"/>
    <w:rsid w:val="00A1226B"/>
    <w:rsid w:val="00A1600B"/>
    <w:rsid w:val="00A167C4"/>
    <w:rsid w:val="00A20562"/>
    <w:rsid w:val="00A302C1"/>
    <w:rsid w:val="00A323BA"/>
    <w:rsid w:val="00A335C8"/>
    <w:rsid w:val="00A33E83"/>
    <w:rsid w:val="00A35E1B"/>
    <w:rsid w:val="00A367EC"/>
    <w:rsid w:val="00A37A50"/>
    <w:rsid w:val="00A40CE6"/>
    <w:rsid w:val="00A524AB"/>
    <w:rsid w:val="00A52B24"/>
    <w:rsid w:val="00A53FB3"/>
    <w:rsid w:val="00A6448F"/>
    <w:rsid w:val="00A65606"/>
    <w:rsid w:val="00A6706C"/>
    <w:rsid w:val="00A70AFE"/>
    <w:rsid w:val="00A75FC2"/>
    <w:rsid w:val="00A81176"/>
    <w:rsid w:val="00A876D5"/>
    <w:rsid w:val="00A87736"/>
    <w:rsid w:val="00A90318"/>
    <w:rsid w:val="00A918C6"/>
    <w:rsid w:val="00A91DB1"/>
    <w:rsid w:val="00A94F56"/>
    <w:rsid w:val="00A95684"/>
    <w:rsid w:val="00A95A07"/>
    <w:rsid w:val="00A95B16"/>
    <w:rsid w:val="00A9681E"/>
    <w:rsid w:val="00AA0B35"/>
    <w:rsid w:val="00AA161C"/>
    <w:rsid w:val="00AA52E1"/>
    <w:rsid w:val="00AB477E"/>
    <w:rsid w:val="00AB5ACF"/>
    <w:rsid w:val="00AB7098"/>
    <w:rsid w:val="00AB72CD"/>
    <w:rsid w:val="00AC07E6"/>
    <w:rsid w:val="00AC1134"/>
    <w:rsid w:val="00AC28B4"/>
    <w:rsid w:val="00AC2A37"/>
    <w:rsid w:val="00AE1280"/>
    <w:rsid w:val="00AE2DE7"/>
    <w:rsid w:val="00AF5770"/>
    <w:rsid w:val="00B00F58"/>
    <w:rsid w:val="00B038E7"/>
    <w:rsid w:val="00B04758"/>
    <w:rsid w:val="00B04D02"/>
    <w:rsid w:val="00B05D91"/>
    <w:rsid w:val="00B06CA0"/>
    <w:rsid w:val="00B06E61"/>
    <w:rsid w:val="00B06F2C"/>
    <w:rsid w:val="00B10376"/>
    <w:rsid w:val="00B128DD"/>
    <w:rsid w:val="00B14882"/>
    <w:rsid w:val="00B3462C"/>
    <w:rsid w:val="00B35AD4"/>
    <w:rsid w:val="00B4300A"/>
    <w:rsid w:val="00B430B0"/>
    <w:rsid w:val="00B4348A"/>
    <w:rsid w:val="00B44A3D"/>
    <w:rsid w:val="00B47485"/>
    <w:rsid w:val="00B53A34"/>
    <w:rsid w:val="00B54940"/>
    <w:rsid w:val="00B5719A"/>
    <w:rsid w:val="00B60AA6"/>
    <w:rsid w:val="00B621A6"/>
    <w:rsid w:val="00B643ED"/>
    <w:rsid w:val="00B65194"/>
    <w:rsid w:val="00B66F92"/>
    <w:rsid w:val="00B7524C"/>
    <w:rsid w:val="00B7664D"/>
    <w:rsid w:val="00B81687"/>
    <w:rsid w:val="00B829B6"/>
    <w:rsid w:val="00B849A0"/>
    <w:rsid w:val="00B85163"/>
    <w:rsid w:val="00B8531F"/>
    <w:rsid w:val="00B8603C"/>
    <w:rsid w:val="00B86979"/>
    <w:rsid w:val="00B928FB"/>
    <w:rsid w:val="00B96026"/>
    <w:rsid w:val="00B968FF"/>
    <w:rsid w:val="00BA059E"/>
    <w:rsid w:val="00BA2F56"/>
    <w:rsid w:val="00BA4329"/>
    <w:rsid w:val="00BB21D5"/>
    <w:rsid w:val="00BB3075"/>
    <w:rsid w:val="00BB6321"/>
    <w:rsid w:val="00BB761C"/>
    <w:rsid w:val="00BB7A9C"/>
    <w:rsid w:val="00BC1741"/>
    <w:rsid w:val="00BD0D27"/>
    <w:rsid w:val="00BD697B"/>
    <w:rsid w:val="00BE05E8"/>
    <w:rsid w:val="00BE1A60"/>
    <w:rsid w:val="00BE1F34"/>
    <w:rsid w:val="00BE3A08"/>
    <w:rsid w:val="00BE4A25"/>
    <w:rsid w:val="00BE4D04"/>
    <w:rsid w:val="00BE624D"/>
    <w:rsid w:val="00BE7FBB"/>
    <w:rsid w:val="00BF1871"/>
    <w:rsid w:val="00BF2724"/>
    <w:rsid w:val="00BF2B54"/>
    <w:rsid w:val="00BF4D70"/>
    <w:rsid w:val="00BF65A3"/>
    <w:rsid w:val="00BF6716"/>
    <w:rsid w:val="00BF6A0A"/>
    <w:rsid w:val="00BF7C0D"/>
    <w:rsid w:val="00BF7DD8"/>
    <w:rsid w:val="00C0101A"/>
    <w:rsid w:val="00C017D7"/>
    <w:rsid w:val="00C03693"/>
    <w:rsid w:val="00C05436"/>
    <w:rsid w:val="00C07CC9"/>
    <w:rsid w:val="00C107F0"/>
    <w:rsid w:val="00C11622"/>
    <w:rsid w:val="00C11BE1"/>
    <w:rsid w:val="00C128EE"/>
    <w:rsid w:val="00C14FC8"/>
    <w:rsid w:val="00C15709"/>
    <w:rsid w:val="00C166A1"/>
    <w:rsid w:val="00C17C2A"/>
    <w:rsid w:val="00C2183C"/>
    <w:rsid w:val="00C31562"/>
    <w:rsid w:val="00C326E2"/>
    <w:rsid w:val="00C371E5"/>
    <w:rsid w:val="00C37A38"/>
    <w:rsid w:val="00C4113A"/>
    <w:rsid w:val="00C457E7"/>
    <w:rsid w:val="00C45C68"/>
    <w:rsid w:val="00C46656"/>
    <w:rsid w:val="00C47131"/>
    <w:rsid w:val="00C5055E"/>
    <w:rsid w:val="00C51C8F"/>
    <w:rsid w:val="00C540E9"/>
    <w:rsid w:val="00C577AB"/>
    <w:rsid w:val="00C6097E"/>
    <w:rsid w:val="00C623F3"/>
    <w:rsid w:val="00C679A6"/>
    <w:rsid w:val="00C7330E"/>
    <w:rsid w:val="00C741A5"/>
    <w:rsid w:val="00C80495"/>
    <w:rsid w:val="00C835B0"/>
    <w:rsid w:val="00C93802"/>
    <w:rsid w:val="00C93C9F"/>
    <w:rsid w:val="00CA2BD8"/>
    <w:rsid w:val="00CA2CD4"/>
    <w:rsid w:val="00CA3B29"/>
    <w:rsid w:val="00CA47F6"/>
    <w:rsid w:val="00CA4D4D"/>
    <w:rsid w:val="00CA5996"/>
    <w:rsid w:val="00CA7C03"/>
    <w:rsid w:val="00CB5A80"/>
    <w:rsid w:val="00CB5F9F"/>
    <w:rsid w:val="00CB6B77"/>
    <w:rsid w:val="00CC1823"/>
    <w:rsid w:val="00CC2AEE"/>
    <w:rsid w:val="00CC48A1"/>
    <w:rsid w:val="00CD2767"/>
    <w:rsid w:val="00CD3736"/>
    <w:rsid w:val="00CD3C7F"/>
    <w:rsid w:val="00CD5555"/>
    <w:rsid w:val="00CD5B27"/>
    <w:rsid w:val="00CE0AA6"/>
    <w:rsid w:val="00CE0F9B"/>
    <w:rsid w:val="00CE328C"/>
    <w:rsid w:val="00CE61F1"/>
    <w:rsid w:val="00CE6880"/>
    <w:rsid w:val="00CF14BF"/>
    <w:rsid w:val="00CF1C48"/>
    <w:rsid w:val="00CF35A5"/>
    <w:rsid w:val="00CF3E9C"/>
    <w:rsid w:val="00D0207F"/>
    <w:rsid w:val="00D10CDF"/>
    <w:rsid w:val="00D127F0"/>
    <w:rsid w:val="00D13BEB"/>
    <w:rsid w:val="00D20FFD"/>
    <w:rsid w:val="00D210B2"/>
    <w:rsid w:val="00D21CAB"/>
    <w:rsid w:val="00D2474A"/>
    <w:rsid w:val="00D259A6"/>
    <w:rsid w:val="00D271FB"/>
    <w:rsid w:val="00D318A1"/>
    <w:rsid w:val="00D35516"/>
    <w:rsid w:val="00D42A18"/>
    <w:rsid w:val="00D42A2B"/>
    <w:rsid w:val="00D43F41"/>
    <w:rsid w:val="00D53899"/>
    <w:rsid w:val="00D600D6"/>
    <w:rsid w:val="00D61F50"/>
    <w:rsid w:val="00D63584"/>
    <w:rsid w:val="00D729E7"/>
    <w:rsid w:val="00D7732F"/>
    <w:rsid w:val="00D8010D"/>
    <w:rsid w:val="00D8248D"/>
    <w:rsid w:val="00D83FF3"/>
    <w:rsid w:val="00D8701C"/>
    <w:rsid w:val="00D92BCE"/>
    <w:rsid w:val="00D93962"/>
    <w:rsid w:val="00D95542"/>
    <w:rsid w:val="00D96ED6"/>
    <w:rsid w:val="00D973DC"/>
    <w:rsid w:val="00DA18AA"/>
    <w:rsid w:val="00DA2A05"/>
    <w:rsid w:val="00DA3CA5"/>
    <w:rsid w:val="00DA42C9"/>
    <w:rsid w:val="00DA4706"/>
    <w:rsid w:val="00DA4B04"/>
    <w:rsid w:val="00DA7475"/>
    <w:rsid w:val="00DA7792"/>
    <w:rsid w:val="00DB0BA8"/>
    <w:rsid w:val="00DC0D03"/>
    <w:rsid w:val="00DC139C"/>
    <w:rsid w:val="00DC2419"/>
    <w:rsid w:val="00DC494E"/>
    <w:rsid w:val="00DC4D8C"/>
    <w:rsid w:val="00DC5239"/>
    <w:rsid w:val="00DD1F66"/>
    <w:rsid w:val="00DD603F"/>
    <w:rsid w:val="00DD7E32"/>
    <w:rsid w:val="00DE056B"/>
    <w:rsid w:val="00DE4843"/>
    <w:rsid w:val="00DE5493"/>
    <w:rsid w:val="00DF152E"/>
    <w:rsid w:val="00DF1846"/>
    <w:rsid w:val="00DF26F2"/>
    <w:rsid w:val="00DF4780"/>
    <w:rsid w:val="00E00023"/>
    <w:rsid w:val="00E001C5"/>
    <w:rsid w:val="00E0532D"/>
    <w:rsid w:val="00E056B7"/>
    <w:rsid w:val="00E07B23"/>
    <w:rsid w:val="00E11E21"/>
    <w:rsid w:val="00E122DB"/>
    <w:rsid w:val="00E1327F"/>
    <w:rsid w:val="00E167E5"/>
    <w:rsid w:val="00E16DAF"/>
    <w:rsid w:val="00E212C3"/>
    <w:rsid w:val="00E22548"/>
    <w:rsid w:val="00E234BC"/>
    <w:rsid w:val="00E239AB"/>
    <w:rsid w:val="00E30434"/>
    <w:rsid w:val="00E3185A"/>
    <w:rsid w:val="00E33558"/>
    <w:rsid w:val="00E36B9C"/>
    <w:rsid w:val="00E376DE"/>
    <w:rsid w:val="00E40A2D"/>
    <w:rsid w:val="00E41538"/>
    <w:rsid w:val="00E424B9"/>
    <w:rsid w:val="00E4342D"/>
    <w:rsid w:val="00E43B8F"/>
    <w:rsid w:val="00E45E23"/>
    <w:rsid w:val="00E469C5"/>
    <w:rsid w:val="00E50FE2"/>
    <w:rsid w:val="00E527FB"/>
    <w:rsid w:val="00E534C8"/>
    <w:rsid w:val="00E601BF"/>
    <w:rsid w:val="00E60E04"/>
    <w:rsid w:val="00E62739"/>
    <w:rsid w:val="00E64CBB"/>
    <w:rsid w:val="00E66CFB"/>
    <w:rsid w:val="00E67773"/>
    <w:rsid w:val="00E67FDF"/>
    <w:rsid w:val="00E74D09"/>
    <w:rsid w:val="00E7616B"/>
    <w:rsid w:val="00E761CA"/>
    <w:rsid w:val="00E76FA2"/>
    <w:rsid w:val="00E77315"/>
    <w:rsid w:val="00E80856"/>
    <w:rsid w:val="00E83FA3"/>
    <w:rsid w:val="00E846EB"/>
    <w:rsid w:val="00E853B6"/>
    <w:rsid w:val="00E8749D"/>
    <w:rsid w:val="00EA0126"/>
    <w:rsid w:val="00EB6616"/>
    <w:rsid w:val="00EB738A"/>
    <w:rsid w:val="00EB74DE"/>
    <w:rsid w:val="00EC0090"/>
    <w:rsid w:val="00EC1DA7"/>
    <w:rsid w:val="00EC387C"/>
    <w:rsid w:val="00EC4CB0"/>
    <w:rsid w:val="00EC6BC1"/>
    <w:rsid w:val="00ED368A"/>
    <w:rsid w:val="00ED36A1"/>
    <w:rsid w:val="00ED5268"/>
    <w:rsid w:val="00EE1ECF"/>
    <w:rsid w:val="00EE3B71"/>
    <w:rsid w:val="00EE4B17"/>
    <w:rsid w:val="00EE5543"/>
    <w:rsid w:val="00EF0552"/>
    <w:rsid w:val="00EF3F83"/>
    <w:rsid w:val="00EF481B"/>
    <w:rsid w:val="00EF7721"/>
    <w:rsid w:val="00F072BB"/>
    <w:rsid w:val="00F128E6"/>
    <w:rsid w:val="00F12BB6"/>
    <w:rsid w:val="00F14BC4"/>
    <w:rsid w:val="00F245F3"/>
    <w:rsid w:val="00F24608"/>
    <w:rsid w:val="00F2493E"/>
    <w:rsid w:val="00F30E23"/>
    <w:rsid w:val="00F31CAB"/>
    <w:rsid w:val="00F33628"/>
    <w:rsid w:val="00F37587"/>
    <w:rsid w:val="00F401CD"/>
    <w:rsid w:val="00F456FB"/>
    <w:rsid w:val="00F4770D"/>
    <w:rsid w:val="00F52255"/>
    <w:rsid w:val="00F52C69"/>
    <w:rsid w:val="00F52D51"/>
    <w:rsid w:val="00F61265"/>
    <w:rsid w:val="00F6130F"/>
    <w:rsid w:val="00F6401E"/>
    <w:rsid w:val="00F67648"/>
    <w:rsid w:val="00F711E3"/>
    <w:rsid w:val="00F72D30"/>
    <w:rsid w:val="00F7554D"/>
    <w:rsid w:val="00F77612"/>
    <w:rsid w:val="00F801BE"/>
    <w:rsid w:val="00F8033A"/>
    <w:rsid w:val="00F80670"/>
    <w:rsid w:val="00F82781"/>
    <w:rsid w:val="00F82D83"/>
    <w:rsid w:val="00F92DB4"/>
    <w:rsid w:val="00F92F40"/>
    <w:rsid w:val="00F94428"/>
    <w:rsid w:val="00F9510E"/>
    <w:rsid w:val="00F97201"/>
    <w:rsid w:val="00FA378E"/>
    <w:rsid w:val="00FA51E8"/>
    <w:rsid w:val="00FB1308"/>
    <w:rsid w:val="00FB1325"/>
    <w:rsid w:val="00FB17F5"/>
    <w:rsid w:val="00FB78EF"/>
    <w:rsid w:val="00FC03BA"/>
    <w:rsid w:val="00FC0635"/>
    <w:rsid w:val="00FC1789"/>
    <w:rsid w:val="00FC32AB"/>
    <w:rsid w:val="00FC6840"/>
    <w:rsid w:val="00FC78BF"/>
    <w:rsid w:val="00FD0DD1"/>
    <w:rsid w:val="00FD3983"/>
    <w:rsid w:val="00FD6793"/>
    <w:rsid w:val="00FD7109"/>
    <w:rsid w:val="00FD7C2B"/>
    <w:rsid w:val="00FD7F3F"/>
    <w:rsid w:val="00FE00F3"/>
    <w:rsid w:val="00FE09B1"/>
    <w:rsid w:val="00FE3088"/>
    <w:rsid w:val="00FE32A6"/>
    <w:rsid w:val="00FE6745"/>
    <w:rsid w:val="00FE6972"/>
    <w:rsid w:val="00FE79A6"/>
    <w:rsid w:val="00FE7A37"/>
    <w:rsid w:val="00FF2B10"/>
    <w:rsid w:val="00FF5CC7"/>
    <w:rsid w:val="00FF71C7"/>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B03E"/>
  <w15:chartTrackingRefBased/>
  <w15:docId w15:val="{8AF3CDC6-05FA-4CB8-BE94-8D597631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D36A1"/>
    <w:pPr>
      <w:spacing w:after="0" w:line="360" w:lineRule="auto"/>
    </w:pPr>
    <w:rPr>
      <w:rFonts w:ascii="Arial" w:eastAsia="等线" w:hAnsi="Arial" w:cs="Arial"/>
      <w:kern w:val="0"/>
      <w:sz w:val="22"/>
      <w:szCs w:val="22"/>
      <w14:ligatures w14:val="none"/>
    </w:rPr>
  </w:style>
  <w:style w:type="paragraph" w:styleId="Heading1">
    <w:name w:val="heading 1"/>
    <w:basedOn w:val="Normal"/>
    <w:next w:val="Normal"/>
    <w:link w:val="Heading1Char"/>
    <w:uiPriority w:val="9"/>
    <w:qFormat/>
    <w:rsid w:val="00871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4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4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4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4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438"/>
    <w:rPr>
      <w:rFonts w:eastAsiaTheme="majorEastAsia" w:cstheme="majorBidi"/>
      <w:color w:val="272727" w:themeColor="text1" w:themeTint="D8"/>
    </w:rPr>
  </w:style>
  <w:style w:type="paragraph" w:styleId="Title">
    <w:name w:val="Title"/>
    <w:basedOn w:val="Normal"/>
    <w:next w:val="Normal"/>
    <w:link w:val="TitleChar"/>
    <w:uiPriority w:val="10"/>
    <w:qFormat/>
    <w:rsid w:val="00871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438"/>
    <w:pPr>
      <w:spacing w:before="160"/>
      <w:jc w:val="center"/>
    </w:pPr>
    <w:rPr>
      <w:i/>
      <w:iCs/>
      <w:color w:val="404040" w:themeColor="text1" w:themeTint="BF"/>
    </w:rPr>
  </w:style>
  <w:style w:type="character" w:customStyle="1" w:styleId="QuoteChar">
    <w:name w:val="Quote Char"/>
    <w:basedOn w:val="DefaultParagraphFont"/>
    <w:link w:val="Quote"/>
    <w:uiPriority w:val="29"/>
    <w:rsid w:val="00871438"/>
    <w:rPr>
      <w:i/>
      <w:iCs/>
      <w:color w:val="404040" w:themeColor="text1" w:themeTint="BF"/>
    </w:rPr>
  </w:style>
  <w:style w:type="paragraph" w:styleId="ListParagraph">
    <w:name w:val="List Paragraph"/>
    <w:basedOn w:val="Normal"/>
    <w:link w:val="ListParagraphChar"/>
    <w:uiPriority w:val="34"/>
    <w:qFormat/>
    <w:rsid w:val="00871438"/>
    <w:pPr>
      <w:ind w:left="720"/>
      <w:contextualSpacing/>
    </w:pPr>
  </w:style>
  <w:style w:type="character" w:styleId="IntenseEmphasis">
    <w:name w:val="Intense Emphasis"/>
    <w:basedOn w:val="DefaultParagraphFont"/>
    <w:uiPriority w:val="21"/>
    <w:qFormat/>
    <w:rsid w:val="00871438"/>
    <w:rPr>
      <w:i/>
      <w:iCs/>
      <w:color w:val="0F4761" w:themeColor="accent1" w:themeShade="BF"/>
    </w:rPr>
  </w:style>
  <w:style w:type="paragraph" w:styleId="IntenseQuote">
    <w:name w:val="Intense Quote"/>
    <w:basedOn w:val="Normal"/>
    <w:next w:val="Normal"/>
    <w:link w:val="IntenseQuoteChar"/>
    <w:uiPriority w:val="30"/>
    <w:qFormat/>
    <w:rsid w:val="00871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438"/>
    <w:rPr>
      <w:i/>
      <w:iCs/>
      <w:color w:val="0F4761" w:themeColor="accent1" w:themeShade="BF"/>
    </w:rPr>
  </w:style>
  <w:style w:type="character" w:styleId="IntenseReference">
    <w:name w:val="Intense Reference"/>
    <w:basedOn w:val="DefaultParagraphFont"/>
    <w:uiPriority w:val="32"/>
    <w:qFormat/>
    <w:rsid w:val="00871438"/>
    <w:rPr>
      <w:b/>
      <w:bCs/>
      <w:smallCaps/>
      <w:color w:val="0F4761" w:themeColor="accent1" w:themeShade="BF"/>
      <w:spacing w:val="5"/>
    </w:rPr>
  </w:style>
  <w:style w:type="paragraph" w:styleId="FootnoteText">
    <w:name w:val="footnote text"/>
    <w:basedOn w:val="Normal"/>
    <w:link w:val="FootnoteTextChar"/>
    <w:uiPriority w:val="99"/>
    <w:semiHidden/>
    <w:unhideWhenUsed/>
    <w:rsid w:val="00ED36A1"/>
    <w:rPr>
      <w:rFonts w:ascii="Aptos" w:hAnsi="Aptos" w:cs="Times New Roman"/>
      <w:kern w:val="2"/>
      <w:sz w:val="20"/>
      <w:szCs w:val="20"/>
    </w:rPr>
  </w:style>
  <w:style w:type="character" w:customStyle="1" w:styleId="FootnoteTextChar">
    <w:name w:val="Footnote Text Char"/>
    <w:basedOn w:val="DefaultParagraphFont"/>
    <w:link w:val="FootnoteText"/>
    <w:uiPriority w:val="99"/>
    <w:semiHidden/>
    <w:rsid w:val="00ED36A1"/>
    <w:rPr>
      <w:rFonts w:ascii="Aptos" w:eastAsia="等线" w:hAnsi="Aptos" w:cs="Times New Roman"/>
      <w:sz w:val="20"/>
      <w:szCs w:val="20"/>
      <w14:ligatures w14:val="none"/>
    </w:rPr>
  </w:style>
  <w:style w:type="character" w:styleId="FootnoteReference">
    <w:name w:val="footnote reference"/>
    <w:uiPriority w:val="99"/>
    <w:semiHidden/>
    <w:unhideWhenUsed/>
    <w:rsid w:val="00ED36A1"/>
    <w:rPr>
      <w:vertAlign w:val="superscript"/>
    </w:rPr>
  </w:style>
  <w:style w:type="paragraph" w:styleId="BodyText">
    <w:name w:val="Body Text"/>
    <w:basedOn w:val="Normal"/>
    <w:link w:val="BodyTextChar"/>
    <w:uiPriority w:val="1"/>
    <w:qFormat/>
    <w:rsid w:val="005D4E7E"/>
    <w:rPr>
      <w:b/>
      <w:bCs/>
      <w:u w:val="single"/>
    </w:rPr>
  </w:style>
  <w:style w:type="character" w:customStyle="1" w:styleId="BodyTextChar">
    <w:name w:val="Body Text Char"/>
    <w:basedOn w:val="DefaultParagraphFont"/>
    <w:link w:val="BodyText"/>
    <w:uiPriority w:val="99"/>
    <w:rsid w:val="005D4E7E"/>
    <w:rPr>
      <w:rFonts w:ascii="Arial" w:eastAsia="等线" w:hAnsi="Arial" w:cs="Arial"/>
      <w:b/>
      <w:bCs/>
      <w:kern w:val="0"/>
      <w:sz w:val="22"/>
      <w:szCs w:val="22"/>
      <w:u w:val="single"/>
      <w14:ligatures w14:val="none"/>
    </w:rPr>
  </w:style>
  <w:style w:type="character" w:styleId="Hyperlink">
    <w:name w:val="Hyperlink"/>
    <w:basedOn w:val="DefaultParagraphFont"/>
    <w:uiPriority w:val="99"/>
    <w:unhideWhenUsed/>
    <w:rsid w:val="002818D1"/>
    <w:rPr>
      <w:color w:val="467886" w:themeColor="hyperlink"/>
      <w:u w:val="single"/>
    </w:rPr>
  </w:style>
  <w:style w:type="character" w:styleId="UnresolvedMention">
    <w:name w:val="Unresolved Mention"/>
    <w:basedOn w:val="DefaultParagraphFont"/>
    <w:uiPriority w:val="99"/>
    <w:semiHidden/>
    <w:unhideWhenUsed/>
    <w:rsid w:val="002818D1"/>
    <w:rPr>
      <w:color w:val="605E5C"/>
      <w:shd w:val="clear" w:color="auto" w:fill="E1DFDD"/>
    </w:rPr>
  </w:style>
  <w:style w:type="character" w:customStyle="1" w:styleId="fontstyle01">
    <w:name w:val="fontstyle01"/>
    <w:basedOn w:val="DefaultParagraphFont"/>
    <w:rsid w:val="001F389C"/>
    <w:rPr>
      <w:rFonts w:ascii="Montserrat-Regular" w:hAnsi="Montserrat-Regular" w:hint="default"/>
      <w:b w:val="0"/>
      <w:bCs w:val="0"/>
      <w:i w:val="0"/>
      <w:iCs w:val="0"/>
      <w:color w:val="3C3C3B"/>
      <w:sz w:val="24"/>
      <w:szCs w:val="24"/>
    </w:rPr>
  </w:style>
  <w:style w:type="character" w:customStyle="1" w:styleId="ListParagraphChar">
    <w:name w:val="List Paragraph Char"/>
    <w:link w:val="ListParagraph"/>
    <w:uiPriority w:val="34"/>
    <w:qFormat/>
    <w:locked/>
    <w:rsid w:val="00720EC4"/>
    <w:rPr>
      <w:rFonts w:ascii="Arial" w:eastAsia="等线"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76156">
      <w:bodyDiv w:val="1"/>
      <w:marLeft w:val="0"/>
      <w:marRight w:val="0"/>
      <w:marTop w:val="0"/>
      <w:marBottom w:val="0"/>
      <w:divBdr>
        <w:top w:val="none" w:sz="0" w:space="0" w:color="auto"/>
        <w:left w:val="none" w:sz="0" w:space="0" w:color="auto"/>
        <w:bottom w:val="none" w:sz="0" w:space="0" w:color="auto"/>
        <w:right w:val="none" w:sz="0" w:space="0" w:color="auto"/>
      </w:divBdr>
    </w:div>
    <w:div w:id="23602110">
      <w:bodyDiv w:val="1"/>
      <w:marLeft w:val="0"/>
      <w:marRight w:val="0"/>
      <w:marTop w:val="0"/>
      <w:marBottom w:val="0"/>
      <w:divBdr>
        <w:top w:val="none" w:sz="0" w:space="0" w:color="auto"/>
        <w:left w:val="none" w:sz="0" w:space="0" w:color="auto"/>
        <w:bottom w:val="none" w:sz="0" w:space="0" w:color="auto"/>
        <w:right w:val="none" w:sz="0" w:space="0" w:color="auto"/>
      </w:divBdr>
    </w:div>
    <w:div w:id="48892472">
      <w:bodyDiv w:val="1"/>
      <w:marLeft w:val="0"/>
      <w:marRight w:val="0"/>
      <w:marTop w:val="0"/>
      <w:marBottom w:val="0"/>
      <w:divBdr>
        <w:top w:val="none" w:sz="0" w:space="0" w:color="auto"/>
        <w:left w:val="none" w:sz="0" w:space="0" w:color="auto"/>
        <w:bottom w:val="none" w:sz="0" w:space="0" w:color="auto"/>
        <w:right w:val="none" w:sz="0" w:space="0" w:color="auto"/>
      </w:divBdr>
    </w:div>
    <w:div w:id="59640612">
      <w:bodyDiv w:val="1"/>
      <w:marLeft w:val="0"/>
      <w:marRight w:val="0"/>
      <w:marTop w:val="0"/>
      <w:marBottom w:val="0"/>
      <w:divBdr>
        <w:top w:val="none" w:sz="0" w:space="0" w:color="auto"/>
        <w:left w:val="none" w:sz="0" w:space="0" w:color="auto"/>
        <w:bottom w:val="none" w:sz="0" w:space="0" w:color="auto"/>
        <w:right w:val="none" w:sz="0" w:space="0" w:color="auto"/>
      </w:divBdr>
    </w:div>
    <w:div w:id="59714533">
      <w:bodyDiv w:val="1"/>
      <w:marLeft w:val="0"/>
      <w:marRight w:val="0"/>
      <w:marTop w:val="0"/>
      <w:marBottom w:val="0"/>
      <w:divBdr>
        <w:top w:val="none" w:sz="0" w:space="0" w:color="auto"/>
        <w:left w:val="none" w:sz="0" w:space="0" w:color="auto"/>
        <w:bottom w:val="none" w:sz="0" w:space="0" w:color="auto"/>
        <w:right w:val="none" w:sz="0" w:space="0" w:color="auto"/>
      </w:divBdr>
    </w:div>
    <w:div w:id="99952863">
      <w:bodyDiv w:val="1"/>
      <w:marLeft w:val="0"/>
      <w:marRight w:val="0"/>
      <w:marTop w:val="0"/>
      <w:marBottom w:val="0"/>
      <w:divBdr>
        <w:top w:val="none" w:sz="0" w:space="0" w:color="auto"/>
        <w:left w:val="none" w:sz="0" w:space="0" w:color="auto"/>
        <w:bottom w:val="none" w:sz="0" w:space="0" w:color="auto"/>
        <w:right w:val="none" w:sz="0" w:space="0" w:color="auto"/>
      </w:divBdr>
    </w:div>
    <w:div w:id="143399962">
      <w:bodyDiv w:val="1"/>
      <w:marLeft w:val="0"/>
      <w:marRight w:val="0"/>
      <w:marTop w:val="0"/>
      <w:marBottom w:val="0"/>
      <w:divBdr>
        <w:top w:val="none" w:sz="0" w:space="0" w:color="auto"/>
        <w:left w:val="none" w:sz="0" w:space="0" w:color="auto"/>
        <w:bottom w:val="none" w:sz="0" w:space="0" w:color="auto"/>
        <w:right w:val="none" w:sz="0" w:space="0" w:color="auto"/>
      </w:divBdr>
    </w:div>
    <w:div w:id="144932400">
      <w:bodyDiv w:val="1"/>
      <w:marLeft w:val="0"/>
      <w:marRight w:val="0"/>
      <w:marTop w:val="0"/>
      <w:marBottom w:val="0"/>
      <w:divBdr>
        <w:top w:val="none" w:sz="0" w:space="0" w:color="auto"/>
        <w:left w:val="none" w:sz="0" w:space="0" w:color="auto"/>
        <w:bottom w:val="none" w:sz="0" w:space="0" w:color="auto"/>
        <w:right w:val="none" w:sz="0" w:space="0" w:color="auto"/>
      </w:divBdr>
    </w:div>
    <w:div w:id="174081366">
      <w:bodyDiv w:val="1"/>
      <w:marLeft w:val="0"/>
      <w:marRight w:val="0"/>
      <w:marTop w:val="0"/>
      <w:marBottom w:val="0"/>
      <w:divBdr>
        <w:top w:val="none" w:sz="0" w:space="0" w:color="auto"/>
        <w:left w:val="none" w:sz="0" w:space="0" w:color="auto"/>
        <w:bottom w:val="none" w:sz="0" w:space="0" w:color="auto"/>
        <w:right w:val="none" w:sz="0" w:space="0" w:color="auto"/>
      </w:divBdr>
    </w:div>
    <w:div w:id="175310892">
      <w:bodyDiv w:val="1"/>
      <w:marLeft w:val="0"/>
      <w:marRight w:val="0"/>
      <w:marTop w:val="0"/>
      <w:marBottom w:val="0"/>
      <w:divBdr>
        <w:top w:val="none" w:sz="0" w:space="0" w:color="auto"/>
        <w:left w:val="none" w:sz="0" w:space="0" w:color="auto"/>
        <w:bottom w:val="none" w:sz="0" w:space="0" w:color="auto"/>
        <w:right w:val="none" w:sz="0" w:space="0" w:color="auto"/>
      </w:divBdr>
    </w:div>
    <w:div w:id="175772859">
      <w:bodyDiv w:val="1"/>
      <w:marLeft w:val="0"/>
      <w:marRight w:val="0"/>
      <w:marTop w:val="0"/>
      <w:marBottom w:val="0"/>
      <w:divBdr>
        <w:top w:val="none" w:sz="0" w:space="0" w:color="auto"/>
        <w:left w:val="none" w:sz="0" w:space="0" w:color="auto"/>
        <w:bottom w:val="none" w:sz="0" w:space="0" w:color="auto"/>
        <w:right w:val="none" w:sz="0" w:space="0" w:color="auto"/>
      </w:divBdr>
    </w:div>
    <w:div w:id="177890425">
      <w:bodyDiv w:val="1"/>
      <w:marLeft w:val="0"/>
      <w:marRight w:val="0"/>
      <w:marTop w:val="0"/>
      <w:marBottom w:val="0"/>
      <w:divBdr>
        <w:top w:val="none" w:sz="0" w:space="0" w:color="auto"/>
        <w:left w:val="none" w:sz="0" w:space="0" w:color="auto"/>
        <w:bottom w:val="none" w:sz="0" w:space="0" w:color="auto"/>
        <w:right w:val="none" w:sz="0" w:space="0" w:color="auto"/>
      </w:divBdr>
    </w:div>
    <w:div w:id="190579882">
      <w:bodyDiv w:val="1"/>
      <w:marLeft w:val="0"/>
      <w:marRight w:val="0"/>
      <w:marTop w:val="0"/>
      <w:marBottom w:val="0"/>
      <w:divBdr>
        <w:top w:val="none" w:sz="0" w:space="0" w:color="auto"/>
        <w:left w:val="none" w:sz="0" w:space="0" w:color="auto"/>
        <w:bottom w:val="none" w:sz="0" w:space="0" w:color="auto"/>
        <w:right w:val="none" w:sz="0" w:space="0" w:color="auto"/>
      </w:divBdr>
    </w:div>
    <w:div w:id="191891129">
      <w:bodyDiv w:val="1"/>
      <w:marLeft w:val="0"/>
      <w:marRight w:val="0"/>
      <w:marTop w:val="0"/>
      <w:marBottom w:val="0"/>
      <w:divBdr>
        <w:top w:val="none" w:sz="0" w:space="0" w:color="auto"/>
        <w:left w:val="none" w:sz="0" w:space="0" w:color="auto"/>
        <w:bottom w:val="none" w:sz="0" w:space="0" w:color="auto"/>
        <w:right w:val="none" w:sz="0" w:space="0" w:color="auto"/>
      </w:divBdr>
    </w:div>
    <w:div w:id="213659651">
      <w:bodyDiv w:val="1"/>
      <w:marLeft w:val="0"/>
      <w:marRight w:val="0"/>
      <w:marTop w:val="0"/>
      <w:marBottom w:val="0"/>
      <w:divBdr>
        <w:top w:val="none" w:sz="0" w:space="0" w:color="auto"/>
        <w:left w:val="none" w:sz="0" w:space="0" w:color="auto"/>
        <w:bottom w:val="none" w:sz="0" w:space="0" w:color="auto"/>
        <w:right w:val="none" w:sz="0" w:space="0" w:color="auto"/>
      </w:divBdr>
    </w:div>
    <w:div w:id="230967696">
      <w:bodyDiv w:val="1"/>
      <w:marLeft w:val="0"/>
      <w:marRight w:val="0"/>
      <w:marTop w:val="0"/>
      <w:marBottom w:val="0"/>
      <w:divBdr>
        <w:top w:val="none" w:sz="0" w:space="0" w:color="auto"/>
        <w:left w:val="none" w:sz="0" w:space="0" w:color="auto"/>
        <w:bottom w:val="none" w:sz="0" w:space="0" w:color="auto"/>
        <w:right w:val="none" w:sz="0" w:space="0" w:color="auto"/>
      </w:divBdr>
    </w:div>
    <w:div w:id="238442148">
      <w:bodyDiv w:val="1"/>
      <w:marLeft w:val="0"/>
      <w:marRight w:val="0"/>
      <w:marTop w:val="0"/>
      <w:marBottom w:val="0"/>
      <w:divBdr>
        <w:top w:val="none" w:sz="0" w:space="0" w:color="auto"/>
        <w:left w:val="none" w:sz="0" w:space="0" w:color="auto"/>
        <w:bottom w:val="none" w:sz="0" w:space="0" w:color="auto"/>
        <w:right w:val="none" w:sz="0" w:space="0" w:color="auto"/>
      </w:divBdr>
      <w:divsChild>
        <w:div w:id="3944628">
          <w:marLeft w:val="0"/>
          <w:marRight w:val="0"/>
          <w:marTop w:val="0"/>
          <w:marBottom w:val="0"/>
          <w:divBdr>
            <w:top w:val="none" w:sz="0" w:space="0" w:color="auto"/>
            <w:left w:val="none" w:sz="0" w:space="0" w:color="auto"/>
            <w:bottom w:val="none" w:sz="0" w:space="0" w:color="auto"/>
            <w:right w:val="none" w:sz="0" w:space="0" w:color="auto"/>
          </w:divBdr>
        </w:div>
        <w:div w:id="1865748680">
          <w:marLeft w:val="0"/>
          <w:marRight w:val="0"/>
          <w:marTop w:val="0"/>
          <w:marBottom w:val="0"/>
          <w:divBdr>
            <w:top w:val="none" w:sz="0" w:space="0" w:color="auto"/>
            <w:left w:val="none" w:sz="0" w:space="0" w:color="auto"/>
            <w:bottom w:val="none" w:sz="0" w:space="0" w:color="auto"/>
            <w:right w:val="none" w:sz="0" w:space="0" w:color="auto"/>
          </w:divBdr>
        </w:div>
        <w:div w:id="1321156459">
          <w:marLeft w:val="0"/>
          <w:marRight w:val="0"/>
          <w:marTop w:val="0"/>
          <w:marBottom w:val="0"/>
          <w:divBdr>
            <w:top w:val="none" w:sz="0" w:space="0" w:color="auto"/>
            <w:left w:val="none" w:sz="0" w:space="0" w:color="auto"/>
            <w:bottom w:val="none" w:sz="0" w:space="0" w:color="auto"/>
            <w:right w:val="none" w:sz="0" w:space="0" w:color="auto"/>
          </w:divBdr>
        </w:div>
      </w:divsChild>
    </w:div>
    <w:div w:id="267007161">
      <w:bodyDiv w:val="1"/>
      <w:marLeft w:val="0"/>
      <w:marRight w:val="0"/>
      <w:marTop w:val="0"/>
      <w:marBottom w:val="0"/>
      <w:divBdr>
        <w:top w:val="none" w:sz="0" w:space="0" w:color="auto"/>
        <w:left w:val="none" w:sz="0" w:space="0" w:color="auto"/>
        <w:bottom w:val="none" w:sz="0" w:space="0" w:color="auto"/>
        <w:right w:val="none" w:sz="0" w:space="0" w:color="auto"/>
      </w:divBdr>
    </w:div>
    <w:div w:id="274093979">
      <w:bodyDiv w:val="1"/>
      <w:marLeft w:val="0"/>
      <w:marRight w:val="0"/>
      <w:marTop w:val="0"/>
      <w:marBottom w:val="0"/>
      <w:divBdr>
        <w:top w:val="none" w:sz="0" w:space="0" w:color="auto"/>
        <w:left w:val="none" w:sz="0" w:space="0" w:color="auto"/>
        <w:bottom w:val="none" w:sz="0" w:space="0" w:color="auto"/>
        <w:right w:val="none" w:sz="0" w:space="0" w:color="auto"/>
      </w:divBdr>
    </w:div>
    <w:div w:id="280187669">
      <w:bodyDiv w:val="1"/>
      <w:marLeft w:val="0"/>
      <w:marRight w:val="0"/>
      <w:marTop w:val="0"/>
      <w:marBottom w:val="0"/>
      <w:divBdr>
        <w:top w:val="none" w:sz="0" w:space="0" w:color="auto"/>
        <w:left w:val="none" w:sz="0" w:space="0" w:color="auto"/>
        <w:bottom w:val="none" w:sz="0" w:space="0" w:color="auto"/>
        <w:right w:val="none" w:sz="0" w:space="0" w:color="auto"/>
      </w:divBdr>
    </w:div>
    <w:div w:id="287928932">
      <w:bodyDiv w:val="1"/>
      <w:marLeft w:val="0"/>
      <w:marRight w:val="0"/>
      <w:marTop w:val="0"/>
      <w:marBottom w:val="0"/>
      <w:divBdr>
        <w:top w:val="none" w:sz="0" w:space="0" w:color="auto"/>
        <w:left w:val="none" w:sz="0" w:space="0" w:color="auto"/>
        <w:bottom w:val="none" w:sz="0" w:space="0" w:color="auto"/>
        <w:right w:val="none" w:sz="0" w:space="0" w:color="auto"/>
      </w:divBdr>
    </w:div>
    <w:div w:id="311099645">
      <w:bodyDiv w:val="1"/>
      <w:marLeft w:val="0"/>
      <w:marRight w:val="0"/>
      <w:marTop w:val="0"/>
      <w:marBottom w:val="0"/>
      <w:divBdr>
        <w:top w:val="none" w:sz="0" w:space="0" w:color="auto"/>
        <w:left w:val="none" w:sz="0" w:space="0" w:color="auto"/>
        <w:bottom w:val="none" w:sz="0" w:space="0" w:color="auto"/>
        <w:right w:val="none" w:sz="0" w:space="0" w:color="auto"/>
      </w:divBdr>
    </w:div>
    <w:div w:id="312177116">
      <w:bodyDiv w:val="1"/>
      <w:marLeft w:val="0"/>
      <w:marRight w:val="0"/>
      <w:marTop w:val="0"/>
      <w:marBottom w:val="0"/>
      <w:divBdr>
        <w:top w:val="none" w:sz="0" w:space="0" w:color="auto"/>
        <w:left w:val="none" w:sz="0" w:space="0" w:color="auto"/>
        <w:bottom w:val="none" w:sz="0" w:space="0" w:color="auto"/>
        <w:right w:val="none" w:sz="0" w:space="0" w:color="auto"/>
      </w:divBdr>
    </w:div>
    <w:div w:id="337856287">
      <w:bodyDiv w:val="1"/>
      <w:marLeft w:val="0"/>
      <w:marRight w:val="0"/>
      <w:marTop w:val="0"/>
      <w:marBottom w:val="0"/>
      <w:divBdr>
        <w:top w:val="none" w:sz="0" w:space="0" w:color="auto"/>
        <w:left w:val="none" w:sz="0" w:space="0" w:color="auto"/>
        <w:bottom w:val="none" w:sz="0" w:space="0" w:color="auto"/>
        <w:right w:val="none" w:sz="0" w:space="0" w:color="auto"/>
      </w:divBdr>
    </w:div>
    <w:div w:id="354700591">
      <w:bodyDiv w:val="1"/>
      <w:marLeft w:val="0"/>
      <w:marRight w:val="0"/>
      <w:marTop w:val="0"/>
      <w:marBottom w:val="0"/>
      <w:divBdr>
        <w:top w:val="none" w:sz="0" w:space="0" w:color="auto"/>
        <w:left w:val="none" w:sz="0" w:space="0" w:color="auto"/>
        <w:bottom w:val="none" w:sz="0" w:space="0" w:color="auto"/>
        <w:right w:val="none" w:sz="0" w:space="0" w:color="auto"/>
      </w:divBdr>
    </w:div>
    <w:div w:id="358898527">
      <w:bodyDiv w:val="1"/>
      <w:marLeft w:val="0"/>
      <w:marRight w:val="0"/>
      <w:marTop w:val="0"/>
      <w:marBottom w:val="0"/>
      <w:divBdr>
        <w:top w:val="none" w:sz="0" w:space="0" w:color="auto"/>
        <w:left w:val="none" w:sz="0" w:space="0" w:color="auto"/>
        <w:bottom w:val="none" w:sz="0" w:space="0" w:color="auto"/>
        <w:right w:val="none" w:sz="0" w:space="0" w:color="auto"/>
      </w:divBdr>
    </w:div>
    <w:div w:id="366103375">
      <w:bodyDiv w:val="1"/>
      <w:marLeft w:val="0"/>
      <w:marRight w:val="0"/>
      <w:marTop w:val="0"/>
      <w:marBottom w:val="0"/>
      <w:divBdr>
        <w:top w:val="none" w:sz="0" w:space="0" w:color="auto"/>
        <w:left w:val="none" w:sz="0" w:space="0" w:color="auto"/>
        <w:bottom w:val="none" w:sz="0" w:space="0" w:color="auto"/>
        <w:right w:val="none" w:sz="0" w:space="0" w:color="auto"/>
      </w:divBdr>
    </w:div>
    <w:div w:id="370307641">
      <w:bodyDiv w:val="1"/>
      <w:marLeft w:val="0"/>
      <w:marRight w:val="0"/>
      <w:marTop w:val="0"/>
      <w:marBottom w:val="0"/>
      <w:divBdr>
        <w:top w:val="none" w:sz="0" w:space="0" w:color="auto"/>
        <w:left w:val="none" w:sz="0" w:space="0" w:color="auto"/>
        <w:bottom w:val="none" w:sz="0" w:space="0" w:color="auto"/>
        <w:right w:val="none" w:sz="0" w:space="0" w:color="auto"/>
      </w:divBdr>
    </w:div>
    <w:div w:id="375200754">
      <w:bodyDiv w:val="1"/>
      <w:marLeft w:val="0"/>
      <w:marRight w:val="0"/>
      <w:marTop w:val="0"/>
      <w:marBottom w:val="0"/>
      <w:divBdr>
        <w:top w:val="none" w:sz="0" w:space="0" w:color="auto"/>
        <w:left w:val="none" w:sz="0" w:space="0" w:color="auto"/>
        <w:bottom w:val="none" w:sz="0" w:space="0" w:color="auto"/>
        <w:right w:val="none" w:sz="0" w:space="0" w:color="auto"/>
      </w:divBdr>
      <w:divsChild>
        <w:div w:id="1205211837">
          <w:marLeft w:val="0"/>
          <w:marRight w:val="0"/>
          <w:marTop w:val="0"/>
          <w:marBottom w:val="0"/>
          <w:divBdr>
            <w:top w:val="none" w:sz="0" w:space="0" w:color="auto"/>
            <w:left w:val="none" w:sz="0" w:space="0" w:color="auto"/>
            <w:bottom w:val="none" w:sz="0" w:space="0" w:color="auto"/>
            <w:right w:val="none" w:sz="0" w:space="0" w:color="auto"/>
          </w:divBdr>
        </w:div>
        <w:div w:id="2083790056">
          <w:marLeft w:val="0"/>
          <w:marRight w:val="0"/>
          <w:marTop w:val="0"/>
          <w:marBottom w:val="0"/>
          <w:divBdr>
            <w:top w:val="none" w:sz="0" w:space="0" w:color="auto"/>
            <w:left w:val="none" w:sz="0" w:space="0" w:color="auto"/>
            <w:bottom w:val="none" w:sz="0" w:space="0" w:color="auto"/>
            <w:right w:val="none" w:sz="0" w:space="0" w:color="auto"/>
          </w:divBdr>
        </w:div>
        <w:div w:id="2038463150">
          <w:marLeft w:val="0"/>
          <w:marRight w:val="0"/>
          <w:marTop w:val="0"/>
          <w:marBottom w:val="0"/>
          <w:divBdr>
            <w:top w:val="none" w:sz="0" w:space="0" w:color="auto"/>
            <w:left w:val="none" w:sz="0" w:space="0" w:color="auto"/>
            <w:bottom w:val="none" w:sz="0" w:space="0" w:color="auto"/>
            <w:right w:val="none" w:sz="0" w:space="0" w:color="auto"/>
          </w:divBdr>
        </w:div>
      </w:divsChild>
    </w:div>
    <w:div w:id="377976713">
      <w:bodyDiv w:val="1"/>
      <w:marLeft w:val="0"/>
      <w:marRight w:val="0"/>
      <w:marTop w:val="0"/>
      <w:marBottom w:val="0"/>
      <w:divBdr>
        <w:top w:val="none" w:sz="0" w:space="0" w:color="auto"/>
        <w:left w:val="none" w:sz="0" w:space="0" w:color="auto"/>
        <w:bottom w:val="none" w:sz="0" w:space="0" w:color="auto"/>
        <w:right w:val="none" w:sz="0" w:space="0" w:color="auto"/>
      </w:divBdr>
    </w:div>
    <w:div w:id="391075103">
      <w:bodyDiv w:val="1"/>
      <w:marLeft w:val="0"/>
      <w:marRight w:val="0"/>
      <w:marTop w:val="0"/>
      <w:marBottom w:val="0"/>
      <w:divBdr>
        <w:top w:val="none" w:sz="0" w:space="0" w:color="auto"/>
        <w:left w:val="none" w:sz="0" w:space="0" w:color="auto"/>
        <w:bottom w:val="none" w:sz="0" w:space="0" w:color="auto"/>
        <w:right w:val="none" w:sz="0" w:space="0" w:color="auto"/>
      </w:divBdr>
    </w:div>
    <w:div w:id="403265661">
      <w:bodyDiv w:val="1"/>
      <w:marLeft w:val="0"/>
      <w:marRight w:val="0"/>
      <w:marTop w:val="0"/>
      <w:marBottom w:val="0"/>
      <w:divBdr>
        <w:top w:val="none" w:sz="0" w:space="0" w:color="auto"/>
        <w:left w:val="none" w:sz="0" w:space="0" w:color="auto"/>
        <w:bottom w:val="none" w:sz="0" w:space="0" w:color="auto"/>
        <w:right w:val="none" w:sz="0" w:space="0" w:color="auto"/>
      </w:divBdr>
    </w:div>
    <w:div w:id="419762157">
      <w:bodyDiv w:val="1"/>
      <w:marLeft w:val="0"/>
      <w:marRight w:val="0"/>
      <w:marTop w:val="0"/>
      <w:marBottom w:val="0"/>
      <w:divBdr>
        <w:top w:val="none" w:sz="0" w:space="0" w:color="auto"/>
        <w:left w:val="none" w:sz="0" w:space="0" w:color="auto"/>
        <w:bottom w:val="none" w:sz="0" w:space="0" w:color="auto"/>
        <w:right w:val="none" w:sz="0" w:space="0" w:color="auto"/>
      </w:divBdr>
    </w:div>
    <w:div w:id="421031219">
      <w:bodyDiv w:val="1"/>
      <w:marLeft w:val="0"/>
      <w:marRight w:val="0"/>
      <w:marTop w:val="0"/>
      <w:marBottom w:val="0"/>
      <w:divBdr>
        <w:top w:val="none" w:sz="0" w:space="0" w:color="auto"/>
        <w:left w:val="none" w:sz="0" w:space="0" w:color="auto"/>
        <w:bottom w:val="none" w:sz="0" w:space="0" w:color="auto"/>
        <w:right w:val="none" w:sz="0" w:space="0" w:color="auto"/>
      </w:divBdr>
    </w:div>
    <w:div w:id="422264947">
      <w:bodyDiv w:val="1"/>
      <w:marLeft w:val="0"/>
      <w:marRight w:val="0"/>
      <w:marTop w:val="0"/>
      <w:marBottom w:val="0"/>
      <w:divBdr>
        <w:top w:val="none" w:sz="0" w:space="0" w:color="auto"/>
        <w:left w:val="none" w:sz="0" w:space="0" w:color="auto"/>
        <w:bottom w:val="none" w:sz="0" w:space="0" w:color="auto"/>
        <w:right w:val="none" w:sz="0" w:space="0" w:color="auto"/>
      </w:divBdr>
    </w:div>
    <w:div w:id="435487528">
      <w:bodyDiv w:val="1"/>
      <w:marLeft w:val="0"/>
      <w:marRight w:val="0"/>
      <w:marTop w:val="0"/>
      <w:marBottom w:val="0"/>
      <w:divBdr>
        <w:top w:val="none" w:sz="0" w:space="0" w:color="auto"/>
        <w:left w:val="none" w:sz="0" w:space="0" w:color="auto"/>
        <w:bottom w:val="none" w:sz="0" w:space="0" w:color="auto"/>
        <w:right w:val="none" w:sz="0" w:space="0" w:color="auto"/>
      </w:divBdr>
    </w:div>
    <w:div w:id="442458918">
      <w:bodyDiv w:val="1"/>
      <w:marLeft w:val="0"/>
      <w:marRight w:val="0"/>
      <w:marTop w:val="0"/>
      <w:marBottom w:val="0"/>
      <w:divBdr>
        <w:top w:val="none" w:sz="0" w:space="0" w:color="auto"/>
        <w:left w:val="none" w:sz="0" w:space="0" w:color="auto"/>
        <w:bottom w:val="none" w:sz="0" w:space="0" w:color="auto"/>
        <w:right w:val="none" w:sz="0" w:space="0" w:color="auto"/>
      </w:divBdr>
    </w:div>
    <w:div w:id="442775234">
      <w:bodyDiv w:val="1"/>
      <w:marLeft w:val="0"/>
      <w:marRight w:val="0"/>
      <w:marTop w:val="0"/>
      <w:marBottom w:val="0"/>
      <w:divBdr>
        <w:top w:val="none" w:sz="0" w:space="0" w:color="auto"/>
        <w:left w:val="none" w:sz="0" w:space="0" w:color="auto"/>
        <w:bottom w:val="none" w:sz="0" w:space="0" w:color="auto"/>
        <w:right w:val="none" w:sz="0" w:space="0" w:color="auto"/>
      </w:divBdr>
    </w:div>
    <w:div w:id="443840360">
      <w:bodyDiv w:val="1"/>
      <w:marLeft w:val="0"/>
      <w:marRight w:val="0"/>
      <w:marTop w:val="0"/>
      <w:marBottom w:val="0"/>
      <w:divBdr>
        <w:top w:val="none" w:sz="0" w:space="0" w:color="auto"/>
        <w:left w:val="none" w:sz="0" w:space="0" w:color="auto"/>
        <w:bottom w:val="none" w:sz="0" w:space="0" w:color="auto"/>
        <w:right w:val="none" w:sz="0" w:space="0" w:color="auto"/>
      </w:divBdr>
    </w:div>
    <w:div w:id="453641500">
      <w:bodyDiv w:val="1"/>
      <w:marLeft w:val="0"/>
      <w:marRight w:val="0"/>
      <w:marTop w:val="0"/>
      <w:marBottom w:val="0"/>
      <w:divBdr>
        <w:top w:val="none" w:sz="0" w:space="0" w:color="auto"/>
        <w:left w:val="none" w:sz="0" w:space="0" w:color="auto"/>
        <w:bottom w:val="none" w:sz="0" w:space="0" w:color="auto"/>
        <w:right w:val="none" w:sz="0" w:space="0" w:color="auto"/>
      </w:divBdr>
    </w:div>
    <w:div w:id="472449518">
      <w:bodyDiv w:val="1"/>
      <w:marLeft w:val="0"/>
      <w:marRight w:val="0"/>
      <w:marTop w:val="0"/>
      <w:marBottom w:val="0"/>
      <w:divBdr>
        <w:top w:val="none" w:sz="0" w:space="0" w:color="auto"/>
        <w:left w:val="none" w:sz="0" w:space="0" w:color="auto"/>
        <w:bottom w:val="none" w:sz="0" w:space="0" w:color="auto"/>
        <w:right w:val="none" w:sz="0" w:space="0" w:color="auto"/>
      </w:divBdr>
    </w:div>
    <w:div w:id="480852388">
      <w:bodyDiv w:val="1"/>
      <w:marLeft w:val="0"/>
      <w:marRight w:val="0"/>
      <w:marTop w:val="0"/>
      <w:marBottom w:val="0"/>
      <w:divBdr>
        <w:top w:val="none" w:sz="0" w:space="0" w:color="auto"/>
        <w:left w:val="none" w:sz="0" w:space="0" w:color="auto"/>
        <w:bottom w:val="none" w:sz="0" w:space="0" w:color="auto"/>
        <w:right w:val="none" w:sz="0" w:space="0" w:color="auto"/>
      </w:divBdr>
    </w:div>
    <w:div w:id="483475247">
      <w:bodyDiv w:val="1"/>
      <w:marLeft w:val="0"/>
      <w:marRight w:val="0"/>
      <w:marTop w:val="0"/>
      <w:marBottom w:val="0"/>
      <w:divBdr>
        <w:top w:val="none" w:sz="0" w:space="0" w:color="auto"/>
        <w:left w:val="none" w:sz="0" w:space="0" w:color="auto"/>
        <w:bottom w:val="none" w:sz="0" w:space="0" w:color="auto"/>
        <w:right w:val="none" w:sz="0" w:space="0" w:color="auto"/>
      </w:divBdr>
    </w:div>
    <w:div w:id="499277272">
      <w:bodyDiv w:val="1"/>
      <w:marLeft w:val="0"/>
      <w:marRight w:val="0"/>
      <w:marTop w:val="0"/>
      <w:marBottom w:val="0"/>
      <w:divBdr>
        <w:top w:val="none" w:sz="0" w:space="0" w:color="auto"/>
        <w:left w:val="none" w:sz="0" w:space="0" w:color="auto"/>
        <w:bottom w:val="none" w:sz="0" w:space="0" w:color="auto"/>
        <w:right w:val="none" w:sz="0" w:space="0" w:color="auto"/>
      </w:divBdr>
    </w:div>
    <w:div w:id="503906811">
      <w:bodyDiv w:val="1"/>
      <w:marLeft w:val="0"/>
      <w:marRight w:val="0"/>
      <w:marTop w:val="0"/>
      <w:marBottom w:val="0"/>
      <w:divBdr>
        <w:top w:val="none" w:sz="0" w:space="0" w:color="auto"/>
        <w:left w:val="none" w:sz="0" w:space="0" w:color="auto"/>
        <w:bottom w:val="none" w:sz="0" w:space="0" w:color="auto"/>
        <w:right w:val="none" w:sz="0" w:space="0" w:color="auto"/>
      </w:divBdr>
    </w:div>
    <w:div w:id="509376516">
      <w:bodyDiv w:val="1"/>
      <w:marLeft w:val="0"/>
      <w:marRight w:val="0"/>
      <w:marTop w:val="0"/>
      <w:marBottom w:val="0"/>
      <w:divBdr>
        <w:top w:val="none" w:sz="0" w:space="0" w:color="auto"/>
        <w:left w:val="none" w:sz="0" w:space="0" w:color="auto"/>
        <w:bottom w:val="none" w:sz="0" w:space="0" w:color="auto"/>
        <w:right w:val="none" w:sz="0" w:space="0" w:color="auto"/>
      </w:divBdr>
    </w:div>
    <w:div w:id="513151896">
      <w:bodyDiv w:val="1"/>
      <w:marLeft w:val="0"/>
      <w:marRight w:val="0"/>
      <w:marTop w:val="0"/>
      <w:marBottom w:val="0"/>
      <w:divBdr>
        <w:top w:val="none" w:sz="0" w:space="0" w:color="auto"/>
        <w:left w:val="none" w:sz="0" w:space="0" w:color="auto"/>
        <w:bottom w:val="none" w:sz="0" w:space="0" w:color="auto"/>
        <w:right w:val="none" w:sz="0" w:space="0" w:color="auto"/>
      </w:divBdr>
    </w:div>
    <w:div w:id="555092252">
      <w:bodyDiv w:val="1"/>
      <w:marLeft w:val="0"/>
      <w:marRight w:val="0"/>
      <w:marTop w:val="0"/>
      <w:marBottom w:val="0"/>
      <w:divBdr>
        <w:top w:val="none" w:sz="0" w:space="0" w:color="auto"/>
        <w:left w:val="none" w:sz="0" w:space="0" w:color="auto"/>
        <w:bottom w:val="none" w:sz="0" w:space="0" w:color="auto"/>
        <w:right w:val="none" w:sz="0" w:space="0" w:color="auto"/>
      </w:divBdr>
    </w:div>
    <w:div w:id="568418301">
      <w:bodyDiv w:val="1"/>
      <w:marLeft w:val="0"/>
      <w:marRight w:val="0"/>
      <w:marTop w:val="0"/>
      <w:marBottom w:val="0"/>
      <w:divBdr>
        <w:top w:val="none" w:sz="0" w:space="0" w:color="auto"/>
        <w:left w:val="none" w:sz="0" w:space="0" w:color="auto"/>
        <w:bottom w:val="none" w:sz="0" w:space="0" w:color="auto"/>
        <w:right w:val="none" w:sz="0" w:space="0" w:color="auto"/>
      </w:divBdr>
    </w:div>
    <w:div w:id="600727645">
      <w:bodyDiv w:val="1"/>
      <w:marLeft w:val="0"/>
      <w:marRight w:val="0"/>
      <w:marTop w:val="0"/>
      <w:marBottom w:val="0"/>
      <w:divBdr>
        <w:top w:val="none" w:sz="0" w:space="0" w:color="auto"/>
        <w:left w:val="none" w:sz="0" w:space="0" w:color="auto"/>
        <w:bottom w:val="none" w:sz="0" w:space="0" w:color="auto"/>
        <w:right w:val="none" w:sz="0" w:space="0" w:color="auto"/>
      </w:divBdr>
    </w:div>
    <w:div w:id="605234939">
      <w:bodyDiv w:val="1"/>
      <w:marLeft w:val="0"/>
      <w:marRight w:val="0"/>
      <w:marTop w:val="0"/>
      <w:marBottom w:val="0"/>
      <w:divBdr>
        <w:top w:val="none" w:sz="0" w:space="0" w:color="auto"/>
        <w:left w:val="none" w:sz="0" w:space="0" w:color="auto"/>
        <w:bottom w:val="none" w:sz="0" w:space="0" w:color="auto"/>
        <w:right w:val="none" w:sz="0" w:space="0" w:color="auto"/>
      </w:divBdr>
    </w:div>
    <w:div w:id="608120894">
      <w:bodyDiv w:val="1"/>
      <w:marLeft w:val="0"/>
      <w:marRight w:val="0"/>
      <w:marTop w:val="0"/>
      <w:marBottom w:val="0"/>
      <w:divBdr>
        <w:top w:val="none" w:sz="0" w:space="0" w:color="auto"/>
        <w:left w:val="none" w:sz="0" w:space="0" w:color="auto"/>
        <w:bottom w:val="none" w:sz="0" w:space="0" w:color="auto"/>
        <w:right w:val="none" w:sz="0" w:space="0" w:color="auto"/>
      </w:divBdr>
    </w:div>
    <w:div w:id="614557560">
      <w:bodyDiv w:val="1"/>
      <w:marLeft w:val="0"/>
      <w:marRight w:val="0"/>
      <w:marTop w:val="0"/>
      <w:marBottom w:val="0"/>
      <w:divBdr>
        <w:top w:val="none" w:sz="0" w:space="0" w:color="auto"/>
        <w:left w:val="none" w:sz="0" w:space="0" w:color="auto"/>
        <w:bottom w:val="none" w:sz="0" w:space="0" w:color="auto"/>
        <w:right w:val="none" w:sz="0" w:space="0" w:color="auto"/>
      </w:divBdr>
    </w:div>
    <w:div w:id="614797861">
      <w:bodyDiv w:val="1"/>
      <w:marLeft w:val="0"/>
      <w:marRight w:val="0"/>
      <w:marTop w:val="0"/>
      <w:marBottom w:val="0"/>
      <w:divBdr>
        <w:top w:val="none" w:sz="0" w:space="0" w:color="auto"/>
        <w:left w:val="none" w:sz="0" w:space="0" w:color="auto"/>
        <w:bottom w:val="none" w:sz="0" w:space="0" w:color="auto"/>
        <w:right w:val="none" w:sz="0" w:space="0" w:color="auto"/>
      </w:divBdr>
    </w:div>
    <w:div w:id="620771189">
      <w:bodyDiv w:val="1"/>
      <w:marLeft w:val="0"/>
      <w:marRight w:val="0"/>
      <w:marTop w:val="0"/>
      <w:marBottom w:val="0"/>
      <w:divBdr>
        <w:top w:val="none" w:sz="0" w:space="0" w:color="auto"/>
        <w:left w:val="none" w:sz="0" w:space="0" w:color="auto"/>
        <w:bottom w:val="none" w:sz="0" w:space="0" w:color="auto"/>
        <w:right w:val="none" w:sz="0" w:space="0" w:color="auto"/>
      </w:divBdr>
    </w:div>
    <w:div w:id="637999706">
      <w:bodyDiv w:val="1"/>
      <w:marLeft w:val="0"/>
      <w:marRight w:val="0"/>
      <w:marTop w:val="0"/>
      <w:marBottom w:val="0"/>
      <w:divBdr>
        <w:top w:val="none" w:sz="0" w:space="0" w:color="auto"/>
        <w:left w:val="none" w:sz="0" w:space="0" w:color="auto"/>
        <w:bottom w:val="none" w:sz="0" w:space="0" w:color="auto"/>
        <w:right w:val="none" w:sz="0" w:space="0" w:color="auto"/>
      </w:divBdr>
    </w:div>
    <w:div w:id="642932053">
      <w:bodyDiv w:val="1"/>
      <w:marLeft w:val="0"/>
      <w:marRight w:val="0"/>
      <w:marTop w:val="0"/>
      <w:marBottom w:val="0"/>
      <w:divBdr>
        <w:top w:val="none" w:sz="0" w:space="0" w:color="auto"/>
        <w:left w:val="none" w:sz="0" w:space="0" w:color="auto"/>
        <w:bottom w:val="none" w:sz="0" w:space="0" w:color="auto"/>
        <w:right w:val="none" w:sz="0" w:space="0" w:color="auto"/>
      </w:divBdr>
    </w:div>
    <w:div w:id="656110003">
      <w:bodyDiv w:val="1"/>
      <w:marLeft w:val="0"/>
      <w:marRight w:val="0"/>
      <w:marTop w:val="0"/>
      <w:marBottom w:val="0"/>
      <w:divBdr>
        <w:top w:val="none" w:sz="0" w:space="0" w:color="auto"/>
        <w:left w:val="none" w:sz="0" w:space="0" w:color="auto"/>
        <w:bottom w:val="none" w:sz="0" w:space="0" w:color="auto"/>
        <w:right w:val="none" w:sz="0" w:space="0" w:color="auto"/>
      </w:divBdr>
    </w:div>
    <w:div w:id="674039263">
      <w:bodyDiv w:val="1"/>
      <w:marLeft w:val="0"/>
      <w:marRight w:val="0"/>
      <w:marTop w:val="0"/>
      <w:marBottom w:val="0"/>
      <w:divBdr>
        <w:top w:val="none" w:sz="0" w:space="0" w:color="auto"/>
        <w:left w:val="none" w:sz="0" w:space="0" w:color="auto"/>
        <w:bottom w:val="none" w:sz="0" w:space="0" w:color="auto"/>
        <w:right w:val="none" w:sz="0" w:space="0" w:color="auto"/>
      </w:divBdr>
    </w:div>
    <w:div w:id="700857606">
      <w:bodyDiv w:val="1"/>
      <w:marLeft w:val="0"/>
      <w:marRight w:val="0"/>
      <w:marTop w:val="0"/>
      <w:marBottom w:val="0"/>
      <w:divBdr>
        <w:top w:val="none" w:sz="0" w:space="0" w:color="auto"/>
        <w:left w:val="none" w:sz="0" w:space="0" w:color="auto"/>
        <w:bottom w:val="none" w:sz="0" w:space="0" w:color="auto"/>
        <w:right w:val="none" w:sz="0" w:space="0" w:color="auto"/>
      </w:divBdr>
    </w:div>
    <w:div w:id="717166337">
      <w:bodyDiv w:val="1"/>
      <w:marLeft w:val="0"/>
      <w:marRight w:val="0"/>
      <w:marTop w:val="0"/>
      <w:marBottom w:val="0"/>
      <w:divBdr>
        <w:top w:val="none" w:sz="0" w:space="0" w:color="auto"/>
        <w:left w:val="none" w:sz="0" w:space="0" w:color="auto"/>
        <w:bottom w:val="none" w:sz="0" w:space="0" w:color="auto"/>
        <w:right w:val="none" w:sz="0" w:space="0" w:color="auto"/>
      </w:divBdr>
    </w:div>
    <w:div w:id="721634735">
      <w:bodyDiv w:val="1"/>
      <w:marLeft w:val="0"/>
      <w:marRight w:val="0"/>
      <w:marTop w:val="0"/>
      <w:marBottom w:val="0"/>
      <w:divBdr>
        <w:top w:val="none" w:sz="0" w:space="0" w:color="auto"/>
        <w:left w:val="none" w:sz="0" w:space="0" w:color="auto"/>
        <w:bottom w:val="none" w:sz="0" w:space="0" w:color="auto"/>
        <w:right w:val="none" w:sz="0" w:space="0" w:color="auto"/>
      </w:divBdr>
    </w:div>
    <w:div w:id="722797407">
      <w:bodyDiv w:val="1"/>
      <w:marLeft w:val="0"/>
      <w:marRight w:val="0"/>
      <w:marTop w:val="0"/>
      <w:marBottom w:val="0"/>
      <w:divBdr>
        <w:top w:val="none" w:sz="0" w:space="0" w:color="auto"/>
        <w:left w:val="none" w:sz="0" w:space="0" w:color="auto"/>
        <w:bottom w:val="none" w:sz="0" w:space="0" w:color="auto"/>
        <w:right w:val="none" w:sz="0" w:space="0" w:color="auto"/>
      </w:divBdr>
    </w:div>
    <w:div w:id="755052767">
      <w:bodyDiv w:val="1"/>
      <w:marLeft w:val="0"/>
      <w:marRight w:val="0"/>
      <w:marTop w:val="0"/>
      <w:marBottom w:val="0"/>
      <w:divBdr>
        <w:top w:val="none" w:sz="0" w:space="0" w:color="auto"/>
        <w:left w:val="none" w:sz="0" w:space="0" w:color="auto"/>
        <w:bottom w:val="none" w:sz="0" w:space="0" w:color="auto"/>
        <w:right w:val="none" w:sz="0" w:space="0" w:color="auto"/>
      </w:divBdr>
    </w:div>
    <w:div w:id="759566754">
      <w:bodyDiv w:val="1"/>
      <w:marLeft w:val="0"/>
      <w:marRight w:val="0"/>
      <w:marTop w:val="0"/>
      <w:marBottom w:val="0"/>
      <w:divBdr>
        <w:top w:val="none" w:sz="0" w:space="0" w:color="auto"/>
        <w:left w:val="none" w:sz="0" w:space="0" w:color="auto"/>
        <w:bottom w:val="none" w:sz="0" w:space="0" w:color="auto"/>
        <w:right w:val="none" w:sz="0" w:space="0" w:color="auto"/>
      </w:divBdr>
    </w:div>
    <w:div w:id="773786981">
      <w:bodyDiv w:val="1"/>
      <w:marLeft w:val="0"/>
      <w:marRight w:val="0"/>
      <w:marTop w:val="0"/>
      <w:marBottom w:val="0"/>
      <w:divBdr>
        <w:top w:val="none" w:sz="0" w:space="0" w:color="auto"/>
        <w:left w:val="none" w:sz="0" w:space="0" w:color="auto"/>
        <w:bottom w:val="none" w:sz="0" w:space="0" w:color="auto"/>
        <w:right w:val="none" w:sz="0" w:space="0" w:color="auto"/>
      </w:divBdr>
    </w:div>
    <w:div w:id="795292113">
      <w:bodyDiv w:val="1"/>
      <w:marLeft w:val="0"/>
      <w:marRight w:val="0"/>
      <w:marTop w:val="0"/>
      <w:marBottom w:val="0"/>
      <w:divBdr>
        <w:top w:val="none" w:sz="0" w:space="0" w:color="auto"/>
        <w:left w:val="none" w:sz="0" w:space="0" w:color="auto"/>
        <w:bottom w:val="none" w:sz="0" w:space="0" w:color="auto"/>
        <w:right w:val="none" w:sz="0" w:space="0" w:color="auto"/>
      </w:divBdr>
    </w:div>
    <w:div w:id="803039993">
      <w:bodyDiv w:val="1"/>
      <w:marLeft w:val="0"/>
      <w:marRight w:val="0"/>
      <w:marTop w:val="0"/>
      <w:marBottom w:val="0"/>
      <w:divBdr>
        <w:top w:val="none" w:sz="0" w:space="0" w:color="auto"/>
        <w:left w:val="none" w:sz="0" w:space="0" w:color="auto"/>
        <w:bottom w:val="none" w:sz="0" w:space="0" w:color="auto"/>
        <w:right w:val="none" w:sz="0" w:space="0" w:color="auto"/>
      </w:divBdr>
    </w:div>
    <w:div w:id="804926415">
      <w:bodyDiv w:val="1"/>
      <w:marLeft w:val="0"/>
      <w:marRight w:val="0"/>
      <w:marTop w:val="0"/>
      <w:marBottom w:val="0"/>
      <w:divBdr>
        <w:top w:val="none" w:sz="0" w:space="0" w:color="auto"/>
        <w:left w:val="none" w:sz="0" w:space="0" w:color="auto"/>
        <w:bottom w:val="none" w:sz="0" w:space="0" w:color="auto"/>
        <w:right w:val="none" w:sz="0" w:space="0" w:color="auto"/>
      </w:divBdr>
    </w:div>
    <w:div w:id="812602549">
      <w:bodyDiv w:val="1"/>
      <w:marLeft w:val="0"/>
      <w:marRight w:val="0"/>
      <w:marTop w:val="0"/>
      <w:marBottom w:val="0"/>
      <w:divBdr>
        <w:top w:val="none" w:sz="0" w:space="0" w:color="auto"/>
        <w:left w:val="none" w:sz="0" w:space="0" w:color="auto"/>
        <w:bottom w:val="none" w:sz="0" w:space="0" w:color="auto"/>
        <w:right w:val="none" w:sz="0" w:space="0" w:color="auto"/>
      </w:divBdr>
    </w:div>
    <w:div w:id="814949914">
      <w:bodyDiv w:val="1"/>
      <w:marLeft w:val="0"/>
      <w:marRight w:val="0"/>
      <w:marTop w:val="0"/>
      <w:marBottom w:val="0"/>
      <w:divBdr>
        <w:top w:val="none" w:sz="0" w:space="0" w:color="auto"/>
        <w:left w:val="none" w:sz="0" w:space="0" w:color="auto"/>
        <w:bottom w:val="none" w:sz="0" w:space="0" w:color="auto"/>
        <w:right w:val="none" w:sz="0" w:space="0" w:color="auto"/>
      </w:divBdr>
    </w:div>
    <w:div w:id="819423682">
      <w:bodyDiv w:val="1"/>
      <w:marLeft w:val="0"/>
      <w:marRight w:val="0"/>
      <w:marTop w:val="0"/>
      <w:marBottom w:val="0"/>
      <w:divBdr>
        <w:top w:val="none" w:sz="0" w:space="0" w:color="auto"/>
        <w:left w:val="none" w:sz="0" w:space="0" w:color="auto"/>
        <w:bottom w:val="none" w:sz="0" w:space="0" w:color="auto"/>
        <w:right w:val="none" w:sz="0" w:space="0" w:color="auto"/>
      </w:divBdr>
    </w:div>
    <w:div w:id="824011794">
      <w:bodyDiv w:val="1"/>
      <w:marLeft w:val="0"/>
      <w:marRight w:val="0"/>
      <w:marTop w:val="0"/>
      <w:marBottom w:val="0"/>
      <w:divBdr>
        <w:top w:val="none" w:sz="0" w:space="0" w:color="auto"/>
        <w:left w:val="none" w:sz="0" w:space="0" w:color="auto"/>
        <w:bottom w:val="none" w:sz="0" w:space="0" w:color="auto"/>
        <w:right w:val="none" w:sz="0" w:space="0" w:color="auto"/>
      </w:divBdr>
    </w:div>
    <w:div w:id="832646738">
      <w:bodyDiv w:val="1"/>
      <w:marLeft w:val="0"/>
      <w:marRight w:val="0"/>
      <w:marTop w:val="0"/>
      <w:marBottom w:val="0"/>
      <w:divBdr>
        <w:top w:val="none" w:sz="0" w:space="0" w:color="auto"/>
        <w:left w:val="none" w:sz="0" w:space="0" w:color="auto"/>
        <w:bottom w:val="none" w:sz="0" w:space="0" w:color="auto"/>
        <w:right w:val="none" w:sz="0" w:space="0" w:color="auto"/>
      </w:divBdr>
    </w:div>
    <w:div w:id="845365391">
      <w:bodyDiv w:val="1"/>
      <w:marLeft w:val="0"/>
      <w:marRight w:val="0"/>
      <w:marTop w:val="0"/>
      <w:marBottom w:val="0"/>
      <w:divBdr>
        <w:top w:val="none" w:sz="0" w:space="0" w:color="auto"/>
        <w:left w:val="none" w:sz="0" w:space="0" w:color="auto"/>
        <w:bottom w:val="none" w:sz="0" w:space="0" w:color="auto"/>
        <w:right w:val="none" w:sz="0" w:space="0" w:color="auto"/>
      </w:divBdr>
    </w:div>
    <w:div w:id="849679430">
      <w:bodyDiv w:val="1"/>
      <w:marLeft w:val="0"/>
      <w:marRight w:val="0"/>
      <w:marTop w:val="0"/>
      <w:marBottom w:val="0"/>
      <w:divBdr>
        <w:top w:val="none" w:sz="0" w:space="0" w:color="auto"/>
        <w:left w:val="none" w:sz="0" w:space="0" w:color="auto"/>
        <w:bottom w:val="none" w:sz="0" w:space="0" w:color="auto"/>
        <w:right w:val="none" w:sz="0" w:space="0" w:color="auto"/>
      </w:divBdr>
    </w:div>
    <w:div w:id="850871535">
      <w:bodyDiv w:val="1"/>
      <w:marLeft w:val="0"/>
      <w:marRight w:val="0"/>
      <w:marTop w:val="0"/>
      <w:marBottom w:val="0"/>
      <w:divBdr>
        <w:top w:val="none" w:sz="0" w:space="0" w:color="auto"/>
        <w:left w:val="none" w:sz="0" w:space="0" w:color="auto"/>
        <w:bottom w:val="none" w:sz="0" w:space="0" w:color="auto"/>
        <w:right w:val="none" w:sz="0" w:space="0" w:color="auto"/>
      </w:divBdr>
    </w:div>
    <w:div w:id="866061191">
      <w:bodyDiv w:val="1"/>
      <w:marLeft w:val="0"/>
      <w:marRight w:val="0"/>
      <w:marTop w:val="0"/>
      <w:marBottom w:val="0"/>
      <w:divBdr>
        <w:top w:val="none" w:sz="0" w:space="0" w:color="auto"/>
        <w:left w:val="none" w:sz="0" w:space="0" w:color="auto"/>
        <w:bottom w:val="none" w:sz="0" w:space="0" w:color="auto"/>
        <w:right w:val="none" w:sz="0" w:space="0" w:color="auto"/>
      </w:divBdr>
    </w:div>
    <w:div w:id="873689090">
      <w:bodyDiv w:val="1"/>
      <w:marLeft w:val="0"/>
      <w:marRight w:val="0"/>
      <w:marTop w:val="0"/>
      <w:marBottom w:val="0"/>
      <w:divBdr>
        <w:top w:val="none" w:sz="0" w:space="0" w:color="auto"/>
        <w:left w:val="none" w:sz="0" w:space="0" w:color="auto"/>
        <w:bottom w:val="none" w:sz="0" w:space="0" w:color="auto"/>
        <w:right w:val="none" w:sz="0" w:space="0" w:color="auto"/>
      </w:divBdr>
    </w:div>
    <w:div w:id="894239796">
      <w:bodyDiv w:val="1"/>
      <w:marLeft w:val="0"/>
      <w:marRight w:val="0"/>
      <w:marTop w:val="0"/>
      <w:marBottom w:val="0"/>
      <w:divBdr>
        <w:top w:val="none" w:sz="0" w:space="0" w:color="auto"/>
        <w:left w:val="none" w:sz="0" w:space="0" w:color="auto"/>
        <w:bottom w:val="none" w:sz="0" w:space="0" w:color="auto"/>
        <w:right w:val="none" w:sz="0" w:space="0" w:color="auto"/>
      </w:divBdr>
    </w:div>
    <w:div w:id="910386357">
      <w:bodyDiv w:val="1"/>
      <w:marLeft w:val="0"/>
      <w:marRight w:val="0"/>
      <w:marTop w:val="0"/>
      <w:marBottom w:val="0"/>
      <w:divBdr>
        <w:top w:val="none" w:sz="0" w:space="0" w:color="auto"/>
        <w:left w:val="none" w:sz="0" w:space="0" w:color="auto"/>
        <w:bottom w:val="none" w:sz="0" w:space="0" w:color="auto"/>
        <w:right w:val="none" w:sz="0" w:space="0" w:color="auto"/>
      </w:divBdr>
    </w:div>
    <w:div w:id="912203333">
      <w:bodyDiv w:val="1"/>
      <w:marLeft w:val="0"/>
      <w:marRight w:val="0"/>
      <w:marTop w:val="0"/>
      <w:marBottom w:val="0"/>
      <w:divBdr>
        <w:top w:val="none" w:sz="0" w:space="0" w:color="auto"/>
        <w:left w:val="none" w:sz="0" w:space="0" w:color="auto"/>
        <w:bottom w:val="none" w:sz="0" w:space="0" w:color="auto"/>
        <w:right w:val="none" w:sz="0" w:space="0" w:color="auto"/>
      </w:divBdr>
    </w:div>
    <w:div w:id="928545782">
      <w:bodyDiv w:val="1"/>
      <w:marLeft w:val="0"/>
      <w:marRight w:val="0"/>
      <w:marTop w:val="0"/>
      <w:marBottom w:val="0"/>
      <w:divBdr>
        <w:top w:val="none" w:sz="0" w:space="0" w:color="auto"/>
        <w:left w:val="none" w:sz="0" w:space="0" w:color="auto"/>
        <w:bottom w:val="none" w:sz="0" w:space="0" w:color="auto"/>
        <w:right w:val="none" w:sz="0" w:space="0" w:color="auto"/>
      </w:divBdr>
    </w:div>
    <w:div w:id="933705662">
      <w:bodyDiv w:val="1"/>
      <w:marLeft w:val="0"/>
      <w:marRight w:val="0"/>
      <w:marTop w:val="0"/>
      <w:marBottom w:val="0"/>
      <w:divBdr>
        <w:top w:val="none" w:sz="0" w:space="0" w:color="auto"/>
        <w:left w:val="none" w:sz="0" w:space="0" w:color="auto"/>
        <w:bottom w:val="none" w:sz="0" w:space="0" w:color="auto"/>
        <w:right w:val="none" w:sz="0" w:space="0" w:color="auto"/>
      </w:divBdr>
    </w:div>
    <w:div w:id="943851711">
      <w:bodyDiv w:val="1"/>
      <w:marLeft w:val="0"/>
      <w:marRight w:val="0"/>
      <w:marTop w:val="0"/>
      <w:marBottom w:val="0"/>
      <w:divBdr>
        <w:top w:val="none" w:sz="0" w:space="0" w:color="auto"/>
        <w:left w:val="none" w:sz="0" w:space="0" w:color="auto"/>
        <w:bottom w:val="none" w:sz="0" w:space="0" w:color="auto"/>
        <w:right w:val="none" w:sz="0" w:space="0" w:color="auto"/>
      </w:divBdr>
    </w:div>
    <w:div w:id="946814909">
      <w:bodyDiv w:val="1"/>
      <w:marLeft w:val="0"/>
      <w:marRight w:val="0"/>
      <w:marTop w:val="0"/>
      <w:marBottom w:val="0"/>
      <w:divBdr>
        <w:top w:val="none" w:sz="0" w:space="0" w:color="auto"/>
        <w:left w:val="none" w:sz="0" w:space="0" w:color="auto"/>
        <w:bottom w:val="none" w:sz="0" w:space="0" w:color="auto"/>
        <w:right w:val="none" w:sz="0" w:space="0" w:color="auto"/>
      </w:divBdr>
    </w:div>
    <w:div w:id="958299918">
      <w:bodyDiv w:val="1"/>
      <w:marLeft w:val="0"/>
      <w:marRight w:val="0"/>
      <w:marTop w:val="0"/>
      <w:marBottom w:val="0"/>
      <w:divBdr>
        <w:top w:val="none" w:sz="0" w:space="0" w:color="auto"/>
        <w:left w:val="none" w:sz="0" w:space="0" w:color="auto"/>
        <w:bottom w:val="none" w:sz="0" w:space="0" w:color="auto"/>
        <w:right w:val="none" w:sz="0" w:space="0" w:color="auto"/>
      </w:divBdr>
    </w:div>
    <w:div w:id="970749632">
      <w:bodyDiv w:val="1"/>
      <w:marLeft w:val="0"/>
      <w:marRight w:val="0"/>
      <w:marTop w:val="0"/>
      <w:marBottom w:val="0"/>
      <w:divBdr>
        <w:top w:val="none" w:sz="0" w:space="0" w:color="auto"/>
        <w:left w:val="none" w:sz="0" w:space="0" w:color="auto"/>
        <w:bottom w:val="none" w:sz="0" w:space="0" w:color="auto"/>
        <w:right w:val="none" w:sz="0" w:space="0" w:color="auto"/>
      </w:divBdr>
    </w:div>
    <w:div w:id="1021517173">
      <w:bodyDiv w:val="1"/>
      <w:marLeft w:val="0"/>
      <w:marRight w:val="0"/>
      <w:marTop w:val="0"/>
      <w:marBottom w:val="0"/>
      <w:divBdr>
        <w:top w:val="none" w:sz="0" w:space="0" w:color="auto"/>
        <w:left w:val="none" w:sz="0" w:space="0" w:color="auto"/>
        <w:bottom w:val="none" w:sz="0" w:space="0" w:color="auto"/>
        <w:right w:val="none" w:sz="0" w:space="0" w:color="auto"/>
      </w:divBdr>
    </w:div>
    <w:div w:id="1023433049">
      <w:bodyDiv w:val="1"/>
      <w:marLeft w:val="0"/>
      <w:marRight w:val="0"/>
      <w:marTop w:val="0"/>
      <w:marBottom w:val="0"/>
      <w:divBdr>
        <w:top w:val="none" w:sz="0" w:space="0" w:color="auto"/>
        <w:left w:val="none" w:sz="0" w:space="0" w:color="auto"/>
        <w:bottom w:val="none" w:sz="0" w:space="0" w:color="auto"/>
        <w:right w:val="none" w:sz="0" w:space="0" w:color="auto"/>
      </w:divBdr>
    </w:div>
    <w:div w:id="1036463775">
      <w:bodyDiv w:val="1"/>
      <w:marLeft w:val="0"/>
      <w:marRight w:val="0"/>
      <w:marTop w:val="0"/>
      <w:marBottom w:val="0"/>
      <w:divBdr>
        <w:top w:val="none" w:sz="0" w:space="0" w:color="auto"/>
        <w:left w:val="none" w:sz="0" w:space="0" w:color="auto"/>
        <w:bottom w:val="none" w:sz="0" w:space="0" w:color="auto"/>
        <w:right w:val="none" w:sz="0" w:space="0" w:color="auto"/>
      </w:divBdr>
    </w:div>
    <w:div w:id="1041974282">
      <w:bodyDiv w:val="1"/>
      <w:marLeft w:val="0"/>
      <w:marRight w:val="0"/>
      <w:marTop w:val="0"/>
      <w:marBottom w:val="0"/>
      <w:divBdr>
        <w:top w:val="none" w:sz="0" w:space="0" w:color="auto"/>
        <w:left w:val="none" w:sz="0" w:space="0" w:color="auto"/>
        <w:bottom w:val="none" w:sz="0" w:space="0" w:color="auto"/>
        <w:right w:val="none" w:sz="0" w:space="0" w:color="auto"/>
      </w:divBdr>
    </w:div>
    <w:div w:id="1054279623">
      <w:bodyDiv w:val="1"/>
      <w:marLeft w:val="0"/>
      <w:marRight w:val="0"/>
      <w:marTop w:val="0"/>
      <w:marBottom w:val="0"/>
      <w:divBdr>
        <w:top w:val="none" w:sz="0" w:space="0" w:color="auto"/>
        <w:left w:val="none" w:sz="0" w:space="0" w:color="auto"/>
        <w:bottom w:val="none" w:sz="0" w:space="0" w:color="auto"/>
        <w:right w:val="none" w:sz="0" w:space="0" w:color="auto"/>
      </w:divBdr>
    </w:div>
    <w:div w:id="1067072117">
      <w:bodyDiv w:val="1"/>
      <w:marLeft w:val="0"/>
      <w:marRight w:val="0"/>
      <w:marTop w:val="0"/>
      <w:marBottom w:val="0"/>
      <w:divBdr>
        <w:top w:val="none" w:sz="0" w:space="0" w:color="auto"/>
        <w:left w:val="none" w:sz="0" w:space="0" w:color="auto"/>
        <w:bottom w:val="none" w:sz="0" w:space="0" w:color="auto"/>
        <w:right w:val="none" w:sz="0" w:space="0" w:color="auto"/>
      </w:divBdr>
    </w:div>
    <w:div w:id="1078358260">
      <w:bodyDiv w:val="1"/>
      <w:marLeft w:val="0"/>
      <w:marRight w:val="0"/>
      <w:marTop w:val="0"/>
      <w:marBottom w:val="0"/>
      <w:divBdr>
        <w:top w:val="none" w:sz="0" w:space="0" w:color="auto"/>
        <w:left w:val="none" w:sz="0" w:space="0" w:color="auto"/>
        <w:bottom w:val="none" w:sz="0" w:space="0" w:color="auto"/>
        <w:right w:val="none" w:sz="0" w:space="0" w:color="auto"/>
      </w:divBdr>
    </w:div>
    <w:div w:id="1079668926">
      <w:bodyDiv w:val="1"/>
      <w:marLeft w:val="0"/>
      <w:marRight w:val="0"/>
      <w:marTop w:val="0"/>
      <w:marBottom w:val="0"/>
      <w:divBdr>
        <w:top w:val="none" w:sz="0" w:space="0" w:color="auto"/>
        <w:left w:val="none" w:sz="0" w:space="0" w:color="auto"/>
        <w:bottom w:val="none" w:sz="0" w:space="0" w:color="auto"/>
        <w:right w:val="none" w:sz="0" w:space="0" w:color="auto"/>
      </w:divBdr>
    </w:div>
    <w:div w:id="1081291289">
      <w:bodyDiv w:val="1"/>
      <w:marLeft w:val="0"/>
      <w:marRight w:val="0"/>
      <w:marTop w:val="0"/>
      <w:marBottom w:val="0"/>
      <w:divBdr>
        <w:top w:val="none" w:sz="0" w:space="0" w:color="auto"/>
        <w:left w:val="none" w:sz="0" w:space="0" w:color="auto"/>
        <w:bottom w:val="none" w:sz="0" w:space="0" w:color="auto"/>
        <w:right w:val="none" w:sz="0" w:space="0" w:color="auto"/>
      </w:divBdr>
    </w:div>
    <w:div w:id="1082069893">
      <w:bodyDiv w:val="1"/>
      <w:marLeft w:val="0"/>
      <w:marRight w:val="0"/>
      <w:marTop w:val="0"/>
      <w:marBottom w:val="0"/>
      <w:divBdr>
        <w:top w:val="none" w:sz="0" w:space="0" w:color="auto"/>
        <w:left w:val="none" w:sz="0" w:space="0" w:color="auto"/>
        <w:bottom w:val="none" w:sz="0" w:space="0" w:color="auto"/>
        <w:right w:val="none" w:sz="0" w:space="0" w:color="auto"/>
      </w:divBdr>
    </w:div>
    <w:div w:id="1159883330">
      <w:bodyDiv w:val="1"/>
      <w:marLeft w:val="0"/>
      <w:marRight w:val="0"/>
      <w:marTop w:val="0"/>
      <w:marBottom w:val="0"/>
      <w:divBdr>
        <w:top w:val="none" w:sz="0" w:space="0" w:color="auto"/>
        <w:left w:val="none" w:sz="0" w:space="0" w:color="auto"/>
        <w:bottom w:val="none" w:sz="0" w:space="0" w:color="auto"/>
        <w:right w:val="none" w:sz="0" w:space="0" w:color="auto"/>
      </w:divBdr>
    </w:div>
    <w:div w:id="1178233165">
      <w:bodyDiv w:val="1"/>
      <w:marLeft w:val="0"/>
      <w:marRight w:val="0"/>
      <w:marTop w:val="0"/>
      <w:marBottom w:val="0"/>
      <w:divBdr>
        <w:top w:val="none" w:sz="0" w:space="0" w:color="auto"/>
        <w:left w:val="none" w:sz="0" w:space="0" w:color="auto"/>
        <w:bottom w:val="none" w:sz="0" w:space="0" w:color="auto"/>
        <w:right w:val="none" w:sz="0" w:space="0" w:color="auto"/>
      </w:divBdr>
    </w:div>
    <w:div w:id="1180700067">
      <w:bodyDiv w:val="1"/>
      <w:marLeft w:val="0"/>
      <w:marRight w:val="0"/>
      <w:marTop w:val="0"/>
      <w:marBottom w:val="0"/>
      <w:divBdr>
        <w:top w:val="none" w:sz="0" w:space="0" w:color="auto"/>
        <w:left w:val="none" w:sz="0" w:space="0" w:color="auto"/>
        <w:bottom w:val="none" w:sz="0" w:space="0" w:color="auto"/>
        <w:right w:val="none" w:sz="0" w:space="0" w:color="auto"/>
      </w:divBdr>
    </w:div>
    <w:div w:id="1193684797">
      <w:bodyDiv w:val="1"/>
      <w:marLeft w:val="0"/>
      <w:marRight w:val="0"/>
      <w:marTop w:val="0"/>
      <w:marBottom w:val="0"/>
      <w:divBdr>
        <w:top w:val="none" w:sz="0" w:space="0" w:color="auto"/>
        <w:left w:val="none" w:sz="0" w:space="0" w:color="auto"/>
        <w:bottom w:val="none" w:sz="0" w:space="0" w:color="auto"/>
        <w:right w:val="none" w:sz="0" w:space="0" w:color="auto"/>
      </w:divBdr>
    </w:div>
    <w:div w:id="1212813117">
      <w:bodyDiv w:val="1"/>
      <w:marLeft w:val="0"/>
      <w:marRight w:val="0"/>
      <w:marTop w:val="0"/>
      <w:marBottom w:val="0"/>
      <w:divBdr>
        <w:top w:val="none" w:sz="0" w:space="0" w:color="auto"/>
        <w:left w:val="none" w:sz="0" w:space="0" w:color="auto"/>
        <w:bottom w:val="none" w:sz="0" w:space="0" w:color="auto"/>
        <w:right w:val="none" w:sz="0" w:space="0" w:color="auto"/>
      </w:divBdr>
    </w:div>
    <w:div w:id="1216553022">
      <w:bodyDiv w:val="1"/>
      <w:marLeft w:val="0"/>
      <w:marRight w:val="0"/>
      <w:marTop w:val="0"/>
      <w:marBottom w:val="0"/>
      <w:divBdr>
        <w:top w:val="none" w:sz="0" w:space="0" w:color="auto"/>
        <w:left w:val="none" w:sz="0" w:space="0" w:color="auto"/>
        <w:bottom w:val="none" w:sz="0" w:space="0" w:color="auto"/>
        <w:right w:val="none" w:sz="0" w:space="0" w:color="auto"/>
      </w:divBdr>
    </w:div>
    <w:div w:id="1239250485">
      <w:bodyDiv w:val="1"/>
      <w:marLeft w:val="0"/>
      <w:marRight w:val="0"/>
      <w:marTop w:val="0"/>
      <w:marBottom w:val="0"/>
      <w:divBdr>
        <w:top w:val="none" w:sz="0" w:space="0" w:color="auto"/>
        <w:left w:val="none" w:sz="0" w:space="0" w:color="auto"/>
        <w:bottom w:val="none" w:sz="0" w:space="0" w:color="auto"/>
        <w:right w:val="none" w:sz="0" w:space="0" w:color="auto"/>
      </w:divBdr>
    </w:div>
    <w:div w:id="1243249016">
      <w:bodyDiv w:val="1"/>
      <w:marLeft w:val="0"/>
      <w:marRight w:val="0"/>
      <w:marTop w:val="0"/>
      <w:marBottom w:val="0"/>
      <w:divBdr>
        <w:top w:val="none" w:sz="0" w:space="0" w:color="auto"/>
        <w:left w:val="none" w:sz="0" w:space="0" w:color="auto"/>
        <w:bottom w:val="none" w:sz="0" w:space="0" w:color="auto"/>
        <w:right w:val="none" w:sz="0" w:space="0" w:color="auto"/>
      </w:divBdr>
    </w:div>
    <w:div w:id="1290939484">
      <w:bodyDiv w:val="1"/>
      <w:marLeft w:val="0"/>
      <w:marRight w:val="0"/>
      <w:marTop w:val="0"/>
      <w:marBottom w:val="0"/>
      <w:divBdr>
        <w:top w:val="none" w:sz="0" w:space="0" w:color="auto"/>
        <w:left w:val="none" w:sz="0" w:space="0" w:color="auto"/>
        <w:bottom w:val="none" w:sz="0" w:space="0" w:color="auto"/>
        <w:right w:val="none" w:sz="0" w:space="0" w:color="auto"/>
      </w:divBdr>
    </w:div>
    <w:div w:id="1292436912">
      <w:bodyDiv w:val="1"/>
      <w:marLeft w:val="0"/>
      <w:marRight w:val="0"/>
      <w:marTop w:val="0"/>
      <w:marBottom w:val="0"/>
      <w:divBdr>
        <w:top w:val="none" w:sz="0" w:space="0" w:color="auto"/>
        <w:left w:val="none" w:sz="0" w:space="0" w:color="auto"/>
        <w:bottom w:val="none" w:sz="0" w:space="0" w:color="auto"/>
        <w:right w:val="none" w:sz="0" w:space="0" w:color="auto"/>
      </w:divBdr>
    </w:div>
    <w:div w:id="1324966418">
      <w:bodyDiv w:val="1"/>
      <w:marLeft w:val="0"/>
      <w:marRight w:val="0"/>
      <w:marTop w:val="0"/>
      <w:marBottom w:val="0"/>
      <w:divBdr>
        <w:top w:val="none" w:sz="0" w:space="0" w:color="auto"/>
        <w:left w:val="none" w:sz="0" w:space="0" w:color="auto"/>
        <w:bottom w:val="none" w:sz="0" w:space="0" w:color="auto"/>
        <w:right w:val="none" w:sz="0" w:space="0" w:color="auto"/>
      </w:divBdr>
    </w:div>
    <w:div w:id="1363554939">
      <w:bodyDiv w:val="1"/>
      <w:marLeft w:val="0"/>
      <w:marRight w:val="0"/>
      <w:marTop w:val="0"/>
      <w:marBottom w:val="0"/>
      <w:divBdr>
        <w:top w:val="none" w:sz="0" w:space="0" w:color="auto"/>
        <w:left w:val="none" w:sz="0" w:space="0" w:color="auto"/>
        <w:bottom w:val="none" w:sz="0" w:space="0" w:color="auto"/>
        <w:right w:val="none" w:sz="0" w:space="0" w:color="auto"/>
      </w:divBdr>
    </w:div>
    <w:div w:id="1368333103">
      <w:bodyDiv w:val="1"/>
      <w:marLeft w:val="0"/>
      <w:marRight w:val="0"/>
      <w:marTop w:val="0"/>
      <w:marBottom w:val="0"/>
      <w:divBdr>
        <w:top w:val="none" w:sz="0" w:space="0" w:color="auto"/>
        <w:left w:val="none" w:sz="0" w:space="0" w:color="auto"/>
        <w:bottom w:val="none" w:sz="0" w:space="0" w:color="auto"/>
        <w:right w:val="none" w:sz="0" w:space="0" w:color="auto"/>
      </w:divBdr>
    </w:div>
    <w:div w:id="1376197648">
      <w:bodyDiv w:val="1"/>
      <w:marLeft w:val="0"/>
      <w:marRight w:val="0"/>
      <w:marTop w:val="0"/>
      <w:marBottom w:val="0"/>
      <w:divBdr>
        <w:top w:val="none" w:sz="0" w:space="0" w:color="auto"/>
        <w:left w:val="none" w:sz="0" w:space="0" w:color="auto"/>
        <w:bottom w:val="none" w:sz="0" w:space="0" w:color="auto"/>
        <w:right w:val="none" w:sz="0" w:space="0" w:color="auto"/>
      </w:divBdr>
    </w:div>
    <w:div w:id="1385987219">
      <w:bodyDiv w:val="1"/>
      <w:marLeft w:val="0"/>
      <w:marRight w:val="0"/>
      <w:marTop w:val="0"/>
      <w:marBottom w:val="0"/>
      <w:divBdr>
        <w:top w:val="none" w:sz="0" w:space="0" w:color="auto"/>
        <w:left w:val="none" w:sz="0" w:space="0" w:color="auto"/>
        <w:bottom w:val="none" w:sz="0" w:space="0" w:color="auto"/>
        <w:right w:val="none" w:sz="0" w:space="0" w:color="auto"/>
      </w:divBdr>
    </w:div>
    <w:div w:id="1394893766">
      <w:bodyDiv w:val="1"/>
      <w:marLeft w:val="0"/>
      <w:marRight w:val="0"/>
      <w:marTop w:val="0"/>
      <w:marBottom w:val="0"/>
      <w:divBdr>
        <w:top w:val="none" w:sz="0" w:space="0" w:color="auto"/>
        <w:left w:val="none" w:sz="0" w:space="0" w:color="auto"/>
        <w:bottom w:val="none" w:sz="0" w:space="0" w:color="auto"/>
        <w:right w:val="none" w:sz="0" w:space="0" w:color="auto"/>
      </w:divBdr>
    </w:div>
    <w:div w:id="1430783173">
      <w:bodyDiv w:val="1"/>
      <w:marLeft w:val="0"/>
      <w:marRight w:val="0"/>
      <w:marTop w:val="0"/>
      <w:marBottom w:val="0"/>
      <w:divBdr>
        <w:top w:val="none" w:sz="0" w:space="0" w:color="auto"/>
        <w:left w:val="none" w:sz="0" w:space="0" w:color="auto"/>
        <w:bottom w:val="none" w:sz="0" w:space="0" w:color="auto"/>
        <w:right w:val="none" w:sz="0" w:space="0" w:color="auto"/>
      </w:divBdr>
    </w:div>
    <w:div w:id="1443527366">
      <w:bodyDiv w:val="1"/>
      <w:marLeft w:val="0"/>
      <w:marRight w:val="0"/>
      <w:marTop w:val="0"/>
      <w:marBottom w:val="0"/>
      <w:divBdr>
        <w:top w:val="none" w:sz="0" w:space="0" w:color="auto"/>
        <w:left w:val="none" w:sz="0" w:space="0" w:color="auto"/>
        <w:bottom w:val="none" w:sz="0" w:space="0" w:color="auto"/>
        <w:right w:val="none" w:sz="0" w:space="0" w:color="auto"/>
      </w:divBdr>
    </w:div>
    <w:div w:id="1469200331">
      <w:bodyDiv w:val="1"/>
      <w:marLeft w:val="0"/>
      <w:marRight w:val="0"/>
      <w:marTop w:val="0"/>
      <w:marBottom w:val="0"/>
      <w:divBdr>
        <w:top w:val="none" w:sz="0" w:space="0" w:color="auto"/>
        <w:left w:val="none" w:sz="0" w:space="0" w:color="auto"/>
        <w:bottom w:val="none" w:sz="0" w:space="0" w:color="auto"/>
        <w:right w:val="none" w:sz="0" w:space="0" w:color="auto"/>
      </w:divBdr>
    </w:div>
    <w:div w:id="1473211806">
      <w:bodyDiv w:val="1"/>
      <w:marLeft w:val="0"/>
      <w:marRight w:val="0"/>
      <w:marTop w:val="0"/>
      <w:marBottom w:val="0"/>
      <w:divBdr>
        <w:top w:val="none" w:sz="0" w:space="0" w:color="auto"/>
        <w:left w:val="none" w:sz="0" w:space="0" w:color="auto"/>
        <w:bottom w:val="none" w:sz="0" w:space="0" w:color="auto"/>
        <w:right w:val="none" w:sz="0" w:space="0" w:color="auto"/>
      </w:divBdr>
    </w:div>
    <w:div w:id="1478110303">
      <w:bodyDiv w:val="1"/>
      <w:marLeft w:val="0"/>
      <w:marRight w:val="0"/>
      <w:marTop w:val="0"/>
      <w:marBottom w:val="0"/>
      <w:divBdr>
        <w:top w:val="none" w:sz="0" w:space="0" w:color="auto"/>
        <w:left w:val="none" w:sz="0" w:space="0" w:color="auto"/>
        <w:bottom w:val="none" w:sz="0" w:space="0" w:color="auto"/>
        <w:right w:val="none" w:sz="0" w:space="0" w:color="auto"/>
      </w:divBdr>
    </w:div>
    <w:div w:id="1502089650">
      <w:bodyDiv w:val="1"/>
      <w:marLeft w:val="0"/>
      <w:marRight w:val="0"/>
      <w:marTop w:val="0"/>
      <w:marBottom w:val="0"/>
      <w:divBdr>
        <w:top w:val="none" w:sz="0" w:space="0" w:color="auto"/>
        <w:left w:val="none" w:sz="0" w:space="0" w:color="auto"/>
        <w:bottom w:val="none" w:sz="0" w:space="0" w:color="auto"/>
        <w:right w:val="none" w:sz="0" w:space="0" w:color="auto"/>
      </w:divBdr>
    </w:div>
    <w:div w:id="1509246691">
      <w:bodyDiv w:val="1"/>
      <w:marLeft w:val="0"/>
      <w:marRight w:val="0"/>
      <w:marTop w:val="0"/>
      <w:marBottom w:val="0"/>
      <w:divBdr>
        <w:top w:val="none" w:sz="0" w:space="0" w:color="auto"/>
        <w:left w:val="none" w:sz="0" w:space="0" w:color="auto"/>
        <w:bottom w:val="none" w:sz="0" w:space="0" w:color="auto"/>
        <w:right w:val="none" w:sz="0" w:space="0" w:color="auto"/>
      </w:divBdr>
    </w:div>
    <w:div w:id="1528832102">
      <w:bodyDiv w:val="1"/>
      <w:marLeft w:val="0"/>
      <w:marRight w:val="0"/>
      <w:marTop w:val="0"/>
      <w:marBottom w:val="0"/>
      <w:divBdr>
        <w:top w:val="none" w:sz="0" w:space="0" w:color="auto"/>
        <w:left w:val="none" w:sz="0" w:space="0" w:color="auto"/>
        <w:bottom w:val="none" w:sz="0" w:space="0" w:color="auto"/>
        <w:right w:val="none" w:sz="0" w:space="0" w:color="auto"/>
      </w:divBdr>
    </w:div>
    <w:div w:id="1529025282">
      <w:bodyDiv w:val="1"/>
      <w:marLeft w:val="0"/>
      <w:marRight w:val="0"/>
      <w:marTop w:val="0"/>
      <w:marBottom w:val="0"/>
      <w:divBdr>
        <w:top w:val="none" w:sz="0" w:space="0" w:color="auto"/>
        <w:left w:val="none" w:sz="0" w:space="0" w:color="auto"/>
        <w:bottom w:val="none" w:sz="0" w:space="0" w:color="auto"/>
        <w:right w:val="none" w:sz="0" w:space="0" w:color="auto"/>
      </w:divBdr>
    </w:div>
    <w:div w:id="1531407347">
      <w:bodyDiv w:val="1"/>
      <w:marLeft w:val="0"/>
      <w:marRight w:val="0"/>
      <w:marTop w:val="0"/>
      <w:marBottom w:val="0"/>
      <w:divBdr>
        <w:top w:val="none" w:sz="0" w:space="0" w:color="auto"/>
        <w:left w:val="none" w:sz="0" w:space="0" w:color="auto"/>
        <w:bottom w:val="none" w:sz="0" w:space="0" w:color="auto"/>
        <w:right w:val="none" w:sz="0" w:space="0" w:color="auto"/>
      </w:divBdr>
    </w:div>
    <w:div w:id="1540505950">
      <w:bodyDiv w:val="1"/>
      <w:marLeft w:val="0"/>
      <w:marRight w:val="0"/>
      <w:marTop w:val="0"/>
      <w:marBottom w:val="0"/>
      <w:divBdr>
        <w:top w:val="none" w:sz="0" w:space="0" w:color="auto"/>
        <w:left w:val="none" w:sz="0" w:space="0" w:color="auto"/>
        <w:bottom w:val="none" w:sz="0" w:space="0" w:color="auto"/>
        <w:right w:val="none" w:sz="0" w:space="0" w:color="auto"/>
      </w:divBdr>
    </w:div>
    <w:div w:id="1541434703">
      <w:bodyDiv w:val="1"/>
      <w:marLeft w:val="0"/>
      <w:marRight w:val="0"/>
      <w:marTop w:val="0"/>
      <w:marBottom w:val="0"/>
      <w:divBdr>
        <w:top w:val="none" w:sz="0" w:space="0" w:color="auto"/>
        <w:left w:val="none" w:sz="0" w:space="0" w:color="auto"/>
        <w:bottom w:val="none" w:sz="0" w:space="0" w:color="auto"/>
        <w:right w:val="none" w:sz="0" w:space="0" w:color="auto"/>
      </w:divBdr>
    </w:div>
    <w:div w:id="1567253750">
      <w:bodyDiv w:val="1"/>
      <w:marLeft w:val="0"/>
      <w:marRight w:val="0"/>
      <w:marTop w:val="0"/>
      <w:marBottom w:val="0"/>
      <w:divBdr>
        <w:top w:val="none" w:sz="0" w:space="0" w:color="auto"/>
        <w:left w:val="none" w:sz="0" w:space="0" w:color="auto"/>
        <w:bottom w:val="none" w:sz="0" w:space="0" w:color="auto"/>
        <w:right w:val="none" w:sz="0" w:space="0" w:color="auto"/>
      </w:divBdr>
    </w:div>
    <w:div w:id="1589147074">
      <w:bodyDiv w:val="1"/>
      <w:marLeft w:val="0"/>
      <w:marRight w:val="0"/>
      <w:marTop w:val="0"/>
      <w:marBottom w:val="0"/>
      <w:divBdr>
        <w:top w:val="none" w:sz="0" w:space="0" w:color="auto"/>
        <w:left w:val="none" w:sz="0" w:space="0" w:color="auto"/>
        <w:bottom w:val="none" w:sz="0" w:space="0" w:color="auto"/>
        <w:right w:val="none" w:sz="0" w:space="0" w:color="auto"/>
      </w:divBdr>
    </w:div>
    <w:div w:id="1591622701">
      <w:bodyDiv w:val="1"/>
      <w:marLeft w:val="0"/>
      <w:marRight w:val="0"/>
      <w:marTop w:val="0"/>
      <w:marBottom w:val="0"/>
      <w:divBdr>
        <w:top w:val="none" w:sz="0" w:space="0" w:color="auto"/>
        <w:left w:val="none" w:sz="0" w:space="0" w:color="auto"/>
        <w:bottom w:val="none" w:sz="0" w:space="0" w:color="auto"/>
        <w:right w:val="none" w:sz="0" w:space="0" w:color="auto"/>
      </w:divBdr>
    </w:div>
    <w:div w:id="1602183046">
      <w:bodyDiv w:val="1"/>
      <w:marLeft w:val="0"/>
      <w:marRight w:val="0"/>
      <w:marTop w:val="0"/>
      <w:marBottom w:val="0"/>
      <w:divBdr>
        <w:top w:val="none" w:sz="0" w:space="0" w:color="auto"/>
        <w:left w:val="none" w:sz="0" w:space="0" w:color="auto"/>
        <w:bottom w:val="none" w:sz="0" w:space="0" w:color="auto"/>
        <w:right w:val="none" w:sz="0" w:space="0" w:color="auto"/>
      </w:divBdr>
    </w:div>
    <w:div w:id="1616786856">
      <w:bodyDiv w:val="1"/>
      <w:marLeft w:val="0"/>
      <w:marRight w:val="0"/>
      <w:marTop w:val="0"/>
      <w:marBottom w:val="0"/>
      <w:divBdr>
        <w:top w:val="none" w:sz="0" w:space="0" w:color="auto"/>
        <w:left w:val="none" w:sz="0" w:space="0" w:color="auto"/>
        <w:bottom w:val="none" w:sz="0" w:space="0" w:color="auto"/>
        <w:right w:val="none" w:sz="0" w:space="0" w:color="auto"/>
      </w:divBdr>
    </w:div>
    <w:div w:id="1642810698">
      <w:bodyDiv w:val="1"/>
      <w:marLeft w:val="0"/>
      <w:marRight w:val="0"/>
      <w:marTop w:val="0"/>
      <w:marBottom w:val="0"/>
      <w:divBdr>
        <w:top w:val="none" w:sz="0" w:space="0" w:color="auto"/>
        <w:left w:val="none" w:sz="0" w:space="0" w:color="auto"/>
        <w:bottom w:val="none" w:sz="0" w:space="0" w:color="auto"/>
        <w:right w:val="none" w:sz="0" w:space="0" w:color="auto"/>
      </w:divBdr>
    </w:div>
    <w:div w:id="1654794358">
      <w:bodyDiv w:val="1"/>
      <w:marLeft w:val="0"/>
      <w:marRight w:val="0"/>
      <w:marTop w:val="0"/>
      <w:marBottom w:val="0"/>
      <w:divBdr>
        <w:top w:val="none" w:sz="0" w:space="0" w:color="auto"/>
        <w:left w:val="none" w:sz="0" w:space="0" w:color="auto"/>
        <w:bottom w:val="none" w:sz="0" w:space="0" w:color="auto"/>
        <w:right w:val="none" w:sz="0" w:space="0" w:color="auto"/>
      </w:divBdr>
    </w:div>
    <w:div w:id="1663966553">
      <w:bodyDiv w:val="1"/>
      <w:marLeft w:val="0"/>
      <w:marRight w:val="0"/>
      <w:marTop w:val="0"/>
      <w:marBottom w:val="0"/>
      <w:divBdr>
        <w:top w:val="none" w:sz="0" w:space="0" w:color="auto"/>
        <w:left w:val="none" w:sz="0" w:space="0" w:color="auto"/>
        <w:bottom w:val="none" w:sz="0" w:space="0" w:color="auto"/>
        <w:right w:val="none" w:sz="0" w:space="0" w:color="auto"/>
      </w:divBdr>
    </w:div>
    <w:div w:id="1665889169">
      <w:bodyDiv w:val="1"/>
      <w:marLeft w:val="0"/>
      <w:marRight w:val="0"/>
      <w:marTop w:val="0"/>
      <w:marBottom w:val="0"/>
      <w:divBdr>
        <w:top w:val="none" w:sz="0" w:space="0" w:color="auto"/>
        <w:left w:val="none" w:sz="0" w:space="0" w:color="auto"/>
        <w:bottom w:val="none" w:sz="0" w:space="0" w:color="auto"/>
        <w:right w:val="none" w:sz="0" w:space="0" w:color="auto"/>
      </w:divBdr>
    </w:div>
    <w:div w:id="1673491868">
      <w:bodyDiv w:val="1"/>
      <w:marLeft w:val="0"/>
      <w:marRight w:val="0"/>
      <w:marTop w:val="0"/>
      <w:marBottom w:val="0"/>
      <w:divBdr>
        <w:top w:val="none" w:sz="0" w:space="0" w:color="auto"/>
        <w:left w:val="none" w:sz="0" w:space="0" w:color="auto"/>
        <w:bottom w:val="none" w:sz="0" w:space="0" w:color="auto"/>
        <w:right w:val="none" w:sz="0" w:space="0" w:color="auto"/>
      </w:divBdr>
    </w:div>
    <w:div w:id="1675842287">
      <w:bodyDiv w:val="1"/>
      <w:marLeft w:val="0"/>
      <w:marRight w:val="0"/>
      <w:marTop w:val="0"/>
      <w:marBottom w:val="0"/>
      <w:divBdr>
        <w:top w:val="none" w:sz="0" w:space="0" w:color="auto"/>
        <w:left w:val="none" w:sz="0" w:space="0" w:color="auto"/>
        <w:bottom w:val="none" w:sz="0" w:space="0" w:color="auto"/>
        <w:right w:val="none" w:sz="0" w:space="0" w:color="auto"/>
      </w:divBdr>
    </w:div>
    <w:div w:id="1686663113">
      <w:bodyDiv w:val="1"/>
      <w:marLeft w:val="0"/>
      <w:marRight w:val="0"/>
      <w:marTop w:val="0"/>
      <w:marBottom w:val="0"/>
      <w:divBdr>
        <w:top w:val="none" w:sz="0" w:space="0" w:color="auto"/>
        <w:left w:val="none" w:sz="0" w:space="0" w:color="auto"/>
        <w:bottom w:val="none" w:sz="0" w:space="0" w:color="auto"/>
        <w:right w:val="none" w:sz="0" w:space="0" w:color="auto"/>
      </w:divBdr>
    </w:div>
    <w:div w:id="1691685350">
      <w:bodyDiv w:val="1"/>
      <w:marLeft w:val="0"/>
      <w:marRight w:val="0"/>
      <w:marTop w:val="0"/>
      <w:marBottom w:val="0"/>
      <w:divBdr>
        <w:top w:val="none" w:sz="0" w:space="0" w:color="auto"/>
        <w:left w:val="none" w:sz="0" w:space="0" w:color="auto"/>
        <w:bottom w:val="none" w:sz="0" w:space="0" w:color="auto"/>
        <w:right w:val="none" w:sz="0" w:space="0" w:color="auto"/>
      </w:divBdr>
    </w:div>
    <w:div w:id="1703046589">
      <w:bodyDiv w:val="1"/>
      <w:marLeft w:val="0"/>
      <w:marRight w:val="0"/>
      <w:marTop w:val="0"/>
      <w:marBottom w:val="0"/>
      <w:divBdr>
        <w:top w:val="none" w:sz="0" w:space="0" w:color="auto"/>
        <w:left w:val="none" w:sz="0" w:space="0" w:color="auto"/>
        <w:bottom w:val="none" w:sz="0" w:space="0" w:color="auto"/>
        <w:right w:val="none" w:sz="0" w:space="0" w:color="auto"/>
      </w:divBdr>
    </w:div>
    <w:div w:id="1723672536">
      <w:bodyDiv w:val="1"/>
      <w:marLeft w:val="0"/>
      <w:marRight w:val="0"/>
      <w:marTop w:val="0"/>
      <w:marBottom w:val="0"/>
      <w:divBdr>
        <w:top w:val="none" w:sz="0" w:space="0" w:color="auto"/>
        <w:left w:val="none" w:sz="0" w:space="0" w:color="auto"/>
        <w:bottom w:val="none" w:sz="0" w:space="0" w:color="auto"/>
        <w:right w:val="none" w:sz="0" w:space="0" w:color="auto"/>
      </w:divBdr>
    </w:div>
    <w:div w:id="1723753206">
      <w:bodyDiv w:val="1"/>
      <w:marLeft w:val="0"/>
      <w:marRight w:val="0"/>
      <w:marTop w:val="0"/>
      <w:marBottom w:val="0"/>
      <w:divBdr>
        <w:top w:val="none" w:sz="0" w:space="0" w:color="auto"/>
        <w:left w:val="none" w:sz="0" w:space="0" w:color="auto"/>
        <w:bottom w:val="none" w:sz="0" w:space="0" w:color="auto"/>
        <w:right w:val="none" w:sz="0" w:space="0" w:color="auto"/>
      </w:divBdr>
    </w:div>
    <w:div w:id="1762263547">
      <w:bodyDiv w:val="1"/>
      <w:marLeft w:val="0"/>
      <w:marRight w:val="0"/>
      <w:marTop w:val="0"/>
      <w:marBottom w:val="0"/>
      <w:divBdr>
        <w:top w:val="none" w:sz="0" w:space="0" w:color="auto"/>
        <w:left w:val="none" w:sz="0" w:space="0" w:color="auto"/>
        <w:bottom w:val="none" w:sz="0" w:space="0" w:color="auto"/>
        <w:right w:val="none" w:sz="0" w:space="0" w:color="auto"/>
      </w:divBdr>
    </w:div>
    <w:div w:id="1763526122">
      <w:bodyDiv w:val="1"/>
      <w:marLeft w:val="0"/>
      <w:marRight w:val="0"/>
      <w:marTop w:val="0"/>
      <w:marBottom w:val="0"/>
      <w:divBdr>
        <w:top w:val="none" w:sz="0" w:space="0" w:color="auto"/>
        <w:left w:val="none" w:sz="0" w:space="0" w:color="auto"/>
        <w:bottom w:val="none" w:sz="0" w:space="0" w:color="auto"/>
        <w:right w:val="none" w:sz="0" w:space="0" w:color="auto"/>
      </w:divBdr>
    </w:div>
    <w:div w:id="1776050576">
      <w:bodyDiv w:val="1"/>
      <w:marLeft w:val="0"/>
      <w:marRight w:val="0"/>
      <w:marTop w:val="0"/>
      <w:marBottom w:val="0"/>
      <w:divBdr>
        <w:top w:val="none" w:sz="0" w:space="0" w:color="auto"/>
        <w:left w:val="none" w:sz="0" w:space="0" w:color="auto"/>
        <w:bottom w:val="none" w:sz="0" w:space="0" w:color="auto"/>
        <w:right w:val="none" w:sz="0" w:space="0" w:color="auto"/>
      </w:divBdr>
    </w:div>
    <w:div w:id="1781879131">
      <w:bodyDiv w:val="1"/>
      <w:marLeft w:val="0"/>
      <w:marRight w:val="0"/>
      <w:marTop w:val="0"/>
      <w:marBottom w:val="0"/>
      <w:divBdr>
        <w:top w:val="none" w:sz="0" w:space="0" w:color="auto"/>
        <w:left w:val="none" w:sz="0" w:space="0" w:color="auto"/>
        <w:bottom w:val="none" w:sz="0" w:space="0" w:color="auto"/>
        <w:right w:val="none" w:sz="0" w:space="0" w:color="auto"/>
      </w:divBdr>
    </w:div>
    <w:div w:id="1790588317">
      <w:bodyDiv w:val="1"/>
      <w:marLeft w:val="0"/>
      <w:marRight w:val="0"/>
      <w:marTop w:val="0"/>
      <w:marBottom w:val="0"/>
      <w:divBdr>
        <w:top w:val="none" w:sz="0" w:space="0" w:color="auto"/>
        <w:left w:val="none" w:sz="0" w:space="0" w:color="auto"/>
        <w:bottom w:val="none" w:sz="0" w:space="0" w:color="auto"/>
        <w:right w:val="none" w:sz="0" w:space="0" w:color="auto"/>
      </w:divBdr>
    </w:div>
    <w:div w:id="1806658682">
      <w:bodyDiv w:val="1"/>
      <w:marLeft w:val="0"/>
      <w:marRight w:val="0"/>
      <w:marTop w:val="0"/>
      <w:marBottom w:val="0"/>
      <w:divBdr>
        <w:top w:val="none" w:sz="0" w:space="0" w:color="auto"/>
        <w:left w:val="none" w:sz="0" w:space="0" w:color="auto"/>
        <w:bottom w:val="none" w:sz="0" w:space="0" w:color="auto"/>
        <w:right w:val="none" w:sz="0" w:space="0" w:color="auto"/>
      </w:divBdr>
    </w:div>
    <w:div w:id="1820340841">
      <w:bodyDiv w:val="1"/>
      <w:marLeft w:val="0"/>
      <w:marRight w:val="0"/>
      <w:marTop w:val="0"/>
      <w:marBottom w:val="0"/>
      <w:divBdr>
        <w:top w:val="none" w:sz="0" w:space="0" w:color="auto"/>
        <w:left w:val="none" w:sz="0" w:space="0" w:color="auto"/>
        <w:bottom w:val="none" w:sz="0" w:space="0" w:color="auto"/>
        <w:right w:val="none" w:sz="0" w:space="0" w:color="auto"/>
      </w:divBdr>
    </w:div>
    <w:div w:id="1860468673">
      <w:bodyDiv w:val="1"/>
      <w:marLeft w:val="0"/>
      <w:marRight w:val="0"/>
      <w:marTop w:val="0"/>
      <w:marBottom w:val="0"/>
      <w:divBdr>
        <w:top w:val="none" w:sz="0" w:space="0" w:color="auto"/>
        <w:left w:val="none" w:sz="0" w:space="0" w:color="auto"/>
        <w:bottom w:val="none" w:sz="0" w:space="0" w:color="auto"/>
        <w:right w:val="none" w:sz="0" w:space="0" w:color="auto"/>
      </w:divBdr>
    </w:div>
    <w:div w:id="1867788752">
      <w:bodyDiv w:val="1"/>
      <w:marLeft w:val="0"/>
      <w:marRight w:val="0"/>
      <w:marTop w:val="0"/>
      <w:marBottom w:val="0"/>
      <w:divBdr>
        <w:top w:val="none" w:sz="0" w:space="0" w:color="auto"/>
        <w:left w:val="none" w:sz="0" w:space="0" w:color="auto"/>
        <w:bottom w:val="none" w:sz="0" w:space="0" w:color="auto"/>
        <w:right w:val="none" w:sz="0" w:space="0" w:color="auto"/>
      </w:divBdr>
    </w:div>
    <w:div w:id="1898667192">
      <w:bodyDiv w:val="1"/>
      <w:marLeft w:val="0"/>
      <w:marRight w:val="0"/>
      <w:marTop w:val="0"/>
      <w:marBottom w:val="0"/>
      <w:divBdr>
        <w:top w:val="none" w:sz="0" w:space="0" w:color="auto"/>
        <w:left w:val="none" w:sz="0" w:space="0" w:color="auto"/>
        <w:bottom w:val="none" w:sz="0" w:space="0" w:color="auto"/>
        <w:right w:val="none" w:sz="0" w:space="0" w:color="auto"/>
      </w:divBdr>
    </w:div>
    <w:div w:id="1918050006">
      <w:bodyDiv w:val="1"/>
      <w:marLeft w:val="0"/>
      <w:marRight w:val="0"/>
      <w:marTop w:val="0"/>
      <w:marBottom w:val="0"/>
      <w:divBdr>
        <w:top w:val="none" w:sz="0" w:space="0" w:color="auto"/>
        <w:left w:val="none" w:sz="0" w:space="0" w:color="auto"/>
        <w:bottom w:val="none" w:sz="0" w:space="0" w:color="auto"/>
        <w:right w:val="none" w:sz="0" w:space="0" w:color="auto"/>
      </w:divBdr>
    </w:div>
    <w:div w:id="1922792684">
      <w:bodyDiv w:val="1"/>
      <w:marLeft w:val="0"/>
      <w:marRight w:val="0"/>
      <w:marTop w:val="0"/>
      <w:marBottom w:val="0"/>
      <w:divBdr>
        <w:top w:val="none" w:sz="0" w:space="0" w:color="auto"/>
        <w:left w:val="none" w:sz="0" w:space="0" w:color="auto"/>
        <w:bottom w:val="none" w:sz="0" w:space="0" w:color="auto"/>
        <w:right w:val="none" w:sz="0" w:space="0" w:color="auto"/>
      </w:divBdr>
    </w:div>
    <w:div w:id="1940479303">
      <w:bodyDiv w:val="1"/>
      <w:marLeft w:val="0"/>
      <w:marRight w:val="0"/>
      <w:marTop w:val="0"/>
      <w:marBottom w:val="0"/>
      <w:divBdr>
        <w:top w:val="none" w:sz="0" w:space="0" w:color="auto"/>
        <w:left w:val="none" w:sz="0" w:space="0" w:color="auto"/>
        <w:bottom w:val="none" w:sz="0" w:space="0" w:color="auto"/>
        <w:right w:val="none" w:sz="0" w:space="0" w:color="auto"/>
      </w:divBdr>
    </w:div>
    <w:div w:id="1958096297">
      <w:bodyDiv w:val="1"/>
      <w:marLeft w:val="0"/>
      <w:marRight w:val="0"/>
      <w:marTop w:val="0"/>
      <w:marBottom w:val="0"/>
      <w:divBdr>
        <w:top w:val="none" w:sz="0" w:space="0" w:color="auto"/>
        <w:left w:val="none" w:sz="0" w:space="0" w:color="auto"/>
        <w:bottom w:val="none" w:sz="0" w:space="0" w:color="auto"/>
        <w:right w:val="none" w:sz="0" w:space="0" w:color="auto"/>
      </w:divBdr>
    </w:div>
    <w:div w:id="1959995136">
      <w:bodyDiv w:val="1"/>
      <w:marLeft w:val="0"/>
      <w:marRight w:val="0"/>
      <w:marTop w:val="0"/>
      <w:marBottom w:val="0"/>
      <w:divBdr>
        <w:top w:val="none" w:sz="0" w:space="0" w:color="auto"/>
        <w:left w:val="none" w:sz="0" w:space="0" w:color="auto"/>
        <w:bottom w:val="none" w:sz="0" w:space="0" w:color="auto"/>
        <w:right w:val="none" w:sz="0" w:space="0" w:color="auto"/>
      </w:divBdr>
    </w:div>
    <w:div w:id="1963340344">
      <w:bodyDiv w:val="1"/>
      <w:marLeft w:val="0"/>
      <w:marRight w:val="0"/>
      <w:marTop w:val="0"/>
      <w:marBottom w:val="0"/>
      <w:divBdr>
        <w:top w:val="none" w:sz="0" w:space="0" w:color="auto"/>
        <w:left w:val="none" w:sz="0" w:space="0" w:color="auto"/>
        <w:bottom w:val="none" w:sz="0" w:space="0" w:color="auto"/>
        <w:right w:val="none" w:sz="0" w:space="0" w:color="auto"/>
      </w:divBdr>
    </w:div>
    <w:div w:id="1965621457">
      <w:bodyDiv w:val="1"/>
      <w:marLeft w:val="0"/>
      <w:marRight w:val="0"/>
      <w:marTop w:val="0"/>
      <w:marBottom w:val="0"/>
      <w:divBdr>
        <w:top w:val="none" w:sz="0" w:space="0" w:color="auto"/>
        <w:left w:val="none" w:sz="0" w:space="0" w:color="auto"/>
        <w:bottom w:val="none" w:sz="0" w:space="0" w:color="auto"/>
        <w:right w:val="none" w:sz="0" w:space="0" w:color="auto"/>
      </w:divBdr>
    </w:div>
    <w:div w:id="1970167109">
      <w:bodyDiv w:val="1"/>
      <w:marLeft w:val="0"/>
      <w:marRight w:val="0"/>
      <w:marTop w:val="0"/>
      <w:marBottom w:val="0"/>
      <w:divBdr>
        <w:top w:val="none" w:sz="0" w:space="0" w:color="auto"/>
        <w:left w:val="none" w:sz="0" w:space="0" w:color="auto"/>
        <w:bottom w:val="none" w:sz="0" w:space="0" w:color="auto"/>
        <w:right w:val="none" w:sz="0" w:space="0" w:color="auto"/>
      </w:divBdr>
    </w:div>
    <w:div w:id="1974671142">
      <w:bodyDiv w:val="1"/>
      <w:marLeft w:val="0"/>
      <w:marRight w:val="0"/>
      <w:marTop w:val="0"/>
      <w:marBottom w:val="0"/>
      <w:divBdr>
        <w:top w:val="none" w:sz="0" w:space="0" w:color="auto"/>
        <w:left w:val="none" w:sz="0" w:space="0" w:color="auto"/>
        <w:bottom w:val="none" w:sz="0" w:space="0" w:color="auto"/>
        <w:right w:val="none" w:sz="0" w:space="0" w:color="auto"/>
      </w:divBdr>
    </w:div>
    <w:div w:id="1990133168">
      <w:bodyDiv w:val="1"/>
      <w:marLeft w:val="0"/>
      <w:marRight w:val="0"/>
      <w:marTop w:val="0"/>
      <w:marBottom w:val="0"/>
      <w:divBdr>
        <w:top w:val="none" w:sz="0" w:space="0" w:color="auto"/>
        <w:left w:val="none" w:sz="0" w:space="0" w:color="auto"/>
        <w:bottom w:val="none" w:sz="0" w:space="0" w:color="auto"/>
        <w:right w:val="none" w:sz="0" w:space="0" w:color="auto"/>
      </w:divBdr>
    </w:div>
    <w:div w:id="2015954485">
      <w:bodyDiv w:val="1"/>
      <w:marLeft w:val="0"/>
      <w:marRight w:val="0"/>
      <w:marTop w:val="0"/>
      <w:marBottom w:val="0"/>
      <w:divBdr>
        <w:top w:val="none" w:sz="0" w:space="0" w:color="auto"/>
        <w:left w:val="none" w:sz="0" w:space="0" w:color="auto"/>
        <w:bottom w:val="none" w:sz="0" w:space="0" w:color="auto"/>
        <w:right w:val="none" w:sz="0" w:space="0" w:color="auto"/>
      </w:divBdr>
    </w:div>
    <w:div w:id="2019961109">
      <w:bodyDiv w:val="1"/>
      <w:marLeft w:val="0"/>
      <w:marRight w:val="0"/>
      <w:marTop w:val="0"/>
      <w:marBottom w:val="0"/>
      <w:divBdr>
        <w:top w:val="none" w:sz="0" w:space="0" w:color="auto"/>
        <w:left w:val="none" w:sz="0" w:space="0" w:color="auto"/>
        <w:bottom w:val="none" w:sz="0" w:space="0" w:color="auto"/>
        <w:right w:val="none" w:sz="0" w:space="0" w:color="auto"/>
      </w:divBdr>
    </w:div>
    <w:div w:id="2025549517">
      <w:bodyDiv w:val="1"/>
      <w:marLeft w:val="0"/>
      <w:marRight w:val="0"/>
      <w:marTop w:val="0"/>
      <w:marBottom w:val="0"/>
      <w:divBdr>
        <w:top w:val="none" w:sz="0" w:space="0" w:color="auto"/>
        <w:left w:val="none" w:sz="0" w:space="0" w:color="auto"/>
        <w:bottom w:val="none" w:sz="0" w:space="0" w:color="auto"/>
        <w:right w:val="none" w:sz="0" w:space="0" w:color="auto"/>
      </w:divBdr>
    </w:div>
    <w:div w:id="2034919049">
      <w:bodyDiv w:val="1"/>
      <w:marLeft w:val="0"/>
      <w:marRight w:val="0"/>
      <w:marTop w:val="0"/>
      <w:marBottom w:val="0"/>
      <w:divBdr>
        <w:top w:val="none" w:sz="0" w:space="0" w:color="auto"/>
        <w:left w:val="none" w:sz="0" w:space="0" w:color="auto"/>
        <w:bottom w:val="none" w:sz="0" w:space="0" w:color="auto"/>
        <w:right w:val="none" w:sz="0" w:space="0" w:color="auto"/>
      </w:divBdr>
    </w:div>
    <w:div w:id="2036340819">
      <w:bodyDiv w:val="1"/>
      <w:marLeft w:val="0"/>
      <w:marRight w:val="0"/>
      <w:marTop w:val="0"/>
      <w:marBottom w:val="0"/>
      <w:divBdr>
        <w:top w:val="none" w:sz="0" w:space="0" w:color="auto"/>
        <w:left w:val="none" w:sz="0" w:space="0" w:color="auto"/>
        <w:bottom w:val="none" w:sz="0" w:space="0" w:color="auto"/>
        <w:right w:val="none" w:sz="0" w:space="0" w:color="auto"/>
      </w:divBdr>
    </w:div>
    <w:div w:id="2037077731">
      <w:bodyDiv w:val="1"/>
      <w:marLeft w:val="0"/>
      <w:marRight w:val="0"/>
      <w:marTop w:val="0"/>
      <w:marBottom w:val="0"/>
      <w:divBdr>
        <w:top w:val="none" w:sz="0" w:space="0" w:color="auto"/>
        <w:left w:val="none" w:sz="0" w:space="0" w:color="auto"/>
        <w:bottom w:val="none" w:sz="0" w:space="0" w:color="auto"/>
        <w:right w:val="none" w:sz="0" w:space="0" w:color="auto"/>
      </w:divBdr>
    </w:div>
    <w:div w:id="2037078413">
      <w:bodyDiv w:val="1"/>
      <w:marLeft w:val="0"/>
      <w:marRight w:val="0"/>
      <w:marTop w:val="0"/>
      <w:marBottom w:val="0"/>
      <w:divBdr>
        <w:top w:val="none" w:sz="0" w:space="0" w:color="auto"/>
        <w:left w:val="none" w:sz="0" w:space="0" w:color="auto"/>
        <w:bottom w:val="none" w:sz="0" w:space="0" w:color="auto"/>
        <w:right w:val="none" w:sz="0" w:space="0" w:color="auto"/>
      </w:divBdr>
    </w:div>
    <w:div w:id="2037654992">
      <w:bodyDiv w:val="1"/>
      <w:marLeft w:val="0"/>
      <w:marRight w:val="0"/>
      <w:marTop w:val="0"/>
      <w:marBottom w:val="0"/>
      <w:divBdr>
        <w:top w:val="none" w:sz="0" w:space="0" w:color="auto"/>
        <w:left w:val="none" w:sz="0" w:space="0" w:color="auto"/>
        <w:bottom w:val="none" w:sz="0" w:space="0" w:color="auto"/>
        <w:right w:val="none" w:sz="0" w:space="0" w:color="auto"/>
      </w:divBdr>
    </w:div>
    <w:div w:id="2050834332">
      <w:bodyDiv w:val="1"/>
      <w:marLeft w:val="0"/>
      <w:marRight w:val="0"/>
      <w:marTop w:val="0"/>
      <w:marBottom w:val="0"/>
      <w:divBdr>
        <w:top w:val="none" w:sz="0" w:space="0" w:color="auto"/>
        <w:left w:val="none" w:sz="0" w:space="0" w:color="auto"/>
        <w:bottom w:val="none" w:sz="0" w:space="0" w:color="auto"/>
        <w:right w:val="none" w:sz="0" w:space="0" w:color="auto"/>
      </w:divBdr>
    </w:div>
    <w:div w:id="2062822954">
      <w:bodyDiv w:val="1"/>
      <w:marLeft w:val="0"/>
      <w:marRight w:val="0"/>
      <w:marTop w:val="0"/>
      <w:marBottom w:val="0"/>
      <w:divBdr>
        <w:top w:val="none" w:sz="0" w:space="0" w:color="auto"/>
        <w:left w:val="none" w:sz="0" w:space="0" w:color="auto"/>
        <w:bottom w:val="none" w:sz="0" w:space="0" w:color="auto"/>
        <w:right w:val="none" w:sz="0" w:space="0" w:color="auto"/>
      </w:divBdr>
    </w:div>
    <w:div w:id="2070112723">
      <w:bodyDiv w:val="1"/>
      <w:marLeft w:val="0"/>
      <w:marRight w:val="0"/>
      <w:marTop w:val="0"/>
      <w:marBottom w:val="0"/>
      <w:divBdr>
        <w:top w:val="none" w:sz="0" w:space="0" w:color="auto"/>
        <w:left w:val="none" w:sz="0" w:space="0" w:color="auto"/>
        <w:bottom w:val="none" w:sz="0" w:space="0" w:color="auto"/>
        <w:right w:val="none" w:sz="0" w:space="0" w:color="auto"/>
      </w:divBdr>
    </w:div>
    <w:div w:id="2083790589">
      <w:bodyDiv w:val="1"/>
      <w:marLeft w:val="0"/>
      <w:marRight w:val="0"/>
      <w:marTop w:val="0"/>
      <w:marBottom w:val="0"/>
      <w:divBdr>
        <w:top w:val="none" w:sz="0" w:space="0" w:color="auto"/>
        <w:left w:val="none" w:sz="0" w:space="0" w:color="auto"/>
        <w:bottom w:val="none" w:sz="0" w:space="0" w:color="auto"/>
        <w:right w:val="none" w:sz="0" w:space="0" w:color="auto"/>
      </w:divBdr>
    </w:div>
    <w:div w:id="2103061340">
      <w:bodyDiv w:val="1"/>
      <w:marLeft w:val="0"/>
      <w:marRight w:val="0"/>
      <w:marTop w:val="0"/>
      <w:marBottom w:val="0"/>
      <w:divBdr>
        <w:top w:val="none" w:sz="0" w:space="0" w:color="auto"/>
        <w:left w:val="none" w:sz="0" w:space="0" w:color="auto"/>
        <w:bottom w:val="none" w:sz="0" w:space="0" w:color="auto"/>
        <w:right w:val="none" w:sz="0" w:space="0" w:color="auto"/>
      </w:divBdr>
    </w:div>
    <w:div w:id="2107537784">
      <w:bodyDiv w:val="1"/>
      <w:marLeft w:val="0"/>
      <w:marRight w:val="0"/>
      <w:marTop w:val="0"/>
      <w:marBottom w:val="0"/>
      <w:divBdr>
        <w:top w:val="none" w:sz="0" w:space="0" w:color="auto"/>
        <w:left w:val="none" w:sz="0" w:space="0" w:color="auto"/>
        <w:bottom w:val="none" w:sz="0" w:space="0" w:color="auto"/>
        <w:right w:val="none" w:sz="0" w:space="0" w:color="auto"/>
      </w:divBdr>
    </w:div>
    <w:div w:id="211748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ub.bvresources.com/pdfs/BVR-2021-DLOM-Survey-Result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John-Creswell-2?_tp=eyJjb250ZXh0Ijp7ImZpcnN0UGFnZSI6Il9kaXJlY3QiLCJwYWdlIjoicHVibGljYXRpb24ifX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x.doi.org/10.2139/ssrn.1640496"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srn.com/abstract=1640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6952</Words>
  <Characters>39632</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Hung</dc:creator>
  <cp:keywords/>
  <dc:description/>
  <cp:lastModifiedBy>Paul Hung</cp:lastModifiedBy>
  <cp:revision>901</cp:revision>
  <dcterms:created xsi:type="dcterms:W3CDTF">2024-09-04T05:50:00Z</dcterms:created>
  <dcterms:modified xsi:type="dcterms:W3CDTF">2025-02-16T12:58:00Z</dcterms:modified>
</cp:coreProperties>
</file>