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58E414E3" w:rsidR="00E611D9" w:rsidRDefault="002229F0" w:rsidP="00E611D9">
      <w:pPr>
        <w:pStyle w:val="AssignBody"/>
      </w:pPr>
      <w:r>
        <w:t>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410220BB" w:rsidR="002229F0" w:rsidRDefault="002229F0" w:rsidP="00AE1A4C">
            <w:pPr>
              <w:pStyle w:val="AssignBody"/>
            </w:pPr>
            <w:r>
              <w:t>Target 1</w:t>
            </w:r>
          </w:p>
        </w:tc>
        <w:tc>
          <w:tcPr>
            <w:tcW w:w="7178" w:type="dxa"/>
          </w:tcPr>
          <w:p w14:paraId="3C762E78" w14:textId="38102818" w:rsidR="002229F0" w:rsidRDefault="006E47BE" w:rsidP="00AE1A4C">
            <w:pPr>
              <w:pStyle w:val="AssignBody"/>
              <w:rPr>
                <w:i/>
                <w:iCs/>
              </w:rPr>
            </w:pPr>
            <w:r>
              <w:rPr>
                <w:i/>
                <w:iCs/>
              </w:rPr>
              <w:t>‘Make further links between your reading and your teaching’</w:t>
            </w:r>
          </w:p>
          <w:p w14:paraId="394C5558" w14:textId="1F8B0131" w:rsidR="006E47BE" w:rsidRPr="006E47BE" w:rsidRDefault="006E47BE" w:rsidP="00AE1A4C">
            <w:pPr>
              <w:pStyle w:val="AssignBody"/>
            </w:pPr>
            <w:r>
              <w:t xml:space="preserve">I plan to meet this target by making links between my research and </w:t>
            </w:r>
            <w:r w:rsidR="00A6605A">
              <w:t xml:space="preserve">pedagogy </w:t>
            </w:r>
            <w:r w:rsidR="00D27ADB">
              <w:t xml:space="preserve">and </w:t>
            </w:r>
            <w:r>
              <w:t xml:space="preserve">noting how </w:t>
            </w:r>
            <w:r w:rsidR="00D27ADB">
              <w:t>it may</w:t>
            </w:r>
            <w:r>
              <w:t xml:space="preserve"> transform my </w:t>
            </w:r>
            <w:r w:rsidR="00A6605A">
              <w:t xml:space="preserve">own </w:t>
            </w:r>
            <w:r>
              <w:t xml:space="preserve">future practise in PTE 3.  </w:t>
            </w:r>
          </w:p>
        </w:tc>
      </w:tr>
      <w:tr w:rsidR="002229F0" w14:paraId="73A65764" w14:textId="77777777" w:rsidTr="00AE1A4C">
        <w:tc>
          <w:tcPr>
            <w:tcW w:w="1838" w:type="dxa"/>
          </w:tcPr>
          <w:p w14:paraId="12A42483" w14:textId="09AE7EBA" w:rsidR="002229F0" w:rsidRDefault="002229F0" w:rsidP="00AE1A4C">
            <w:pPr>
              <w:pStyle w:val="AssignBody"/>
            </w:pPr>
            <w:r>
              <w:t>Target 2</w:t>
            </w:r>
          </w:p>
        </w:tc>
        <w:tc>
          <w:tcPr>
            <w:tcW w:w="7178" w:type="dxa"/>
          </w:tcPr>
          <w:p w14:paraId="571BE9D0" w14:textId="77777777" w:rsidR="002229F0" w:rsidRDefault="006E47BE" w:rsidP="00AE1A4C">
            <w:pPr>
              <w:pStyle w:val="AssignBody"/>
              <w:rPr>
                <w:i/>
                <w:iCs/>
              </w:rPr>
            </w:pPr>
            <w:r>
              <w:rPr>
                <w:i/>
                <w:iCs/>
              </w:rPr>
              <w:t>‘Ensure that all your arguments are based on reliable sources of evidence’</w:t>
            </w:r>
          </w:p>
          <w:p w14:paraId="3E19823E" w14:textId="71333F35" w:rsidR="006E47BE" w:rsidRPr="006E47BE" w:rsidRDefault="006E47BE" w:rsidP="00AE1A4C">
            <w:pPr>
              <w:pStyle w:val="AssignBody"/>
            </w:pPr>
            <w:r>
              <w:t xml:space="preserve">I plan to meet this target by being </w:t>
            </w:r>
            <w:r w:rsidR="00D27ADB">
              <w:t xml:space="preserve">sceptical and using Education Source to check </w:t>
            </w:r>
            <w:r w:rsidR="00A6605A">
              <w:t xml:space="preserve">the reliability of </w:t>
            </w:r>
            <w:r w:rsidR="00D27ADB">
              <w:t>source</w:t>
            </w:r>
            <w:r w:rsidR="00A6605A">
              <w:t>s</w:t>
            </w:r>
            <w:r w:rsidR="00D27ADB">
              <w:t xml:space="preserve"> before using them.</w:t>
            </w:r>
          </w:p>
        </w:tc>
      </w:tr>
      <w:tr w:rsidR="002229F0" w14:paraId="0216786F" w14:textId="77777777" w:rsidTr="00AE1A4C">
        <w:tc>
          <w:tcPr>
            <w:tcW w:w="1838" w:type="dxa"/>
          </w:tcPr>
          <w:p w14:paraId="4F73937C" w14:textId="0640626A" w:rsidR="002229F0" w:rsidRDefault="002229F0" w:rsidP="00AE1A4C">
            <w:pPr>
              <w:pStyle w:val="AssignBody"/>
            </w:pPr>
            <w:r>
              <w:t>Target 3</w:t>
            </w:r>
          </w:p>
        </w:tc>
        <w:tc>
          <w:tcPr>
            <w:tcW w:w="7178" w:type="dxa"/>
          </w:tcPr>
          <w:p w14:paraId="0BC42600" w14:textId="77777777" w:rsidR="002229F0" w:rsidRDefault="00D27ADB" w:rsidP="00AE1A4C">
            <w:pPr>
              <w:pStyle w:val="AssignBody"/>
              <w:rPr>
                <w:i/>
                <w:iCs/>
              </w:rPr>
            </w:pPr>
            <w:r>
              <w:rPr>
                <w:i/>
                <w:iCs/>
              </w:rPr>
              <w:t>‘Check for minor slips in expression’</w:t>
            </w:r>
          </w:p>
          <w:p w14:paraId="1FEDD524" w14:textId="43AAAC62" w:rsidR="00D27ADB" w:rsidRPr="00D27ADB" w:rsidRDefault="00D27ADB" w:rsidP="00AE1A4C">
            <w:pPr>
              <w:pStyle w:val="AssignBody"/>
            </w:pPr>
            <w:r>
              <w:t xml:space="preserve">I plan to meet this target by being tentative within my writing and to ask someone else to </w:t>
            </w:r>
            <w:r w:rsidR="00A6605A">
              <w:t>proofread it before submission.</w:t>
            </w:r>
          </w:p>
        </w:tc>
      </w:tr>
    </w:tbl>
    <w:p w14:paraId="45E34BBD" w14:textId="77777777" w:rsidR="002229F0" w:rsidRDefault="002229F0" w:rsidP="00E611D9">
      <w:pPr>
        <w:pStyle w:val="AssignBody"/>
      </w:pPr>
    </w:p>
    <w:p w14:paraId="23253511" w14:textId="65718033" w:rsidR="0059095D" w:rsidRPr="0059095D" w:rsidRDefault="00A6605A" w:rsidP="0059095D">
      <w:pPr>
        <w:pStyle w:val="AssignHeader"/>
      </w:pPr>
      <w:r>
        <w:t xml:space="preserve">Design and conduct a small-scale research study, and critically evaluate the impact of chosen research tools and data/findings on the learner and on your professional practise </w:t>
      </w:r>
    </w:p>
    <w:p w14:paraId="0A9A6EB5" w14:textId="092B3D36" w:rsidR="00691A46" w:rsidRPr="00691A46" w:rsidRDefault="00A6605A" w:rsidP="00691A46">
      <w:pPr>
        <w:pStyle w:val="AssignSubHeader"/>
      </w:pPr>
      <w:r>
        <w:t>Using a random response system in the classroom</w:t>
      </w:r>
    </w:p>
    <w:p w14:paraId="45E45B90" w14:textId="4E50191D" w:rsidR="0059095D" w:rsidRDefault="0059095D" w:rsidP="00CA0777">
      <w:pPr>
        <w:pStyle w:val="AssignBody"/>
        <w:jc w:val="both"/>
      </w:pPr>
      <w:r>
        <w:t xml:space="preserve">The first section of this assignment will outline the chosen research study and consider the benefits of questioning and using a random response system in the classroom. The second section will demonstrate conducted research with an evaluation on chosen research tools and how it may improve professional practise. </w:t>
      </w:r>
    </w:p>
    <w:p w14:paraId="309147BA" w14:textId="77777777" w:rsidR="00CA0777" w:rsidRDefault="00CA0777" w:rsidP="00CA0777">
      <w:pPr>
        <w:pStyle w:val="AssignBody"/>
        <w:jc w:val="both"/>
      </w:pPr>
    </w:p>
    <w:p w14:paraId="762934A5" w14:textId="08BF5E4C" w:rsidR="00CA0777" w:rsidRDefault="00CA0777" w:rsidP="00CA0777">
      <w:pPr>
        <w:pStyle w:val="AssignBody"/>
        <w:jc w:val="both"/>
      </w:pPr>
      <w:r>
        <w:t xml:space="preserve">The purpose of this research is to develop personal research skills and potentially gather data which can improve professional practise. According to Donaldson, sound pedagogy requires </w:t>
      </w:r>
      <w:r>
        <w:rPr>
          <w:i/>
          <w:iCs/>
        </w:rPr>
        <w:t>“… high quality teachers with a sound understanding of the ‘why’ and ‘how’ of teaching as well as the ‘what’’</w:t>
      </w:r>
      <w:r>
        <w:t xml:space="preserve">’ </w:t>
      </w:r>
      <w:r>
        <w:rPr>
          <w:i/>
          <w:iCs/>
        </w:rPr>
        <w:t>(Donaldson, 2015, p.71).</w:t>
      </w:r>
      <w:r>
        <w:t xml:space="preserve"> Teachers should view themselves as researchers, and how research by teachers and by others can be used to underpin teaching and learning in the classroom.  </w:t>
      </w:r>
    </w:p>
    <w:p w14:paraId="5E6F7D9F" w14:textId="77777777" w:rsidR="00CA0777" w:rsidRDefault="00CA0777" w:rsidP="00CA0777">
      <w:pPr>
        <w:pStyle w:val="AssignBody"/>
        <w:jc w:val="both"/>
      </w:pPr>
    </w:p>
    <w:p w14:paraId="1A9B53D2" w14:textId="77777777" w:rsidR="00403CD2" w:rsidRDefault="00CA0777" w:rsidP="00CA0777">
      <w:pPr>
        <w:pStyle w:val="AssignBody"/>
        <w:jc w:val="both"/>
      </w:pPr>
      <w:r>
        <w:t>The overarching research question is: ‘</w:t>
      </w:r>
      <w:r>
        <w:rPr>
          <w:i/>
          <w:iCs/>
        </w:rPr>
        <w:t xml:space="preserve">What are learners and staff perceptions of Assessment for Learning (AfL)?’ </w:t>
      </w:r>
      <w:r>
        <w:t>For the purpose of this assignment, the particular aspect of AfL being focussed on is questioning, and the research question is: ‘</w:t>
      </w:r>
      <w:r>
        <w:rPr>
          <w:i/>
          <w:iCs/>
        </w:rPr>
        <w:t xml:space="preserve">Does a random response system </w:t>
      </w:r>
      <w:r>
        <w:rPr>
          <w:i/>
          <w:iCs/>
        </w:rPr>
        <w:lastRenderedPageBreak/>
        <w:t>increase engagement in the classroom?’</w:t>
      </w:r>
      <w:r>
        <w:t xml:space="preserve"> The research question was carefully chosen after researching into the work of Dylan Wiliam and his ideas on improving classroom engagement. Therefore, the</w:t>
      </w:r>
      <w:r>
        <w:rPr>
          <w:color w:val="FF0000"/>
        </w:rPr>
        <w:t xml:space="preserve"> </w:t>
      </w:r>
      <w:r>
        <w:t>research will link and contribute to existing research in the field which can offer fresh insights from the data collected. The hypothesis is that engagement will increase in the classroom when a random response system is used.</w:t>
      </w:r>
      <w:r w:rsidR="00AE238D">
        <w:t xml:space="preserve"> </w:t>
      </w:r>
    </w:p>
    <w:p w14:paraId="075149AE" w14:textId="77777777" w:rsidR="00403CD2" w:rsidRDefault="00403CD2" w:rsidP="00CA0777">
      <w:pPr>
        <w:pStyle w:val="AssignBody"/>
        <w:jc w:val="both"/>
      </w:pPr>
    </w:p>
    <w:p w14:paraId="6992631E" w14:textId="53EB5CBB" w:rsidR="00CA0777" w:rsidRDefault="00CA0777" w:rsidP="00CA0777">
      <w:pPr>
        <w:pStyle w:val="AssignBody"/>
        <w:jc w:val="both"/>
      </w:pPr>
      <w:r>
        <w:t>The small-scale research study was undertaken using the Mosaic approach and a questionnaire. The research methods will later be discussed and critically analysed.</w:t>
      </w:r>
    </w:p>
    <w:p w14:paraId="60B0A227" w14:textId="0D98AC89" w:rsidR="00CA0777" w:rsidRDefault="00CA0777" w:rsidP="00CA0777">
      <w:pPr>
        <w:pStyle w:val="AssignBody"/>
        <w:jc w:val="both"/>
      </w:pPr>
    </w:p>
    <w:p w14:paraId="3EA5DBB3" w14:textId="77777777" w:rsidR="00CA0777" w:rsidRDefault="00CA0777" w:rsidP="00CA0777">
      <w:pPr>
        <w:pStyle w:val="AssignBody"/>
        <w:jc w:val="both"/>
      </w:pPr>
      <w:r>
        <w:t>Understanding what other researchers have found that relates to AfL and the use of a random response system is important within this research study for consideration around whether a random response system does increase engagement in the classroom.</w:t>
      </w:r>
    </w:p>
    <w:p w14:paraId="351FB66C" w14:textId="127ECDF8" w:rsidR="00CA0777" w:rsidRDefault="00CA0777" w:rsidP="00CA0777">
      <w:pPr>
        <w:pStyle w:val="AssignBody"/>
        <w:jc w:val="both"/>
      </w:pPr>
    </w:p>
    <w:p w14:paraId="4CCF8627" w14:textId="77777777" w:rsidR="00CA0777" w:rsidRDefault="00CA0777" w:rsidP="00CA0777">
      <w:pPr>
        <w:pStyle w:val="AssignBody"/>
        <w:jc w:val="both"/>
      </w:pPr>
      <w:r>
        <w:t xml:space="preserve">More recently, it has been debatable as to how beneficial AfL is inside the classroom. Also known as formative assessment, AfL is defined as assessment which improves pupils’ learning; it </w:t>
      </w:r>
      <w:r>
        <w:rPr>
          <w:rFonts w:cs="Arial"/>
        </w:rPr>
        <w:t>involves practises such as sharing learning intentions and criteria, involving pupils reflecting on their learning and providing feedback (Assessment Reform Group (ARG), 1998). AfL also underpins the new curriculum for Wales; Donaldson (2015) proposed the use of AfL as one of the twelve pedagogical principles of the new curriculum. In his report, he states how currently, The Welsh Government has acknowledged weakness in its assessment framework and that “</w:t>
      </w:r>
      <w:r>
        <w:rPr>
          <w:rFonts w:cs="Arial"/>
          <w:i/>
          <w:iCs/>
        </w:rPr>
        <w:t>assessment for learning approaches are not well understood and embedded</w:t>
      </w:r>
      <w:r>
        <w:rPr>
          <w:rFonts w:cs="Arial"/>
        </w:rPr>
        <w:t>” (Donaldson, 2015, p. 73). This implies that there needs to be a change in order to improve assessment in Welsh education.</w:t>
      </w:r>
    </w:p>
    <w:p w14:paraId="25B063D5" w14:textId="15AC6865" w:rsidR="00CA0777" w:rsidRDefault="00CA0777" w:rsidP="00CA0777">
      <w:pPr>
        <w:pStyle w:val="AssignBody"/>
        <w:jc w:val="both"/>
      </w:pPr>
    </w:p>
    <w:p w14:paraId="1AC5CE47" w14:textId="6AE661C1" w:rsidR="00CA0777" w:rsidRDefault="00CA0777" w:rsidP="00CA0777">
      <w:pPr>
        <w:pStyle w:val="AssignBody"/>
        <w:jc w:val="both"/>
        <w:rPr>
          <w:iCs/>
        </w:rPr>
      </w:pPr>
      <w:r>
        <w:rPr>
          <w:iCs/>
        </w:rPr>
        <w:t xml:space="preserve">However, education blogger David </w:t>
      </w:r>
      <w:proofErr w:type="spellStart"/>
      <w:r>
        <w:rPr>
          <w:iCs/>
        </w:rPr>
        <w:t>Didau</w:t>
      </w:r>
      <w:proofErr w:type="spellEnd"/>
      <w:r>
        <w:rPr>
          <w:iCs/>
        </w:rPr>
        <w:t xml:space="preserve"> (2014, para 7) critiques the use of AfL by suggesting that learning cannot be assessed from one individual lesson, and that progress is to be measured over a period of time. He argues that no one will learn unless they have disputed new concepts at least three times in three different ways. </w:t>
      </w:r>
      <w:r>
        <w:t>“</w:t>
      </w:r>
      <w:r>
        <w:rPr>
          <w:i/>
          <w:iCs/>
        </w:rPr>
        <w:t>Teaching takes place in time, but learning takes place over time</w:t>
      </w:r>
      <w:r>
        <w:t xml:space="preserve">” </w:t>
      </w:r>
      <w:r>
        <w:rPr>
          <w:iCs/>
        </w:rPr>
        <w:t>(Gri</w:t>
      </w:r>
      <w:r w:rsidR="00B300D6">
        <w:rPr>
          <w:iCs/>
        </w:rPr>
        <w:t>ffin</w:t>
      </w:r>
      <w:r>
        <w:rPr>
          <w:iCs/>
        </w:rPr>
        <w:t xml:space="preserve">, 1989). </w:t>
      </w:r>
      <w:proofErr w:type="spellStart"/>
      <w:r>
        <w:rPr>
          <w:iCs/>
        </w:rPr>
        <w:t>Didau</w:t>
      </w:r>
      <w:proofErr w:type="spellEnd"/>
      <w:r>
        <w:rPr>
          <w:iCs/>
        </w:rPr>
        <w:t xml:space="preserve"> uses the statement by Grif</w:t>
      </w:r>
      <w:r w:rsidR="00B300D6">
        <w:rPr>
          <w:iCs/>
        </w:rPr>
        <w:t>fin</w:t>
      </w:r>
      <w:r>
        <w:rPr>
          <w:iCs/>
        </w:rPr>
        <w:t xml:space="preserve"> (1989) to enforce the opinion that assessing who can do something during or at the end of a lesson, has little effect on their long-term memory (</w:t>
      </w:r>
      <w:proofErr w:type="spellStart"/>
      <w:r>
        <w:rPr>
          <w:iCs/>
        </w:rPr>
        <w:t>Didau</w:t>
      </w:r>
      <w:proofErr w:type="spellEnd"/>
      <w:r>
        <w:rPr>
          <w:iCs/>
        </w:rPr>
        <w:t>, 2014). The problem with such an approach is that if we wait until we see the long-term evidence, it may be too late.</w:t>
      </w:r>
    </w:p>
    <w:p w14:paraId="23411CA8" w14:textId="77777777" w:rsidR="002F1E3B" w:rsidRDefault="002F1E3B" w:rsidP="00CA0777">
      <w:pPr>
        <w:pStyle w:val="AssignBody"/>
        <w:jc w:val="both"/>
      </w:pPr>
    </w:p>
    <w:p w14:paraId="7E52BEA5" w14:textId="5F446EE7" w:rsidR="00CA0777" w:rsidRDefault="00CA0777" w:rsidP="00CA0777">
      <w:pPr>
        <w:pStyle w:val="AssignBody"/>
        <w:jc w:val="both"/>
      </w:pPr>
      <w:r>
        <w:t>Whether it is immediate or over time, new concepts can be assessed through questioning. Questioning is an integral part of AfL. Research shows that, on average, teachers ask questions every 72 seconds. However, 38 percent of these are actually answered by the teacher, not the pupils (</w:t>
      </w:r>
      <w:r w:rsidR="00B300D6">
        <w:t>Welsh Government (WG), 2010</w:t>
      </w:r>
      <w:r>
        <w:t xml:space="preserve">). Therefore, effective questioning is </w:t>
      </w:r>
      <w:r>
        <w:lastRenderedPageBreak/>
        <w:t xml:space="preserve">about asking questions in a way that draws out maximum feedback from pupils, which can then be used to evaluate, plan and extend learning. </w:t>
      </w:r>
    </w:p>
    <w:p w14:paraId="122D9840" w14:textId="763319D2" w:rsidR="00CA0777" w:rsidRDefault="00CA0777" w:rsidP="00CA0777">
      <w:pPr>
        <w:pStyle w:val="AssignBody"/>
        <w:jc w:val="both"/>
      </w:pPr>
    </w:p>
    <w:p w14:paraId="75975532" w14:textId="77777777" w:rsidR="00CA0777" w:rsidRDefault="00CA0777" w:rsidP="00CA0777">
      <w:pPr>
        <w:pStyle w:val="AssignBody"/>
        <w:jc w:val="both"/>
      </w:pPr>
      <w:r>
        <w:t xml:space="preserve">Occasionally, the less successful learner associates questioning with ‘checking’ by the teacher; either for attention or for recalling expected learned facts (WG, 2010). A sequence of unsuccessful responses from a child leads to a state of ‘learned helplessness’ because the child feels that they may fail. It is because of this that many learners in similar situations refuse to voluntarily answer to even the most open-ended questions. </w:t>
      </w:r>
    </w:p>
    <w:p w14:paraId="21727E0F" w14:textId="624F5B2A" w:rsidR="00CA0777" w:rsidRDefault="00CA0777" w:rsidP="00CA0777">
      <w:pPr>
        <w:pStyle w:val="AssignBody"/>
        <w:jc w:val="both"/>
      </w:pPr>
    </w:p>
    <w:p w14:paraId="24C27E64" w14:textId="77777777" w:rsidR="00CA0777" w:rsidRDefault="00CA0777" w:rsidP="00CA0777">
      <w:pPr>
        <w:pStyle w:val="AssignBody"/>
        <w:jc w:val="both"/>
        <w:rPr>
          <w:iCs/>
        </w:rPr>
      </w:pPr>
      <w:r>
        <w:rPr>
          <w:iCs/>
        </w:rPr>
        <w:t xml:space="preserve">Perhaps the simplest way to break this cycle and increase classroom engagement is by using a random response system. Also referred to as the ‘no hands up approach’, a random response system is an AfL strategy which allows the teacher to randomly select a child in the class to answer a question. All learners are therefore expected to contribute, and all answers are valued. Of many methods put forward by Wiliam, this is a practise he describes as non-negotiable for schools. Wiliam (2011) states that without it, we are in danger of making assessment need decisions based on the responses of a few confident children. </w:t>
      </w:r>
    </w:p>
    <w:p w14:paraId="196946AF" w14:textId="7958C6D5" w:rsidR="00CA0777" w:rsidRDefault="00CA0777" w:rsidP="00CA0777">
      <w:pPr>
        <w:pStyle w:val="AssignBody"/>
        <w:jc w:val="both"/>
      </w:pPr>
    </w:p>
    <w:p w14:paraId="334540A8" w14:textId="77777777" w:rsidR="00CA0777" w:rsidRDefault="00CA0777" w:rsidP="00CA0777">
      <w:pPr>
        <w:pStyle w:val="AssignBody"/>
        <w:jc w:val="both"/>
      </w:pPr>
      <w:r>
        <w:rPr>
          <w:iCs/>
        </w:rPr>
        <w:t xml:space="preserve">Higher levels of participation, particularly in regard to ‘hands up’, are often associated with confidence and personal goals (Patrick &amp; Turner 2004). Wiliam believes that only a quarter of children consistently put their hands up, to which the teacher does not notice and continues to choose these same children. Wiliam describes how </w:t>
      </w:r>
      <w:r>
        <w:t>“</w:t>
      </w:r>
      <w:r>
        <w:rPr>
          <w:i/>
          <w:iCs/>
        </w:rPr>
        <w:t>when teachers allow students to participate or not, they are actually making the achievement gap worse</w:t>
      </w:r>
      <w:r>
        <w:t xml:space="preserve">” </w:t>
      </w:r>
      <w:r>
        <w:rPr>
          <w:iCs/>
        </w:rPr>
        <w:t>(Williams, 2011, p.31). This reflects on data from Frederiksen, J., and White, B. (1997) whereby without the use of AfL, teachers are allowing higher skilled students to progress in their learning and hinder the chances of progression for those avoiding engagement.</w:t>
      </w:r>
    </w:p>
    <w:p w14:paraId="5DD0E532" w14:textId="32F10130" w:rsidR="00CA0777" w:rsidRDefault="00CA0777" w:rsidP="00CA0777">
      <w:pPr>
        <w:pStyle w:val="AssignBody"/>
        <w:jc w:val="both"/>
      </w:pPr>
    </w:p>
    <w:p w14:paraId="6A95CC13" w14:textId="77777777" w:rsidR="00CA0777" w:rsidRDefault="00CA0777" w:rsidP="00CA0777">
      <w:pPr>
        <w:pStyle w:val="AssignBody"/>
        <w:jc w:val="both"/>
      </w:pPr>
      <w:r>
        <w:rPr>
          <w:iCs/>
        </w:rPr>
        <w:t>Consistency in using this all-inclusive strategy can also create a supportive and cooperative classroom, ensuring that everyone, including the teacher can voice their opinions without worrying that they might fail. This follows a growth mindset environment where children can recognise that it is acceptable to make mistakes and that we can learn from them (Dweck, 2000). Dweck states that “</w:t>
      </w:r>
      <w:r>
        <w:rPr>
          <w:i/>
        </w:rPr>
        <w:t>When students believe that they can get smarter, they understand that efforts make them stronger</w:t>
      </w:r>
      <w:r>
        <w:rPr>
          <w:iCs/>
        </w:rPr>
        <w:t>” (Dweck, 2000, p.31). Therefore, an increase in engagement can ultimately raise achievement.</w:t>
      </w:r>
    </w:p>
    <w:p w14:paraId="00321330" w14:textId="77777777" w:rsidR="000B2BEE" w:rsidRDefault="000B2BEE" w:rsidP="00CA0777">
      <w:pPr>
        <w:pStyle w:val="AssignBody"/>
        <w:jc w:val="both"/>
        <w:rPr>
          <w:iCs/>
        </w:rPr>
      </w:pPr>
    </w:p>
    <w:p w14:paraId="32EB2E08" w14:textId="6BF5C401" w:rsidR="00CA0777" w:rsidRDefault="00CA0777" w:rsidP="00CA0777">
      <w:pPr>
        <w:pStyle w:val="AssignBody"/>
        <w:jc w:val="both"/>
        <w:rPr>
          <w:iCs/>
        </w:rPr>
      </w:pPr>
      <w:r>
        <w:rPr>
          <w:iCs/>
        </w:rPr>
        <w:t>However, Williams’ classroom experiment (2011) demonstrated how moving to a random selection may be unwelcomed by some children in the class. It</w:t>
      </w:r>
      <w:r w:rsidR="004B2C47">
        <w:rPr>
          <w:iCs/>
        </w:rPr>
        <w:t xml:space="preserve"> is</w:t>
      </w:r>
      <w:r>
        <w:rPr>
          <w:iCs/>
        </w:rPr>
        <w:t xml:space="preserve"> evident that those children </w:t>
      </w:r>
      <w:r>
        <w:rPr>
          <w:iCs/>
        </w:rPr>
        <w:lastRenderedPageBreak/>
        <w:t xml:space="preserve">who participate regularly will get frustrated as they are no longer able to dominate classroom discussion and portray that they know the answer. </w:t>
      </w:r>
    </w:p>
    <w:p w14:paraId="62C74C8D" w14:textId="7B05DF71" w:rsidR="00CA0777" w:rsidRDefault="00CA0777" w:rsidP="00CA0777">
      <w:pPr>
        <w:pStyle w:val="AssignBody"/>
        <w:jc w:val="both"/>
      </w:pPr>
    </w:p>
    <w:p w14:paraId="7C4DB615" w14:textId="77777777" w:rsidR="00CA0777" w:rsidRDefault="00CA0777" w:rsidP="00CA0777">
      <w:pPr>
        <w:pStyle w:val="AssignBody"/>
        <w:jc w:val="both"/>
        <w:rPr>
          <w:iCs/>
        </w:rPr>
      </w:pPr>
      <w:r>
        <w:rPr>
          <w:iCs/>
        </w:rPr>
        <w:t xml:space="preserve">The children who don’t participate regularly and tend to ‘fade into the background’ may feel targeted when participation is not optional. Reluctance to participate in a classroom environment could be due to the high levels of anxiety linked to their own intellectual confidence (Harrison &amp; Howard, 2009). As such, pupils might be shy about putting their hands up in class or feel insecure about exposing their misconceptions to their peers and teacher (Elliot et al, 2005). </w:t>
      </w:r>
    </w:p>
    <w:p w14:paraId="2B59E7C4" w14:textId="256E1785" w:rsidR="00CA0777" w:rsidRDefault="00CA0777" w:rsidP="00CA0777">
      <w:pPr>
        <w:pStyle w:val="AssignBody"/>
        <w:jc w:val="both"/>
      </w:pPr>
    </w:p>
    <w:p w14:paraId="2C7ECFE7" w14:textId="3B76E192" w:rsidR="00CA0777" w:rsidRDefault="00CA0777" w:rsidP="00CA0777">
      <w:pPr>
        <w:pStyle w:val="AssignBody"/>
        <w:jc w:val="both"/>
      </w:pPr>
      <w:r>
        <w:t>The small-scale research study took place in a primary school in Rhondda Cynon Taff, South Wales. The school has approximately four-hundred children enrolled aged between three and eleven. The chosen year group for this study is Year Three</w:t>
      </w:r>
      <w:r w:rsidR="004B2C47">
        <w:t xml:space="preserve">, </w:t>
      </w:r>
      <w:r>
        <w:t>consist</w:t>
      </w:r>
      <w:r w:rsidR="004B2C47">
        <w:t xml:space="preserve">ing </w:t>
      </w:r>
      <w:r>
        <w:t>of twenty-six pupils.</w:t>
      </w:r>
    </w:p>
    <w:p w14:paraId="0B8917C5" w14:textId="519B2742" w:rsidR="00CA0777" w:rsidRDefault="00CA0777" w:rsidP="00CA0777">
      <w:pPr>
        <w:pStyle w:val="AssignBody"/>
        <w:jc w:val="both"/>
      </w:pPr>
    </w:p>
    <w:p w14:paraId="6A09038F" w14:textId="65ED4A2C" w:rsidR="00CA0777" w:rsidRDefault="00CA0777" w:rsidP="00CA0777">
      <w:pPr>
        <w:pStyle w:val="AssignBody"/>
        <w:jc w:val="both"/>
      </w:pPr>
      <w:r>
        <w:t>In order to explore the children’s perspective on voluntary participation, specifically in relation to using a random response system, it was necessary for this research study to gain both quantitative and qualitative components to provide extensive rich data (</w:t>
      </w:r>
      <w:r w:rsidR="00ED6C99">
        <w:t>Arthur, 2012</w:t>
      </w:r>
      <w:r>
        <w:t xml:space="preserve">). The Mosaic approach (Clark and Moss, 2005) was used to gain an insight to the children’s views and experiences. Children who demonstrate competent decision making and exploration of their environment discourages the idea of children being a subject or passive object in the research. After researching the Mosaic approach, both observation and interviews were conducted. </w:t>
      </w:r>
    </w:p>
    <w:p w14:paraId="76DA7544" w14:textId="77777777" w:rsidR="00CA0777" w:rsidRDefault="00CA0777" w:rsidP="00CA0777">
      <w:pPr>
        <w:pStyle w:val="AssignBody"/>
        <w:jc w:val="both"/>
      </w:pPr>
    </w:p>
    <w:p w14:paraId="35D19642" w14:textId="5D992DDF" w:rsidR="00CA0777" w:rsidRDefault="00CA0777" w:rsidP="00CA0777">
      <w:pPr>
        <w:pStyle w:val="AssignBody"/>
        <w:jc w:val="both"/>
      </w:pPr>
      <w:r>
        <w:t>“</w:t>
      </w:r>
      <w:r>
        <w:rPr>
          <w:i/>
          <w:iCs/>
        </w:rPr>
        <w:t>Observation provides the opportunity to monitor or access a process or situation and document evidence of what is seen and heard</w:t>
      </w:r>
      <w:r>
        <w:t xml:space="preserve">” </w:t>
      </w:r>
      <w:r>
        <w:rPr>
          <w:iCs/>
        </w:rPr>
        <w:t>(NSW, 2019). To measure engagement, a structured observation schedule modified from the Leuven scale was used (See Appendix</w:t>
      </w:r>
      <w:r w:rsidR="006B49DD">
        <w:rPr>
          <w:iCs/>
        </w:rPr>
        <w:t xml:space="preserve"> 1</w:t>
      </w:r>
      <w:r>
        <w:rPr>
          <w:iCs/>
        </w:rPr>
        <w:t xml:space="preserve">). Using a structured schedule helps to eliminate bias and narrow down the focus </w:t>
      </w:r>
      <w:r w:rsidR="00ED6C99">
        <w:rPr>
          <w:iCs/>
        </w:rPr>
        <w:t>(</w:t>
      </w:r>
      <w:r>
        <w:rPr>
          <w:iCs/>
        </w:rPr>
        <w:t>WG, 2015). Two ten-minute observations were carried out, one observing engagement without a random response system (Observation 1) and the other observing engagement using a random response system (Observation 2). Six children were observed, two randomly selected from each ability group to avoid selection bias.</w:t>
      </w:r>
    </w:p>
    <w:p w14:paraId="483DDFAD" w14:textId="54082E17" w:rsidR="00CA0777" w:rsidRDefault="00CA0777" w:rsidP="00CA0777">
      <w:pPr>
        <w:pStyle w:val="AssignBody"/>
        <w:jc w:val="both"/>
      </w:pPr>
    </w:p>
    <w:p w14:paraId="434574B8" w14:textId="708C1991" w:rsidR="00CA0777" w:rsidRDefault="00CA0777" w:rsidP="00CA0777">
      <w:pPr>
        <w:pStyle w:val="AssignBody"/>
        <w:jc w:val="both"/>
      </w:pPr>
      <w:r>
        <w:rPr>
          <w:iCs/>
        </w:rPr>
        <w:t>Using an existing observation schedule is recommended by Punch (2014) who explains that “</w:t>
      </w:r>
      <w:r>
        <w:rPr>
          <w:i/>
        </w:rPr>
        <w:t>if the variable is a central variable in a research area, then I would modify this conclusion if a reasonable instrument is already available</w:t>
      </w:r>
      <w:r>
        <w:rPr>
          <w:iCs/>
        </w:rPr>
        <w:t xml:space="preserve">” (Punch, 2014, p.236). However, this flexible approach to data collection allows us to collect information through our five senses only. Therefore, only behavioural and physical personal characteristics can usually be examined. </w:t>
      </w:r>
      <w:r>
        <w:rPr>
          <w:iCs/>
        </w:rPr>
        <w:lastRenderedPageBreak/>
        <w:t>The researcher does not learn about motives, attitudes, intentions or feelings (WG, 2015). This must be taken account of in the findings.</w:t>
      </w:r>
      <w:r w:rsidR="00506791">
        <w:rPr>
          <w:iCs/>
        </w:rPr>
        <w:t xml:space="preserve"> </w:t>
      </w:r>
    </w:p>
    <w:p w14:paraId="58DD1659" w14:textId="33040321" w:rsidR="00CA0777" w:rsidRDefault="00CA0777" w:rsidP="00CA0777">
      <w:pPr>
        <w:pStyle w:val="AssignBody"/>
        <w:jc w:val="both"/>
      </w:pPr>
    </w:p>
    <w:p w14:paraId="55032DFF" w14:textId="77777777" w:rsidR="00CA0777" w:rsidRDefault="00CA0777" w:rsidP="00CA0777">
      <w:pPr>
        <w:pStyle w:val="AssignBody"/>
        <w:jc w:val="both"/>
      </w:pPr>
      <w:r>
        <w:rPr>
          <w:iCs/>
        </w:rPr>
        <w:t xml:space="preserve">Dewey (1939) reveals that within research, </w:t>
      </w:r>
      <w:r>
        <w:t>“</w:t>
      </w:r>
      <w:r>
        <w:rPr>
          <w:i/>
          <w:iCs/>
        </w:rPr>
        <w:t>observation alone is not enough</w:t>
      </w:r>
      <w:r>
        <w:t xml:space="preserve">” </w:t>
      </w:r>
      <w:r>
        <w:rPr>
          <w:iCs/>
        </w:rPr>
        <w:t xml:space="preserve">(Dewey, 1939, p.68). Therefore, one-to-one interviews were conducted with the same six children. It follows the Mosaic approach as the aim of interviewing is to invite children to present their perspectives, rather than from the perspectives of the adults making interpretations on their behalf (Eder &amp; </w:t>
      </w:r>
      <w:proofErr w:type="spellStart"/>
      <w:r>
        <w:rPr>
          <w:iCs/>
        </w:rPr>
        <w:t>Fingerson</w:t>
      </w:r>
      <w:proofErr w:type="spellEnd"/>
      <w:r>
        <w:rPr>
          <w:iCs/>
        </w:rPr>
        <w:t xml:space="preserve">, 2001). The method of the research interview has become a powerful tool to </w:t>
      </w:r>
      <w:r>
        <w:t>“</w:t>
      </w:r>
      <w:r>
        <w:rPr>
          <w:i/>
          <w:iCs/>
        </w:rPr>
        <w:t>allow researchers to access topics that although, potentially relevant to children, may not necessarily occur naturally in conversations and therefore unable to be observed”</w:t>
      </w:r>
      <w:r>
        <w:t xml:space="preserve"> </w:t>
      </w:r>
      <w:r>
        <w:rPr>
          <w:iCs/>
        </w:rPr>
        <w:t xml:space="preserve">(Danby et al, 2011, p.1). </w:t>
      </w:r>
    </w:p>
    <w:p w14:paraId="76086CEB" w14:textId="77777777" w:rsidR="00CA0777" w:rsidRDefault="00CA0777" w:rsidP="00CA0777">
      <w:pPr>
        <w:pStyle w:val="AssignBody"/>
        <w:jc w:val="both"/>
        <w:rPr>
          <w:iCs/>
        </w:rPr>
      </w:pPr>
    </w:p>
    <w:p w14:paraId="3C47790B" w14:textId="03295C7D" w:rsidR="00CA0777" w:rsidRDefault="00CA0777" w:rsidP="00CA0777">
      <w:pPr>
        <w:pStyle w:val="AssignBody"/>
        <w:jc w:val="both"/>
      </w:pPr>
      <w:r>
        <w:rPr>
          <w:iCs/>
        </w:rPr>
        <w:t>The conducted interview was semi-structured so that the conversation could be adjusted according to the responses (See Appendix</w:t>
      </w:r>
      <w:r w:rsidR="006B49DD">
        <w:rPr>
          <w:iCs/>
        </w:rPr>
        <w:t xml:space="preserve"> 2</w:t>
      </w:r>
      <w:r>
        <w:rPr>
          <w:iCs/>
        </w:rPr>
        <w:t xml:space="preserve">). Punch (2014) infers that </w:t>
      </w:r>
      <w:r>
        <w:rPr>
          <w:i/>
        </w:rPr>
        <w:t>“the more unstructured the interview, the more communication skills in general, and listening and follow-up questioning in particular, are important”</w:t>
      </w:r>
      <w:r>
        <w:rPr>
          <w:iCs/>
        </w:rPr>
        <w:t xml:space="preserve"> (Punch, 2014, p.150).</w:t>
      </w:r>
    </w:p>
    <w:p w14:paraId="3BF8C8AE" w14:textId="6CC93445" w:rsidR="00CA0777" w:rsidRDefault="00CA0777" w:rsidP="00CA0777">
      <w:pPr>
        <w:pStyle w:val="AssignBody"/>
        <w:jc w:val="both"/>
      </w:pPr>
    </w:p>
    <w:p w14:paraId="5347D6B6" w14:textId="24B94A2F" w:rsidR="00CA0777" w:rsidRDefault="00CA0777" w:rsidP="00CA0777">
      <w:pPr>
        <w:pStyle w:val="AssignBody"/>
        <w:jc w:val="both"/>
        <w:rPr>
          <w:iCs/>
        </w:rPr>
      </w:pPr>
      <w:r>
        <w:rPr>
          <w:iCs/>
        </w:rPr>
        <w:t>The interview occurred in two phases. In the first phase, the interviewer initiated the conversation by asking the participant to describe themselves as a Mr Men or Little Miss character (See Appendix</w:t>
      </w:r>
      <w:r w:rsidR="006B49DD">
        <w:rPr>
          <w:iCs/>
        </w:rPr>
        <w:t xml:space="preserve"> 3</w:t>
      </w:r>
      <w:r>
        <w:rPr>
          <w:iCs/>
        </w:rPr>
        <w:t>). This provided a focus on which to build the discussion and allow the participator to discuss their feelings on who they are as a person. The second phase included questions based on a random response system. Here, the researcher could explore patterns between who they are as a person and whether that affected their level of engagement in the classroom.</w:t>
      </w:r>
    </w:p>
    <w:p w14:paraId="7DE738B8" w14:textId="7632C4A2" w:rsidR="00CA0777" w:rsidRDefault="00CA0777" w:rsidP="00CA0777">
      <w:pPr>
        <w:pStyle w:val="AssignBody"/>
        <w:jc w:val="both"/>
      </w:pPr>
    </w:p>
    <w:p w14:paraId="36470AA4" w14:textId="77777777" w:rsidR="00CA0777" w:rsidRDefault="00CA0777" w:rsidP="00CA0777">
      <w:pPr>
        <w:pStyle w:val="AssignBody"/>
        <w:jc w:val="both"/>
      </w:pPr>
      <w:r>
        <w:rPr>
          <w:iCs/>
        </w:rPr>
        <w:t>Something to consider when using interviews as a research tool is proposed by Arthur (2012) who reveals how during an interview, the interviewer usually holds the power, especially when children and young people are involved. He states that “</w:t>
      </w:r>
      <w:r>
        <w:rPr>
          <w:i/>
        </w:rPr>
        <w:t>the powerful can exploit the powerless during an interview</w:t>
      </w:r>
      <w:r>
        <w:rPr>
          <w:iCs/>
        </w:rPr>
        <w:t xml:space="preserve">” (Arthur, 2013, p.182). This may intimidate the children being interviewed and provoke a response in which they would not naturally give. However, </w:t>
      </w:r>
      <w:proofErr w:type="spellStart"/>
      <w:r>
        <w:rPr>
          <w:iCs/>
        </w:rPr>
        <w:t>Nunkoosing</w:t>
      </w:r>
      <w:proofErr w:type="spellEnd"/>
      <w:r>
        <w:rPr>
          <w:iCs/>
        </w:rPr>
        <w:t xml:space="preserve"> (2005) suggests a solution to this problem by revealing that introducing photographs and using concrete props during an interview provides an intermediary agent which can help neutralise the power relationship between the researcher and the interviewee. Therefore, separating the interview into two phases could eliminate this and potentially reduce the pressure on the participant. </w:t>
      </w:r>
    </w:p>
    <w:p w14:paraId="14AE7703" w14:textId="00046B36" w:rsidR="00CA0777" w:rsidRDefault="00CA0777" w:rsidP="00CA0777">
      <w:pPr>
        <w:pStyle w:val="AssignBody"/>
        <w:jc w:val="both"/>
      </w:pPr>
    </w:p>
    <w:p w14:paraId="48EF2C12" w14:textId="4619E1BF" w:rsidR="00CA0777" w:rsidRDefault="00CA0777" w:rsidP="00CA0777">
      <w:pPr>
        <w:pStyle w:val="AssignBody"/>
        <w:jc w:val="both"/>
        <w:rPr>
          <w:iCs/>
        </w:rPr>
      </w:pPr>
      <w:r>
        <w:rPr>
          <w:iCs/>
        </w:rPr>
        <w:lastRenderedPageBreak/>
        <w:t>To further recognise patterns in data, a total of six teachers from both phases completed a short questionnaire consisting of eight questions (See Appendix</w:t>
      </w:r>
      <w:r w:rsidR="006B49DD">
        <w:rPr>
          <w:iCs/>
        </w:rPr>
        <w:t xml:space="preserve"> 4</w:t>
      </w:r>
      <w:r>
        <w:rPr>
          <w:iCs/>
        </w:rPr>
        <w:t>). The questionnaire aimed to ascertain the teacher’s perspectives on engagement in their classroom and whether using a random response system in the classroom increases engagement. Well-constructed questionnaires permit researchers to gather reasonably valid mixed data in a simple, timely and cost-efficient manner (Punch, 2014).</w:t>
      </w:r>
    </w:p>
    <w:p w14:paraId="5D24272D" w14:textId="3C567840" w:rsidR="00CA0777" w:rsidRDefault="00CA0777" w:rsidP="00CA0777">
      <w:pPr>
        <w:pStyle w:val="AssignBody"/>
        <w:jc w:val="both"/>
      </w:pPr>
    </w:p>
    <w:p w14:paraId="6BF378F7" w14:textId="77777777" w:rsidR="00CA0777" w:rsidRDefault="00CA0777" w:rsidP="00CA0777">
      <w:pPr>
        <w:pStyle w:val="AssignBody"/>
        <w:jc w:val="both"/>
        <w:rPr>
          <w:iCs/>
        </w:rPr>
      </w:pPr>
      <w:r>
        <w:rPr>
          <w:iCs/>
        </w:rPr>
        <w:t xml:space="preserve">The questionnaire is tightly structured, but also allows the opportunity for an open and discursive response due to some open-ended questions. However, some teachers may not use a random response system but pretend they do for their pedagogical practise. The phenomenon that makes them want to look better can lead to prestige bias in the responses to the questionnaire (Thomas, 2017). This must be considered in the findings. </w:t>
      </w:r>
    </w:p>
    <w:p w14:paraId="5C4FF322" w14:textId="452B2815" w:rsidR="00CA0777" w:rsidRDefault="00CA0777" w:rsidP="00CA0777">
      <w:pPr>
        <w:pStyle w:val="AssignBody"/>
        <w:jc w:val="both"/>
      </w:pPr>
    </w:p>
    <w:p w14:paraId="782CE17F" w14:textId="31912CF8" w:rsidR="00CA0777" w:rsidRDefault="00CA0777" w:rsidP="00CA0777">
      <w:pPr>
        <w:pStyle w:val="AssignBody"/>
        <w:jc w:val="both"/>
      </w:pPr>
      <w:r>
        <w:rPr>
          <w:iCs/>
        </w:rPr>
        <w:t xml:space="preserve">Prior to the research day, an ethics form (See </w:t>
      </w:r>
      <w:r w:rsidR="004B2C47">
        <w:rPr>
          <w:iCs/>
        </w:rPr>
        <w:t>A</w:t>
      </w:r>
      <w:r>
        <w:rPr>
          <w:iCs/>
        </w:rPr>
        <w:t>ppendix</w:t>
      </w:r>
      <w:r w:rsidR="006B49DD">
        <w:rPr>
          <w:iCs/>
        </w:rPr>
        <w:t xml:space="preserve"> 5</w:t>
      </w:r>
      <w:r>
        <w:rPr>
          <w:iCs/>
        </w:rPr>
        <w:t>) was completed to gain ethical approval for the research being carried out. The methodology used for this research adheres to British Educational Research Association’s (BERA, 2018) guidelines in regard to ethical concerns when conducting research with children in primary schools. BERA (2018) states that “</w:t>
      </w:r>
      <w:r>
        <w:rPr>
          <w:i/>
          <w:iCs/>
        </w:rPr>
        <w:t>It is important for researchers to take into account of the rights and interests of those indirectly affected by their research</w:t>
      </w:r>
      <w:r>
        <w:t xml:space="preserve">” </w:t>
      </w:r>
      <w:r>
        <w:rPr>
          <w:iCs/>
        </w:rPr>
        <w:t xml:space="preserve">(BERA, 2018, p.6)  Ethical consent was given from the head teacher of the school and all the teachers participating in the questionnaire by signing a consent form (See </w:t>
      </w:r>
      <w:r w:rsidR="004B2C47">
        <w:rPr>
          <w:iCs/>
        </w:rPr>
        <w:t>A</w:t>
      </w:r>
      <w:r>
        <w:rPr>
          <w:iCs/>
        </w:rPr>
        <w:t>ppendix</w:t>
      </w:r>
      <w:r w:rsidR="006B49DD">
        <w:rPr>
          <w:iCs/>
        </w:rPr>
        <w:t xml:space="preserve"> 6</w:t>
      </w:r>
      <w:r>
        <w:rPr>
          <w:iCs/>
        </w:rPr>
        <w:t xml:space="preserve">). The consent form followed on from a letter which outlined the research and their role they had been asked to participate in. </w:t>
      </w:r>
    </w:p>
    <w:p w14:paraId="23AD8A9E" w14:textId="40DB38FC" w:rsidR="00CA0777" w:rsidRDefault="00CA0777" w:rsidP="00CA0777">
      <w:pPr>
        <w:pStyle w:val="AssignBody"/>
        <w:jc w:val="both"/>
      </w:pPr>
    </w:p>
    <w:p w14:paraId="1AA3209B" w14:textId="1C16BA4F" w:rsidR="00CA0777" w:rsidRDefault="00CA0777" w:rsidP="00CA0777">
      <w:pPr>
        <w:pStyle w:val="AssignBody"/>
        <w:jc w:val="both"/>
        <w:rPr>
          <w:iCs/>
        </w:rPr>
      </w:pPr>
      <w:r>
        <w:rPr>
          <w:iCs/>
        </w:rPr>
        <w:t>Furthermore, it is important to gain voluntary consent from the children prior to participation (BERA, 2018). Alderson (2004) highlighted the importance of consent when conducting research with children. He infers that there is no simple answer as to when children are old enough to give consent. BERA (2018) endorses the United Nations Convention on the Rights of the Child (UNCRC) which the best interests of the child are the primary consideration and that children have the right to express views freely in all matters that affect them. Therefore, the class were fully informed of the research being undertaken, the purpose and terminology of the research was explained, and the children could ask questions if they wished. From this, the pupils were also given the option to withdraw from the research. BERA (2018) conveys that</w:t>
      </w:r>
      <w:r w:rsidR="000B2BEE">
        <w:rPr>
          <w:iCs/>
        </w:rPr>
        <w:t>:</w:t>
      </w:r>
      <w:r>
        <w:rPr>
          <w:iCs/>
        </w:rPr>
        <w:t xml:space="preserve"> </w:t>
      </w:r>
    </w:p>
    <w:p w14:paraId="7F26A0E3" w14:textId="77777777" w:rsidR="00CA0777" w:rsidRDefault="00CA0777" w:rsidP="00CA0777">
      <w:pPr>
        <w:pStyle w:val="AssignQuote"/>
        <w:jc w:val="both"/>
      </w:pPr>
      <w:r>
        <w:t xml:space="preserve">“researchers should recognise the right of all participants to withdraw from the research for any or no reason, and at any time, and participants should be informed of this right” </w:t>
      </w:r>
      <w:r>
        <w:rPr>
          <w:i w:val="0"/>
          <w:iCs/>
        </w:rPr>
        <w:t>(BERA, 2018, p.18)</w:t>
      </w:r>
    </w:p>
    <w:p w14:paraId="07F728B8" w14:textId="77777777" w:rsidR="00CA0777" w:rsidRDefault="00CA0777" w:rsidP="00CA0777">
      <w:pPr>
        <w:pStyle w:val="AssignBody"/>
        <w:jc w:val="both"/>
        <w:rPr>
          <w:iCs/>
        </w:rPr>
      </w:pPr>
      <w:r>
        <w:rPr>
          <w:iCs/>
        </w:rPr>
        <w:lastRenderedPageBreak/>
        <w:t xml:space="preserve">To ensure on-going consent, children were given a reversible card that demonstrates a thumbs up on one side and a thumbs down on the other side. By giving children a reversible card, they can simply switch the card over to indicate that they are happy to continue or that they wish to withdraw. </w:t>
      </w:r>
    </w:p>
    <w:p w14:paraId="3525FD1B" w14:textId="6FF6DFC7" w:rsidR="00CA0777" w:rsidRDefault="00CA0777" w:rsidP="00CA0777">
      <w:pPr>
        <w:pStyle w:val="AssignBody"/>
        <w:jc w:val="both"/>
      </w:pPr>
    </w:p>
    <w:p w14:paraId="53D3B06F" w14:textId="77777777" w:rsidR="00CA0777" w:rsidRDefault="00CA0777" w:rsidP="00CA0777">
      <w:pPr>
        <w:pStyle w:val="AssignBody"/>
        <w:jc w:val="both"/>
      </w:pPr>
      <w:r>
        <w:t xml:space="preserve">The findings from the research have been formalised into codes of reoccurring themes. The reoccurring themes are; ‘attitude and personality influencing levels of participation’ and ‘the fear of making mistakes’. These themes explore both quantitative and qualitative data. </w:t>
      </w:r>
    </w:p>
    <w:p w14:paraId="157C8808" w14:textId="5F2C9E2E" w:rsidR="00CA0777" w:rsidRDefault="00CA0777" w:rsidP="00CA0777">
      <w:pPr>
        <w:pStyle w:val="AssignBody"/>
      </w:pPr>
    </w:p>
    <w:p w14:paraId="10D3EA44" w14:textId="0E88761D" w:rsidR="009A1573" w:rsidRDefault="00CA0777" w:rsidP="009A1573">
      <w:pPr>
        <w:pStyle w:val="AssignSubHeader"/>
      </w:pPr>
      <w:r>
        <w:t xml:space="preserve">Attitude and personality influencing levels of participation </w:t>
      </w:r>
    </w:p>
    <w:p w14:paraId="482431B4" w14:textId="5CC6FA81" w:rsidR="007E4012" w:rsidRDefault="007E4012" w:rsidP="009A1573">
      <w:pPr>
        <w:pStyle w:val="AssignBody"/>
        <w:jc w:val="both"/>
      </w:pPr>
    </w:p>
    <w:p w14:paraId="42D7D68F" w14:textId="3D34986B" w:rsidR="009A1573" w:rsidRDefault="009A1573" w:rsidP="009A1573">
      <w:pPr>
        <w:pStyle w:val="AssignBody"/>
        <w:jc w:val="both"/>
      </w:pPr>
      <w:r>
        <w:t xml:space="preserve">Following the questionnaire completed by the teachers, and as expected, it concluded that some children tend to participate in the classroom more than others.  Evident from observation, the more confident children (Child A) and higher ability children (Child C and Child D) were consistently putting their hands up to answer a question. It may not have been as obvious to the teacher, but she continued to choose the same children. The link between these children and their level of participation could be related to </w:t>
      </w:r>
      <w:r w:rsidR="004B2C47">
        <w:t>who they are as a person</w:t>
      </w:r>
      <w:r>
        <w:t>. This relates to the reading of Patrick &amp; Turner (2004) within the literature review, who suggests that higher levels of participation, particularly in regard to ‘hands up’, are often associated with confidence and personal goals</w:t>
      </w:r>
      <w:r>
        <w:rPr>
          <w:iCs/>
        </w:rPr>
        <w:t>.</w:t>
      </w:r>
    </w:p>
    <w:p w14:paraId="3AA04567" w14:textId="101AB38B" w:rsidR="00CA0777" w:rsidRDefault="00CA0777" w:rsidP="00CA0777">
      <w:pPr>
        <w:pStyle w:val="AssignBody"/>
      </w:pPr>
    </w:p>
    <w:p w14:paraId="599124DE" w14:textId="535FF99B" w:rsidR="009A1573" w:rsidRDefault="009A1573" w:rsidP="009A1573">
      <w:pPr>
        <w:pStyle w:val="AssignBody"/>
        <w:jc w:val="both"/>
      </w:pPr>
      <w:r>
        <w:t xml:space="preserve">Interestingly, when a random response system was being used and optional participation was removed, the confident children who seemed to dominate classroom discussion beforehand, demonstrated their frustration by continuing to put their hand up to answer a question even though they were asked to follow a no hands up approach, notably Child C who put her head on the desk in frustration of not being picked to answer a question (See </w:t>
      </w:r>
      <w:r w:rsidR="00534D2D">
        <w:t>A</w:t>
      </w:r>
      <w:r>
        <w:t>ppendix</w:t>
      </w:r>
      <w:r w:rsidR="00534D2D">
        <w:t xml:space="preserve"> 8</w:t>
      </w:r>
      <w:r>
        <w:t xml:space="preserve">). She was also the only child where engagement decreased (See fig 1). This demonstrates that the same children who are used to continually contributing get frustrated when participation is optional. A way of tackling this issue and to reduce the odds of a particular child being chosen more than once by using a random response system is to keep the selected child out of the subsequent draws. </w:t>
      </w:r>
      <w:r>
        <w:rPr>
          <w:color w:val="FF0000"/>
        </w:rPr>
        <w:t xml:space="preserve"> </w:t>
      </w:r>
    </w:p>
    <w:p w14:paraId="3E9E8EBF" w14:textId="77777777" w:rsidR="007E4012" w:rsidRDefault="007E4012" w:rsidP="009A1573">
      <w:pPr>
        <w:pStyle w:val="AssignBody"/>
        <w:jc w:val="both"/>
      </w:pPr>
    </w:p>
    <w:p w14:paraId="2300FE4D" w14:textId="77777777" w:rsidR="004D118F" w:rsidRDefault="004D118F" w:rsidP="009A1573">
      <w:pPr>
        <w:pStyle w:val="AssignBody"/>
        <w:jc w:val="both"/>
      </w:pPr>
    </w:p>
    <w:p w14:paraId="480DA481" w14:textId="77777777" w:rsidR="004D118F" w:rsidRDefault="004D118F" w:rsidP="009A1573">
      <w:pPr>
        <w:pStyle w:val="AssignBody"/>
        <w:jc w:val="both"/>
      </w:pPr>
    </w:p>
    <w:p w14:paraId="4016E6CD" w14:textId="77777777" w:rsidR="004D118F" w:rsidRDefault="004D118F" w:rsidP="009A1573">
      <w:pPr>
        <w:pStyle w:val="AssignBody"/>
        <w:jc w:val="both"/>
      </w:pPr>
    </w:p>
    <w:p w14:paraId="4486F890" w14:textId="77777777" w:rsidR="004D118F" w:rsidRDefault="004D118F" w:rsidP="009A1573">
      <w:pPr>
        <w:pStyle w:val="AssignBody"/>
        <w:jc w:val="both"/>
      </w:pPr>
    </w:p>
    <w:p w14:paraId="35196ACC" w14:textId="38893826" w:rsidR="004D118F" w:rsidRDefault="004D118F" w:rsidP="004D118F">
      <w:pPr>
        <w:pStyle w:val="AssignBody"/>
        <w:jc w:val="center"/>
      </w:pPr>
      <w:r>
        <w:rPr>
          <w:noProof/>
        </w:rPr>
        <w:lastRenderedPageBreak/>
        <w:drawing>
          <wp:anchor distT="0" distB="0" distL="114300" distR="114300" simplePos="0" relativeHeight="251659264" behindDoc="0" locked="0" layoutInCell="1" allowOverlap="1" wp14:anchorId="097CB8E6" wp14:editId="3C3D0BFD">
            <wp:simplePos x="0" y="0"/>
            <wp:positionH relativeFrom="column">
              <wp:posOffset>191536</wp:posOffset>
            </wp:positionH>
            <wp:positionV relativeFrom="page">
              <wp:posOffset>917575</wp:posOffset>
            </wp:positionV>
            <wp:extent cx="5285105" cy="2861945"/>
            <wp:effectExtent l="0" t="0" r="0" b="0"/>
            <wp:wrapTight wrapText="bothSides">
              <wp:wrapPolygon edited="0">
                <wp:start x="0" y="0"/>
                <wp:lineTo x="0" y="21423"/>
                <wp:lineTo x="21488" y="21423"/>
                <wp:lineTo x="21488" y="0"/>
                <wp:lineTo x="0" y="0"/>
              </wp:wrapPolygon>
            </wp:wrapTight>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b="6084"/>
                    <a:stretch/>
                  </pic:blipFill>
                  <pic:spPr bwMode="auto">
                    <a:xfrm>
                      <a:off x="0" y="0"/>
                      <a:ext cx="5285105" cy="286194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t>Figure 1 (Fig 1)</w:t>
      </w:r>
    </w:p>
    <w:p w14:paraId="558A48D8" w14:textId="77777777" w:rsidR="004D118F" w:rsidRDefault="004D118F" w:rsidP="009A1573">
      <w:pPr>
        <w:pStyle w:val="AssignBody"/>
        <w:jc w:val="both"/>
      </w:pPr>
    </w:p>
    <w:p w14:paraId="5538DACD" w14:textId="4A4CF862" w:rsidR="009A1573" w:rsidRDefault="009A1573" w:rsidP="009A1573">
      <w:pPr>
        <w:pStyle w:val="AssignBody"/>
        <w:jc w:val="both"/>
      </w:pPr>
      <w:r>
        <w:t xml:space="preserve">However, the statistics gathered from observation may not be a true reflection as the children knew they were being observed. Also known as the Hawthorne effect, the behaviour of the children taking part in the observation may differ and affect the results because they are aware of the research being undertaken and the </w:t>
      </w:r>
      <w:r w:rsidR="004B2C47">
        <w:t>researcher’s</w:t>
      </w:r>
      <w:r>
        <w:t xml:space="preserve"> presence (Punch, 2014). Therefore, the children who were observed to be constantly contributing and getting involved in group discussion may not behave in the same way without the researcher present. </w:t>
      </w:r>
    </w:p>
    <w:p w14:paraId="5A5F2DE7" w14:textId="5FB8996E" w:rsidR="009A1573" w:rsidRDefault="009A1573" w:rsidP="00CA0777">
      <w:pPr>
        <w:pStyle w:val="AssignBody"/>
      </w:pPr>
    </w:p>
    <w:p w14:paraId="333FAD4E" w14:textId="181074B3" w:rsidR="009A1573" w:rsidRDefault="009A1573" w:rsidP="009A1573">
      <w:pPr>
        <w:pStyle w:val="AssignBody"/>
        <w:jc w:val="both"/>
      </w:pPr>
      <w:r>
        <w:t>Some results from the interviews followed of s</w:t>
      </w:r>
      <w:r w:rsidR="004B2C47">
        <w:t>imilar</w:t>
      </w:r>
      <w:r>
        <w:t xml:space="preserve"> pattern where the children were asked to describe themselves as a Mr. Men/ Little Miss character. With no surprise, the children who were marked as ‘high’ level of engagement during observation, described themselves during the interview as Little Miss Chatterbox (Child A) and Mr Clever (Child D). In contrast to these children, Child F described herself as Little Miss Shy. Her shyness was visible during Observation 1 where she did not voluntarily contribute. However, her level of engagement was marked as ‘moderate’ because she demonstrated signs of understanding by nodding. This relates to the literature of Harrison &amp; Howard (2009) who infer that the quieter and shy children may be reluctant to participate. </w:t>
      </w:r>
      <w:r w:rsidR="007E4012">
        <w:t xml:space="preserve">Child B also stated that </w:t>
      </w:r>
      <w:r w:rsidR="0076027A">
        <w:t>“the smarter people normally put their hand up because only they know the answer”</w:t>
      </w:r>
      <w:r w:rsidR="002751CC">
        <w:t xml:space="preserve"> (See Appendix 7)</w:t>
      </w:r>
      <w:r w:rsidR="0076027A">
        <w:t xml:space="preserve">. This misconception in which pupils inaccurately equate intelligence to regularity with </w:t>
      </w:r>
      <w:r w:rsidR="00BE0580">
        <w:t>‘</w:t>
      </w:r>
      <w:r w:rsidR="0076027A">
        <w:t>hands up</w:t>
      </w:r>
      <w:r w:rsidR="00BE0580">
        <w:t>’</w:t>
      </w:r>
      <w:r w:rsidR="0076027A">
        <w:t xml:space="preserve"> links to the reading by Wiliam (2011) who infers that </w:t>
      </w:r>
      <w:r w:rsidR="00BE0580">
        <w:t>continually</w:t>
      </w:r>
      <w:r w:rsidR="0076027A">
        <w:t xml:space="preserve"> allowing the higher ability to </w:t>
      </w:r>
      <w:r w:rsidR="00BE0580">
        <w:t>dominate discussion</w:t>
      </w:r>
      <w:r w:rsidR="0076027A">
        <w:t xml:space="preserve"> can </w:t>
      </w:r>
      <w:r w:rsidR="00BE0580">
        <w:t xml:space="preserve">make the achievement gap worse and </w:t>
      </w:r>
      <w:r w:rsidR="0076027A">
        <w:t xml:space="preserve">damage </w:t>
      </w:r>
      <w:r w:rsidR="00BE0580">
        <w:t xml:space="preserve">the </w:t>
      </w:r>
      <w:r w:rsidR="0076027A">
        <w:t>confidence</w:t>
      </w:r>
      <w:r w:rsidR="00BE0580">
        <w:t xml:space="preserve"> of other individuals in the class. </w:t>
      </w:r>
    </w:p>
    <w:p w14:paraId="0342F5E3" w14:textId="397DC920" w:rsidR="009A1573" w:rsidRDefault="009A1573" w:rsidP="00CA0777">
      <w:pPr>
        <w:pStyle w:val="AssignBody"/>
      </w:pPr>
    </w:p>
    <w:p w14:paraId="774E6697" w14:textId="77777777" w:rsidR="004D118F" w:rsidRDefault="004D118F" w:rsidP="00CA0777">
      <w:pPr>
        <w:pStyle w:val="AssignBody"/>
      </w:pPr>
    </w:p>
    <w:p w14:paraId="38D70DC4" w14:textId="77FDAF6F" w:rsidR="009A1573" w:rsidRDefault="009A1573" w:rsidP="009A1573">
      <w:pPr>
        <w:pStyle w:val="AssignSubHeader"/>
      </w:pPr>
      <w:r>
        <w:lastRenderedPageBreak/>
        <w:t xml:space="preserve">The fear of making mistakes </w:t>
      </w:r>
    </w:p>
    <w:p w14:paraId="5A40263D" w14:textId="02FBBB96" w:rsidR="009A1573" w:rsidRPr="009A1573" w:rsidRDefault="009A1573" w:rsidP="009A1573">
      <w:pPr>
        <w:pStyle w:val="AssignBody"/>
      </w:pPr>
    </w:p>
    <w:p w14:paraId="3E5F9D6D" w14:textId="0E05B485" w:rsidR="009A1573" w:rsidRDefault="009A1573" w:rsidP="009A1573">
      <w:pPr>
        <w:pStyle w:val="AssignBody"/>
        <w:jc w:val="both"/>
      </w:pPr>
      <w:r>
        <w:t>Surprisingly, the fear of making mistakes did not only situate with the less confident and quiet children, but it was apparent with the confident and higher ability children too, who equally stressed their fear of making mistakes during the child interviews. Child D expressed how a random response system makes him feel worried if he gets chosen and did not know the answer (See Appendix</w:t>
      </w:r>
      <w:r w:rsidR="00534D2D">
        <w:t xml:space="preserve"> 7</w:t>
      </w:r>
      <w:r>
        <w:t>). Teachers were also asked in the questionnaire ‘</w:t>
      </w:r>
      <w:r>
        <w:rPr>
          <w:i/>
          <w:iCs/>
        </w:rPr>
        <w:t xml:space="preserve">Do you think that the children in your class see making mistakes as part of the learning process?’ </w:t>
      </w:r>
      <w:r>
        <w:t>to which five out of six teachers responded with “no”. It would seem that Wiliam (2011) has previously identified this error in education and strives to create classrooms where all answers are to be valued.</w:t>
      </w:r>
    </w:p>
    <w:p w14:paraId="676F3A47" w14:textId="77777777" w:rsidR="00263A5C" w:rsidRDefault="00263A5C" w:rsidP="009A1573">
      <w:pPr>
        <w:pStyle w:val="AssignBody"/>
        <w:jc w:val="both"/>
      </w:pPr>
    </w:p>
    <w:p w14:paraId="7BCA03D6" w14:textId="39CF7202" w:rsidR="009A1573" w:rsidRDefault="009A1573" w:rsidP="009A1573">
      <w:pPr>
        <w:pStyle w:val="AssignBody"/>
        <w:jc w:val="both"/>
      </w:pPr>
      <w:r>
        <w:t>The majority of the potential issues when using a random response system raised in the questionnaire related to a child’s self-esteem</w:t>
      </w:r>
      <w:r w:rsidR="00965358">
        <w:t xml:space="preserve"> (See Appendix 9)</w:t>
      </w:r>
      <w:r>
        <w:t xml:space="preserve">. Teacher A noted that a potential issue is “You need to be sensitive when the randomiser has selected a pupil who isn’t able to answer the question”. This relates to the reading by Dweck (2000) who proposes that classrooms need to become more supportive and cooperative. However, the questionnaire results may be limited as there was only a total of six respondents, whereby a questionnaire is “most effective with a large group of participants” (Thomas, 2017, p.217). Although, nothing could have been done to eliminate this issue as the research was restricted to one day in one school. </w:t>
      </w:r>
    </w:p>
    <w:p w14:paraId="0E29FDA7" w14:textId="2242A69F" w:rsidR="009A1573" w:rsidRDefault="009A1573" w:rsidP="009A1573">
      <w:pPr>
        <w:pStyle w:val="AssignBody"/>
      </w:pPr>
    </w:p>
    <w:p w14:paraId="1DDC01FF" w14:textId="25936B6A" w:rsidR="009A1573" w:rsidRDefault="009A1573" w:rsidP="009A1573">
      <w:pPr>
        <w:pStyle w:val="AssignBody"/>
        <w:jc w:val="both"/>
      </w:pPr>
      <w:r>
        <w:t>During observation 2, Child D was randomly chosen. It’s uncertain whether this child did not know the answer or whether he felt targeted, but he refused to answer. From this, the class teacher looked for ways to maintain student engagement by offering him to ‘phone a friend’.  Wiliam (201</w:t>
      </w:r>
      <w:r w:rsidR="00681EF0">
        <w:t>1</w:t>
      </w:r>
      <w:r>
        <w:t>) would support this sound pedagogy as he emphasizes the importance of not allowing a child to change the class contract, even if a child indicates that they do not want to engage by resisting a question.</w:t>
      </w:r>
      <w:r w:rsidR="00506791">
        <w:t xml:space="preserve"> </w:t>
      </w:r>
    </w:p>
    <w:p w14:paraId="1C455008" w14:textId="77777777" w:rsidR="009A1573" w:rsidRDefault="009A1573" w:rsidP="009A1573">
      <w:pPr>
        <w:pStyle w:val="AssignBody"/>
        <w:jc w:val="both"/>
      </w:pPr>
    </w:p>
    <w:p w14:paraId="2A1C05D2" w14:textId="1CD3446B" w:rsidR="009A1573" w:rsidRDefault="009A1573" w:rsidP="009A1573">
      <w:pPr>
        <w:pStyle w:val="AssignBody"/>
        <w:jc w:val="both"/>
      </w:pPr>
      <w:r>
        <w:t xml:space="preserve">In relation to the research question, the questionnaire included a </w:t>
      </w:r>
      <w:r w:rsidR="002751CC">
        <w:t>Likert</w:t>
      </w:r>
      <w:r>
        <w:t xml:space="preserve"> style question asking how far they agree </w:t>
      </w:r>
      <w:r w:rsidR="002751CC">
        <w:t>with</w:t>
      </w:r>
      <w:r>
        <w:t xml:space="preserve"> the statement: A random response system increases a child’s engagement. The average response to this was </w:t>
      </w:r>
      <w:r w:rsidR="004B3F5F">
        <w:t>83.3</w:t>
      </w:r>
      <w:r>
        <w:t xml:space="preserve">% ‘neither agree or disagree’ and </w:t>
      </w:r>
      <w:r w:rsidR="004B3F5F">
        <w:t>16.6</w:t>
      </w:r>
      <w:r>
        <w:t xml:space="preserve">% ‘agree’ (See </w:t>
      </w:r>
      <w:r w:rsidR="00534D2D">
        <w:t>A</w:t>
      </w:r>
      <w:r>
        <w:t>ppendix</w:t>
      </w:r>
      <w:r w:rsidR="00534D2D">
        <w:t xml:space="preserve"> </w:t>
      </w:r>
      <w:r w:rsidR="00965358">
        <w:t>10</w:t>
      </w:r>
      <w:r>
        <w:t xml:space="preserve">). However, the fact that the overall answer is close to the neutral option, suggests that some participants may have taken the easiest </w:t>
      </w:r>
      <w:r w:rsidR="002751CC">
        <w:t>route</w:t>
      </w:r>
      <w:r>
        <w:t xml:space="preserve"> of “fence sitting” (Arthur, 2014). There are many arguments as to whether to include a neutral option within a questionnaire or survey. Greenfield (1996) on the other hand would argue that not including </w:t>
      </w:r>
      <w:r>
        <w:lastRenderedPageBreak/>
        <w:t xml:space="preserve">these types of options creates false and unreliable answers as it is forcing people to express their opinion when they do not have one. </w:t>
      </w:r>
    </w:p>
    <w:p w14:paraId="71FEE0EC" w14:textId="53642549" w:rsidR="009A1573" w:rsidRDefault="009A1573" w:rsidP="009A1573">
      <w:pPr>
        <w:pStyle w:val="AssignBody"/>
      </w:pPr>
    </w:p>
    <w:p w14:paraId="54DD1F5B" w14:textId="77777777" w:rsidR="003D7F74" w:rsidRPr="003D7F74" w:rsidRDefault="003D7F74" w:rsidP="00DB5D29">
      <w:pPr>
        <w:pStyle w:val="AssignBody"/>
        <w:jc w:val="both"/>
      </w:pPr>
      <w:r w:rsidRPr="003D7F74">
        <w:rPr>
          <w:rStyle w:val="BookTitle"/>
          <w:b w:val="0"/>
          <w:bCs w:val="0"/>
          <w:i w:val="0"/>
          <w:iCs w:val="0"/>
          <w:spacing w:val="0"/>
        </w:rPr>
        <w:t>To conclude, this research study aimed to examine whether a random response system increases engagement in the classroom. The primary results indicates that using a random response system in the classroom does increase overall engagement, proving the hypothesis to be correct to some extent. This is because teachers should be wary that it may decrease the level of engagement for some children demonstrated by Child C. It can be argued however that these children should learn to accept the approach.</w:t>
      </w:r>
    </w:p>
    <w:p w14:paraId="4208C0B9" w14:textId="77777777" w:rsidR="003D7F74" w:rsidRPr="003D7F74" w:rsidRDefault="003D7F74" w:rsidP="00DB5D29">
      <w:pPr>
        <w:pStyle w:val="AssignBody"/>
        <w:jc w:val="both"/>
      </w:pPr>
    </w:p>
    <w:p w14:paraId="64D65644" w14:textId="77777777" w:rsidR="003D7F74" w:rsidRPr="003D7F74" w:rsidRDefault="003D7F74" w:rsidP="00DB5D29">
      <w:pPr>
        <w:pStyle w:val="AssignBody"/>
        <w:jc w:val="both"/>
        <w:rPr>
          <w:rStyle w:val="BookTitle"/>
          <w:b w:val="0"/>
          <w:bCs w:val="0"/>
          <w:i w:val="0"/>
          <w:iCs w:val="0"/>
          <w:spacing w:val="0"/>
        </w:rPr>
      </w:pPr>
      <w:r w:rsidRPr="003D7F74">
        <w:rPr>
          <w:rStyle w:val="BookTitle"/>
          <w:b w:val="0"/>
          <w:bCs w:val="0"/>
          <w:i w:val="0"/>
          <w:iCs w:val="0"/>
          <w:spacing w:val="0"/>
        </w:rPr>
        <w:t>Findings also conclude that self-esteem can link with participation rates, which in turn could be increased by embedding a positive growth mindset within the classroom environment. Teachers may not be aware of the extent in which some children feel heavily pressured to get things correct. This research could encourage teachers and student teachers to create or continue creating a supportive and cooperative classroom. Alternatively, it could be useful to repeat the case study with the same Year Three class after efforts to encourage a growth mindset could convey whether learner identities have changed.</w:t>
      </w:r>
    </w:p>
    <w:p w14:paraId="0DB85F79" w14:textId="77777777" w:rsidR="003D7F74" w:rsidRPr="003D7F74" w:rsidRDefault="003D7F74" w:rsidP="00DB5D29">
      <w:pPr>
        <w:pStyle w:val="AssignBody"/>
        <w:jc w:val="both"/>
        <w:rPr>
          <w:rStyle w:val="BookTitle"/>
          <w:b w:val="0"/>
          <w:bCs w:val="0"/>
          <w:i w:val="0"/>
          <w:iCs w:val="0"/>
          <w:spacing w:val="0"/>
        </w:rPr>
      </w:pPr>
    </w:p>
    <w:p w14:paraId="75336697" w14:textId="77777777" w:rsidR="003D7F74" w:rsidRPr="003D7F74" w:rsidRDefault="003D7F74" w:rsidP="00DB5D29">
      <w:pPr>
        <w:pStyle w:val="AssignBody"/>
        <w:jc w:val="both"/>
      </w:pPr>
      <w:r w:rsidRPr="003D7F74">
        <w:rPr>
          <w:rStyle w:val="BookTitle"/>
          <w:b w:val="0"/>
          <w:bCs w:val="0"/>
          <w:i w:val="0"/>
          <w:iCs w:val="0"/>
          <w:spacing w:val="0"/>
        </w:rPr>
        <w:t xml:space="preserve">It is important to note that this research was conducted as a small scale. This suggests that it cannot be used to draw broad generalisations that can be applied to other Year Three classes due to the small sample size and the lack of ALN or EAL pupils. However, this does not limit the validity and value of the research as the research focuses on in depth perspectives and demonstrates that education is a contested terrain whereby different perspectives can co-exist in research. </w:t>
      </w:r>
    </w:p>
    <w:p w14:paraId="4FF3B38E" w14:textId="77777777" w:rsidR="003D7F74" w:rsidRPr="003D7F74" w:rsidRDefault="003D7F74" w:rsidP="00DB5D29">
      <w:pPr>
        <w:pStyle w:val="AssignBody"/>
        <w:jc w:val="both"/>
      </w:pPr>
    </w:p>
    <w:p w14:paraId="533C1C70" w14:textId="28141BAE" w:rsidR="003D7F74" w:rsidRPr="003D7F74" w:rsidRDefault="003D7F74" w:rsidP="00DB5D29">
      <w:pPr>
        <w:pStyle w:val="AssignBody"/>
        <w:jc w:val="both"/>
      </w:pPr>
      <w:r w:rsidRPr="003D7F74">
        <w:rPr>
          <w:rStyle w:val="BookTitle"/>
          <w:b w:val="0"/>
          <w:bCs w:val="0"/>
          <w:i w:val="0"/>
          <w:iCs w:val="0"/>
          <w:spacing w:val="0"/>
        </w:rPr>
        <w:t xml:space="preserve">It could be proposed that it is time to move away from the traditional hands up culture. The research has allowed me to have an insight on ways of increasing engagement within the classroom. For my next Professional Teaching Experience (PTE), I aim to encourage pupil engagement with productive and explorative learning away from voluntary contribution by implementing a random response system. </w:t>
      </w:r>
    </w:p>
    <w:p w14:paraId="441BC3F6" w14:textId="77777777" w:rsidR="003D7F74" w:rsidRPr="003D7F74" w:rsidRDefault="003D7F74" w:rsidP="00DB5D29">
      <w:pPr>
        <w:pStyle w:val="AssignBody"/>
        <w:jc w:val="both"/>
      </w:pPr>
    </w:p>
    <w:p w14:paraId="783994F2" w14:textId="77777777" w:rsidR="003D7F74" w:rsidRPr="003D7F74" w:rsidRDefault="003D7F74" w:rsidP="00DB5D29">
      <w:pPr>
        <w:pStyle w:val="AssignBody"/>
        <w:jc w:val="both"/>
      </w:pPr>
      <w:r w:rsidRPr="003D7F74">
        <w:rPr>
          <w:rStyle w:val="BookTitle"/>
          <w:b w:val="0"/>
          <w:bCs w:val="0"/>
          <w:i w:val="0"/>
          <w:iCs w:val="0"/>
          <w:spacing w:val="0"/>
        </w:rPr>
        <w:t xml:space="preserve">As a result of undertaking this study, I feel that I have developed my professional learning. Hattie (2009) states that “the biggest effects on student learning occur when teachers become leaners of their own teaching” (Hattie, 2009, p.22). This proves that there is no better way a teacher can improve their own practise by researching or contributing to existing research. Having done this, it has also helped me to meet one of the Qualified Teacher Status (QTS) </w:t>
      </w:r>
      <w:r w:rsidRPr="003D7F74">
        <w:rPr>
          <w:rStyle w:val="BookTitle"/>
          <w:b w:val="0"/>
          <w:bCs w:val="0"/>
          <w:i w:val="0"/>
          <w:iCs w:val="0"/>
          <w:spacing w:val="0"/>
        </w:rPr>
        <w:lastRenderedPageBreak/>
        <w:t xml:space="preserve">standards under Professional Learning where a teacher “makes reasoned decisions in terms of their pedagogy based upon relevant reading and research findings” (WG, 2018, p.48). </w:t>
      </w:r>
    </w:p>
    <w:p w14:paraId="54140D49" w14:textId="77777777" w:rsidR="003D7F74" w:rsidRPr="003D7F74" w:rsidRDefault="003D7F74" w:rsidP="00DB5D29">
      <w:pPr>
        <w:pStyle w:val="AssignBody"/>
        <w:jc w:val="both"/>
      </w:pPr>
    </w:p>
    <w:p w14:paraId="204E8FA6" w14:textId="77777777" w:rsidR="003D7F74" w:rsidRPr="003D7F74" w:rsidRDefault="003D7F74" w:rsidP="00DB5D29">
      <w:pPr>
        <w:pStyle w:val="AssignBody"/>
        <w:jc w:val="both"/>
      </w:pPr>
      <w:r w:rsidRPr="003D7F74">
        <w:rPr>
          <w:rStyle w:val="BookTitle"/>
          <w:b w:val="0"/>
          <w:bCs w:val="0"/>
          <w:i w:val="0"/>
          <w:iCs w:val="0"/>
          <w:spacing w:val="0"/>
        </w:rPr>
        <w:t>The research has further contributed to my development of the four research dispositions (Orchard &amp; Winch, 2015). Firstly, being sceptical when exploring the field of AfL and weighing up the evidence before asserting something. It is important to consider many factors when looking at literature and resources. For example, I made sure that all literature selected was up to date. Secondly, I have made a conscious effort in being ethical by reading into and following the guidelines of BERA (2018). The guidelines have helped to support the research and develop my ethical thinking and practise. Thirdly, by forming a relevant research question and being able to seek a variety of research tools such as observation, interviews and questionnaire, I have contributed in being a skilled researcher. Lastly, being part of an inquiring profession, triangulating data that helped me to gather information which may influence decisions within my professional practice and contribute to existing research.</w:t>
      </w:r>
    </w:p>
    <w:p w14:paraId="24CA17BF" w14:textId="4D98A400" w:rsidR="009A1573" w:rsidRDefault="009A1573" w:rsidP="00DB5D29">
      <w:pPr>
        <w:pStyle w:val="AssignBody"/>
        <w:jc w:val="both"/>
      </w:pPr>
      <w:bookmarkStart w:id="0" w:name="_GoBack"/>
      <w:bookmarkEnd w:id="0"/>
    </w:p>
    <w:p w14:paraId="73D86B10" w14:textId="56D12348" w:rsidR="009A1573" w:rsidRDefault="002F1E3B" w:rsidP="002F1E3B">
      <w:pPr>
        <w:pStyle w:val="AssignBody"/>
        <w:tabs>
          <w:tab w:val="left" w:pos="2340"/>
        </w:tabs>
      </w:pPr>
      <w:r>
        <w:tab/>
      </w:r>
    </w:p>
    <w:p w14:paraId="4A1637CD" w14:textId="4FF4AD50" w:rsidR="00534D2D" w:rsidRDefault="00534D2D" w:rsidP="009A1573">
      <w:pPr>
        <w:pStyle w:val="AssignBody"/>
      </w:pPr>
    </w:p>
    <w:p w14:paraId="4DAB2FC4" w14:textId="5727847A" w:rsidR="009A1573" w:rsidRPr="00534D2D" w:rsidRDefault="00534D2D" w:rsidP="00534D2D">
      <w:pPr>
        <w:rPr>
          <w:rFonts w:ascii="Arial" w:hAnsi="Arial"/>
        </w:rPr>
      </w:pPr>
      <w:r>
        <w:br w:type="page"/>
      </w:r>
    </w:p>
    <w:p w14:paraId="0F9EC577" w14:textId="3B077D82" w:rsidR="009A1573" w:rsidRDefault="009A1573" w:rsidP="009A1573">
      <w:pPr>
        <w:pStyle w:val="AssignBody"/>
      </w:pPr>
    </w:p>
    <w:tbl>
      <w:tblPr>
        <w:tblStyle w:val="TableGrid"/>
        <w:tblW w:w="9188" w:type="dxa"/>
        <w:tblLook w:val="04A0" w:firstRow="1" w:lastRow="0" w:firstColumn="1" w:lastColumn="0" w:noHBand="0" w:noVBand="1"/>
      </w:tblPr>
      <w:tblGrid>
        <w:gridCol w:w="9188"/>
      </w:tblGrid>
      <w:tr w:rsidR="009A1573" w14:paraId="01B2F3E2" w14:textId="77777777" w:rsidTr="009A1573">
        <w:trPr>
          <w:trHeight w:val="557"/>
        </w:trPr>
        <w:tc>
          <w:tcPr>
            <w:tcW w:w="9188" w:type="dxa"/>
          </w:tcPr>
          <w:p w14:paraId="203DE626" w14:textId="4FC58030" w:rsidR="009A1573" w:rsidRPr="00A46733" w:rsidRDefault="009A1573" w:rsidP="009A1573">
            <w:pPr>
              <w:pStyle w:val="AssignSubHeader"/>
            </w:pPr>
            <w:r w:rsidRPr="00A46733">
              <w:t xml:space="preserve">Reference list </w:t>
            </w:r>
          </w:p>
        </w:tc>
      </w:tr>
      <w:tr w:rsidR="009A1573" w14:paraId="25DD0789" w14:textId="77777777" w:rsidTr="006B49DD">
        <w:trPr>
          <w:trHeight w:val="6936"/>
        </w:trPr>
        <w:tc>
          <w:tcPr>
            <w:tcW w:w="9188" w:type="dxa"/>
          </w:tcPr>
          <w:p w14:paraId="611E6196" w14:textId="77777777" w:rsidR="006B49DD" w:rsidRPr="00A46733" w:rsidRDefault="006B49DD" w:rsidP="006B49DD">
            <w:pPr>
              <w:pStyle w:val="AssignBody"/>
              <w:rPr>
                <w:rFonts w:cs="Arial"/>
              </w:rPr>
            </w:pPr>
            <w:r w:rsidRPr="00A46733">
              <w:rPr>
                <w:rFonts w:cs="Arial"/>
              </w:rPr>
              <w:t xml:space="preserve">Alderson. P, (2004) ‘Ethics’, in Fraser. S, Lewis. V, Ding. S, Kellett. M and Robinson. C (eds). </w:t>
            </w:r>
            <w:r w:rsidRPr="00A46733">
              <w:rPr>
                <w:rFonts w:cs="Arial"/>
                <w:i/>
                <w:iCs/>
              </w:rPr>
              <w:t xml:space="preserve">Doing Research with Children and Young People, </w:t>
            </w:r>
            <w:r w:rsidRPr="00A46733">
              <w:rPr>
                <w:rFonts w:cs="Arial"/>
              </w:rPr>
              <w:t>London: Sage Publications.</w:t>
            </w:r>
          </w:p>
          <w:p w14:paraId="6592A782" w14:textId="6E283CF4" w:rsidR="006B49DD" w:rsidRPr="00A46733" w:rsidRDefault="006B49DD" w:rsidP="006B49DD">
            <w:pPr>
              <w:pStyle w:val="AssignBody"/>
              <w:rPr>
                <w:rFonts w:cs="Arial"/>
              </w:rPr>
            </w:pPr>
            <w:r w:rsidRPr="00A46733">
              <w:rPr>
                <w:rFonts w:cs="Arial"/>
                <w:i/>
                <w:iCs/>
              </w:rPr>
              <w:t>Approaches</w:t>
            </w:r>
            <w:r w:rsidRPr="00A46733">
              <w:rPr>
                <w:rFonts w:cs="Arial"/>
              </w:rPr>
              <w:t>. London: Sage Publications Ltd.</w:t>
            </w:r>
          </w:p>
          <w:p w14:paraId="18B75919" w14:textId="77777777" w:rsidR="006B49DD" w:rsidRPr="00A46733" w:rsidRDefault="006B49DD" w:rsidP="006B49DD">
            <w:pPr>
              <w:pStyle w:val="AssignBody"/>
              <w:rPr>
                <w:rFonts w:cs="Arial"/>
              </w:rPr>
            </w:pPr>
          </w:p>
          <w:p w14:paraId="46311545" w14:textId="4CE1E2AE" w:rsidR="006B49DD" w:rsidRPr="00A46733" w:rsidRDefault="006B49DD" w:rsidP="006B49DD">
            <w:pPr>
              <w:pStyle w:val="AssignBody"/>
              <w:rPr>
                <w:rFonts w:cs="Arial"/>
                <w:iCs/>
              </w:rPr>
            </w:pPr>
            <w:r w:rsidRPr="00A46733">
              <w:rPr>
                <w:rFonts w:cs="Arial"/>
                <w:iCs/>
              </w:rPr>
              <w:t xml:space="preserve">Arthur, J. (Ed.) (2012) Research methods and methodologies in education. London: Sage Publications Ltd. </w:t>
            </w:r>
          </w:p>
          <w:p w14:paraId="10C21BCF" w14:textId="77777777" w:rsidR="006B49DD" w:rsidRPr="00A46733" w:rsidRDefault="006B49DD" w:rsidP="006B49DD">
            <w:pPr>
              <w:pStyle w:val="AssignBody"/>
              <w:rPr>
                <w:rFonts w:cs="Arial"/>
                <w:iCs/>
              </w:rPr>
            </w:pPr>
          </w:p>
          <w:p w14:paraId="6409D93F" w14:textId="01B18B93" w:rsidR="006B49DD" w:rsidRPr="00A46733" w:rsidRDefault="006B49DD" w:rsidP="006B49DD">
            <w:pPr>
              <w:pStyle w:val="AssignBody"/>
              <w:rPr>
                <w:rFonts w:cs="Arial"/>
              </w:rPr>
            </w:pPr>
            <w:r w:rsidRPr="00A46733">
              <w:rPr>
                <w:rFonts w:cs="Arial"/>
              </w:rPr>
              <w:t xml:space="preserve">Assessment Reform Group (ARG) (2002) </w:t>
            </w:r>
            <w:r w:rsidRPr="00A46733">
              <w:rPr>
                <w:rFonts w:cs="Arial"/>
                <w:i/>
                <w:iCs/>
              </w:rPr>
              <w:t xml:space="preserve">Assessment for Learning: 10 principles. </w:t>
            </w:r>
            <w:r w:rsidRPr="00A46733">
              <w:rPr>
                <w:rFonts w:cs="Arial"/>
              </w:rPr>
              <w:t xml:space="preserve">Cambridge: University of Cambridge Faculty Reform Group. </w:t>
            </w:r>
          </w:p>
          <w:p w14:paraId="134442CC" w14:textId="77777777" w:rsidR="006B49DD" w:rsidRPr="00A46733" w:rsidRDefault="006B49DD" w:rsidP="006B49DD">
            <w:pPr>
              <w:pStyle w:val="AssignBody"/>
              <w:rPr>
                <w:rFonts w:cs="Arial"/>
              </w:rPr>
            </w:pPr>
          </w:p>
          <w:p w14:paraId="68E03647" w14:textId="3CC34F06" w:rsidR="006B49DD" w:rsidRPr="00A46733" w:rsidRDefault="006B49DD" w:rsidP="006B49DD">
            <w:pPr>
              <w:pStyle w:val="AssignBody"/>
              <w:rPr>
                <w:rStyle w:val="Hyperlink"/>
                <w:rFonts w:cs="Arial"/>
                <w:color w:val="auto"/>
              </w:rPr>
            </w:pPr>
            <w:r w:rsidRPr="00A46733">
              <w:rPr>
                <w:rFonts w:cs="Arial"/>
              </w:rPr>
              <w:t xml:space="preserve">British Educational Research Guidelines (BERA, 2018). </w:t>
            </w:r>
            <w:hyperlink r:id="rId10" w:history="1">
              <w:r w:rsidRPr="00A46733">
                <w:rPr>
                  <w:rStyle w:val="Hyperlink"/>
                  <w:rFonts w:cs="Arial"/>
                  <w:color w:val="auto"/>
                </w:rPr>
                <w:t>https://www.bera.ac.uk/researchers-resources/publications/ethical-guidelines-foreducational-research-2018</w:t>
              </w:r>
            </w:hyperlink>
          </w:p>
          <w:p w14:paraId="2BBB6B87" w14:textId="77777777" w:rsidR="006B49DD" w:rsidRPr="00A46733" w:rsidRDefault="006B49DD" w:rsidP="006B49DD">
            <w:pPr>
              <w:pStyle w:val="AssignBody"/>
              <w:rPr>
                <w:rFonts w:cs="Arial"/>
              </w:rPr>
            </w:pPr>
          </w:p>
          <w:p w14:paraId="7C8F2D50" w14:textId="5018E56C" w:rsidR="006B49DD" w:rsidRPr="00A46733" w:rsidRDefault="006B49DD" w:rsidP="006B49DD">
            <w:pPr>
              <w:pStyle w:val="AssignBody"/>
              <w:rPr>
                <w:rFonts w:cs="Arial"/>
                <w:iCs/>
              </w:rPr>
            </w:pPr>
            <w:r w:rsidRPr="00A46733">
              <w:rPr>
                <w:rFonts w:cs="Arial"/>
                <w:iCs/>
              </w:rPr>
              <w:t xml:space="preserve">Clark and Moss (2005) ‘Ways of seeing: using the Mosaic approach to listen to young children’s perspectives’, in Clark. A, </w:t>
            </w:r>
            <w:proofErr w:type="spellStart"/>
            <w:r w:rsidRPr="00A46733">
              <w:rPr>
                <w:rFonts w:cs="Arial"/>
                <w:iCs/>
              </w:rPr>
              <w:t>Kjorholt</w:t>
            </w:r>
            <w:proofErr w:type="spellEnd"/>
            <w:r w:rsidRPr="00A46733">
              <w:rPr>
                <w:rFonts w:cs="Arial"/>
                <w:iCs/>
              </w:rPr>
              <w:t xml:space="preserve"> and Moss. P (eds.) </w:t>
            </w:r>
            <w:r w:rsidRPr="00A46733">
              <w:rPr>
                <w:rFonts w:cs="Arial"/>
                <w:i/>
              </w:rPr>
              <w:t xml:space="preserve">Beyond Listening. </w:t>
            </w:r>
            <w:r w:rsidRPr="00A46733">
              <w:rPr>
                <w:rFonts w:cs="Arial"/>
                <w:iCs/>
              </w:rPr>
              <w:t xml:space="preserve">Children’s perspectives on early childhood services. Bristol: Policy Press, pp29-49.  </w:t>
            </w:r>
          </w:p>
          <w:p w14:paraId="66262FBB" w14:textId="77777777" w:rsidR="006B49DD" w:rsidRPr="00A46733" w:rsidRDefault="006B49DD" w:rsidP="006B49DD">
            <w:pPr>
              <w:pStyle w:val="AssignBody"/>
              <w:rPr>
                <w:rFonts w:cs="Arial"/>
                <w:iCs/>
              </w:rPr>
            </w:pPr>
          </w:p>
          <w:p w14:paraId="1BCA4901" w14:textId="62020E6B" w:rsidR="006B49DD" w:rsidRPr="00A46733" w:rsidRDefault="006B49DD" w:rsidP="006B49DD">
            <w:pPr>
              <w:pStyle w:val="AssignBody"/>
              <w:rPr>
                <w:rFonts w:cs="Arial"/>
              </w:rPr>
            </w:pPr>
            <w:r w:rsidRPr="00A46733">
              <w:rPr>
                <w:rFonts w:cs="Arial"/>
              </w:rPr>
              <w:t xml:space="preserve">D. </w:t>
            </w:r>
            <w:proofErr w:type="spellStart"/>
            <w:r w:rsidRPr="00A46733">
              <w:rPr>
                <w:rFonts w:cs="Arial"/>
              </w:rPr>
              <w:t>Didau</w:t>
            </w:r>
            <w:proofErr w:type="spellEnd"/>
            <w:r w:rsidRPr="00A46733">
              <w:rPr>
                <w:rFonts w:cs="Arial"/>
              </w:rPr>
              <w:t xml:space="preserve">. (2014) ‘Why AfL might be wrong and what to do about it’, </w:t>
            </w:r>
            <w:r w:rsidRPr="00A46733">
              <w:rPr>
                <w:rFonts w:cs="Arial"/>
                <w:i/>
                <w:iCs/>
              </w:rPr>
              <w:t xml:space="preserve">Learning Spy </w:t>
            </w:r>
            <w:r w:rsidRPr="00A46733">
              <w:rPr>
                <w:rFonts w:cs="Arial"/>
              </w:rPr>
              <w:t xml:space="preserve">[blog]. March 12. Available at: </w:t>
            </w:r>
            <w:hyperlink r:id="rId11" w:history="1">
              <w:r w:rsidRPr="00A46733">
                <w:rPr>
                  <w:rStyle w:val="Hyperlink"/>
                  <w:rFonts w:cs="Arial"/>
                  <w:color w:val="auto"/>
                </w:rPr>
                <w:t>https://learningspy.co.uk/myths/afl-might-wrong/</w:t>
              </w:r>
            </w:hyperlink>
            <w:r w:rsidRPr="00A46733">
              <w:rPr>
                <w:rFonts w:cs="Arial"/>
              </w:rPr>
              <w:t xml:space="preserve"> [Accessed 5 March 2020]</w:t>
            </w:r>
          </w:p>
          <w:p w14:paraId="03F017E2" w14:textId="77777777" w:rsidR="006B49DD" w:rsidRPr="00A46733" w:rsidRDefault="006B49DD" w:rsidP="006B49DD">
            <w:pPr>
              <w:pStyle w:val="AssignBody"/>
              <w:rPr>
                <w:rFonts w:cs="Arial"/>
              </w:rPr>
            </w:pPr>
          </w:p>
          <w:p w14:paraId="3A5F776B" w14:textId="2CD0F9FE" w:rsidR="006B49DD" w:rsidRPr="00A46733" w:rsidRDefault="006B49DD" w:rsidP="006B49DD">
            <w:pPr>
              <w:pStyle w:val="AssignBody"/>
              <w:rPr>
                <w:rFonts w:cs="Arial"/>
              </w:rPr>
            </w:pPr>
            <w:r w:rsidRPr="00A46733">
              <w:rPr>
                <w:rFonts w:cs="Arial"/>
              </w:rPr>
              <w:t>Danby, S.J., Ewing, L., &amp; Thorpe, K.J. (2011) The novice researcher: interviewing young children. Qualitative Enquiry, 17(1), pp.74-84</w:t>
            </w:r>
          </w:p>
          <w:p w14:paraId="68134449" w14:textId="77777777" w:rsidR="006B49DD" w:rsidRPr="00A46733" w:rsidRDefault="006B49DD" w:rsidP="006B49DD">
            <w:pPr>
              <w:pStyle w:val="AssignBody"/>
              <w:rPr>
                <w:rFonts w:cs="Arial"/>
              </w:rPr>
            </w:pPr>
          </w:p>
          <w:p w14:paraId="7B75055B" w14:textId="77777777" w:rsidR="006B49DD" w:rsidRPr="00A46733" w:rsidRDefault="006B49DD" w:rsidP="006B49DD">
            <w:pPr>
              <w:pStyle w:val="AssignBody"/>
              <w:rPr>
                <w:rFonts w:cs="Arial"/>
              </w:rPr>
            </w:pPr>
            <w:r w:rsidRPr="00A46733">
              <w:rPr>
                <w:rFonts w:cs="Arial"/>
              </w:rPr>
              <w:t>Dewey, J. (1938). Experience and education. New York: Macmillan Publishing Company.</w:t>
            </w:r>
          </w:p>
          <w:p w14:paraId="535B6AD2" w14:textId="462F9B81" w:rsidR="006B49DD" w:rsidRPr="00A46733" w:rsidRDefault="006B49DD" w:rsidP="006B49DD">
            <w:pPr>
              <w:pStyle w:val="AssignBody"/>
              <w:rPr>
                <w:rFonts w:cs="Arial"/>
              </w:rPr>
            </w:pPr>
            <w:r w:rsidRPr="00A46733">
              <w:rPr>
                <w:rFonts w:cs="Arial"/>
              </w:rPr>
              <w:t xml:space="preserve">Donaldson, G. (2015) </w:t>
            </w:r>
            <w:r w:rsidRPr="00A46733">
              <w:rPr>
                <w:rFonts w:cs="Arial"/>
                <w:i/>
                <w:iCs/>
              </w:rPr>
              <w:t xml:space="preserve">Successful Futures: Independent Review of Curriculum and Assessment Arrangements in Wales. </w:t>
            </w:r>
            <w:r w:rsidRPr="00A46733">
              <w:rPr>
                <w:rFonts w:cs="Arial"/>
              </w:rPr>
              <w:t>Crown copyright</w:t>
            </w:r>
            <w:r w:rsidRPr="00A46733">
              <w:rPr>
                <w:rFonts w:cs="Arial"/>
                <w:i/>
                <w:iCs/>
              </w:rPr>
              <w:t xml:space="preserve">. </w:t>
            </w:r>
            <w:r w:rsidRPr="00A46733">
              <w:rPr>
                <w:rFonts w:cs="Arial"/>
              </w:rPr>
              <w:t>Available at: http://gov.wales/docs/dcells/publications/150225-successful-futures-en.pdf [Accessed 2 March 2020]</w:t>
            </w:r>
          </w:p>
          <w:p w14:paraId="2B6D8ECA" w14:textId="77777777" w:rsidR="006B49DD" w:rsidRPr="00A46733" w:rsidRDefault="006B49DD" w:rsidP="006B49DD">
            <w:pPr>
              <w:pStyle w:val="AssignBody"/>
              <w:rPr>
                <w:rFonts w:cs="Arial"/>
              </w:rPr>
            </w:pPr>
          </w:p>
          <w:p w14:paraId="751DD061" w14:textId="250B9694" w:rsidR="006B49DD" w:rsidRPr="00A46733" w:rsidRDefault="006B49DD" w:rsidP="006B49DD">
            <w:pPr>
              <w:pStyle w:val="AssignBody"/>
              <w:rPr>
                <w:rFonts w:cs="Arial"/>
                <w:shd w:val="clear" w:color="auto" w:fill="FFFFFF"/>
              </w:rPr>
            </w:pPr>
            <w:r w:rsidRPr="00A46733">
              <w:rPr>
                <w:rFonts w:cs="Arial"/>
                <w:shd w:val="clear" w:color="auto" w:fill="FFFFFF"/>
              </w:rPr>
              <w:t xml:space="preserve">Dweck, C. (2000). </w:t>
            </w:r>
            <w:r w:rsidRPr="00A46733">
              <w:rPr>
                <w:rFonts w:cs="Arial"/>
                <w:i/>
                <w:iCs/>
              </w:rPr>
              <w:t>Self-Theories: Their Role in Motivation, Personality, and Development. Essays in Social Psychology</w:t>
            </w:r>
            <w:r w:rsidRPr="00A46733">
              <w:rPr>
                <w:rFonts w:cs="Arial"/>
                <w:shd w:val="clear" w:color="auto" w:fill="FFFFFF"/>
              </w:rPr>
              <w:t>. Psychology Press.</w:t>
            </w:r>
          </w:p>
          <w:p w14:paraId="489C7246" w14:textId="77777777" w:rsidR="006B49DD" w:rsidRPr="00A46733" w:rsidRDefault="006B49DD" w:rsidP="006B49DD">
            <w:pPr>
              <w:pStyle w:val="AssignBody"/>
              <w:rPr>
                <w:rFonts w:cs="Arial"/>
                <w:shd w:val="clear" w:color="auto" w:fill="FFFFFF"/>
              </w:rPr>
            </w:pPr>
          </w:p>
          <w:p w14:paraId="7A0B2AC7" w14:textId="77777777" w:rsidR="006B49DD" w:rsidRPr="00A46733" w:rsidRDefault="006B49DD" w:rsidP="006B49DD">
            <w:pPr>
              <w:pStyle w:val="AssignBody"/>
              <w:rPr>
                <w:rFonts w:cs="Arial"/>
              </w:rPr>
            </w:pPr>
            <w:r w:rsidRPr="00A46733">
              <w:rPr>
                <w:rFonts w:cs="Arial"/>
              </w:rPr>
              <w:lastRenderedPageBreak/>
              <w:t xml:space="preserve">Eder, D., &amp; </w:t>
            </w:r>
            <w:proofErr w:type="spellStart"/>
            <w:r w:rsidRPr="00A46733">
              <w:rPr>
                <w:rFonts w:cs="Arial"/>
              </w:rPr>
              <w:t>Fingerson</w:t>
            </w:r>
            <w:proofErr w:type="spellEnd"/>
            <w:r w:rsidRPr="00A46733">
              <w:rPr>
                <w:rFonts w:cs="Arial"/>
              </w:rPr>
              <w:t xml:space="preserve">, L. (2001). Interviewing children and adolescents. In J, F. </w:t>
            </w:r>
            <w:proofErr w:type="spellStart"/>
            <w:r w:rsidRPr="00A46733">
              <w:rPr>
                <w:rFonts w:cs="Arial"/>
              </w:rPr>
              <w:t>Gubrium</w:t>
            </w:r>
            <w:proofErr w:type="spellEnd"/>
            <w:r w:rsidRPr="00A46733">
              <w:rPr>
                <w:rFonts w:cs="Arial"/>
              </w:rPr>
              <w:t xml:space="preserve"> &amp; J. A. Holstein (Eds.), </w:t>
            </w:r>
            <w:r w:rsidRPr="00A46733">
              <w:rPr>
                <w:rFonts w:cs="Arial"/>
                <w:i/>
                <w:iCs/>
              </w:rPr>
              <w:t xml:space="preserve">Handbook of interview research </w:t>
            </w:r>
            <w:r w:rsidRPr="00A46733">
              <w:rPr>
                <w:rFonts w:cs="Arial"/>
              </w:rPr>
              <w:t>(pp. 181-201). Thousand Oaks: Sage.</w:t>
            </w:r>
          </w:p>
          <w:p w14:paraId="13D00E21" w14:textId="34D8BE59" w:rsidR="006B49DD" w:rsidRPr="00A46733" w:rsidRDefault="006B49DD" w:rsidP="006B49DD">
            <w:pPr>
              <w:pStyle w:val="AssignBody"/>
              <w:rPr>
                <w:rFonts w:cs="Arial"/>
              </w:rPr>
            </w:pPr>
            <w:r w:rsidRPr="00A46733">
              <w:rPr>
                <w:rFonts w:cs="Arial"/>
              </w:rPr>
              <w:t xml:space="preserve"> </w:t>
            </w:r>
          </w:p>
          <w:p w14:paraId="2FBAC941" w14:textId="19751B51" w:rsidR="006B49DD" w:rsidRPr="00A46733" w:rsidRDefault="006B49DD" w:rsidP="006B49DD">
            <w:pPr>
              <w:pStyle w:val="AssignBody"/>
              <w:rPr>
                <w:rFonts w:cs="Arial"/>
                <w:iCs/>
              </w:rPr>
            </w:pPr>
            <w:r w:rsidRPr="00A46733">
              <w:rPr>
                <w:rFonts w:cs="Arial"/>
                <w:iCs/>
              </w:rPr>
              <w:t>Elliot et al (2005) Motivation, Engagement, and Educational Performance. UK: Palgrave Macmillan.</w:t>
            </w:r>
          </w:p>
          <w:p w14:paraId="3CA5B231" w14:textId="77777777" w:rsidR="006B49DD" w:rsidRPr="00A46733" w:rsidRDefault="006B49DD" w:rsidP="006B49DD">
            <w:pPr>
              <w:pStyle w:val="AssignBody"/>
              <w:rPr>
                <w:rFonts w:cs="Arial"/>
                <w:iCs/>
              </w:rPr>
            </w:pPr>
          </w:p>
          <w:p w14:paraId="2BC77E1C" w14:textId="2ED43051" w:rsidR="006B49DD" w:rsidRPr="00A46733" w:rsidRDefault="006B49DD" w:rsidP="006B49DD">
            <w:pPr>
              <w:pStyle w:val="AssignBody"/>
              <w:rPr>
                <w:rFonts w:cs="Arial"/>
                <w:iCs/>
              </w:rPr>
            </w:pPr>
            <w:r w:rsidRPr="00A46733">
              <w:rPr>
                <w:rFonts w:cs="Arial"/>
                <w:iCs/>
              </w:rPr>
              <w:t>Frederiksen, J., &amp; White, B. (1997). Reflective assessment of students' research within an inquiry-based middle school.</w:t>
            </w:r>
          </w:p>
          <w:p w14:paraId="1D4E525E" w14:textId="77777777" w:rsidR="006B49DD" w:rsidRPr="00A46733" w:rsidRDefault="006B49DD" w:rsidP="006B49DD">
            <w:pPr>
              <w:pStyle w:val="AssignBody"/>
              <w:rPr>
                <w:rFonts w:cs="Arial"/>
                <w:iCs/>
              </w:rPr>
            </w:pPr>
          </w:p>
          <w:p w14:paraId="1F3DB431" w14:textId="60BAA9CD" w:rsidR="006B49DD" w:rsidRPr="00A46733" w:rsidRDefault="006B49DD" w:rsidP="006B49DD">
            <w:pPr>
              <w:pStyle w:val="AssignBody"/>
              <w:rPr>
                <w:rFonts w:cs="Arial"/>
                <w:shd w:val="clear" w:color="auto" w:fill="FFFFFF"/>
              </w:rPr>
            </w:pPr>
            <w:r w:rsidRPr="00A46733">
              <w:rPr>
                <w:rFonts w:cs="Arial"/>
                <w:shd w:val="clear" w:color="auto" w:fill="FFFFFF"/>
              </w:rPr>
              <w:t>Griffin, P. (1989). Teaching takes place in time; learning takes place over time. Mathematics Teaching, 12-13.</w:t>
            </w:r>
          </w:p>
          <w:p w14:paraId="74110C83" w14:textId="77777777" w:rsidR="006B49DD" w:rsidRPr="00A46733" w:rsidRDefault="006B49DD" w:rsidP="006B49DD">
            <w:pPr>
              <w:pStyle w:val="AssignBody"/>
              <w:rPr>
                <w:rFonts w:cs="Arial"/>
                <w:shd w:val="clear" w:color="auto" w:fill="FFFFFF"/>
              </w:rPr>
            </w:pPr>
          </w:p>
          <w:p w14:paraId="1D36823C" w14:textId="09C3E655" w:rsidR="006B49DD" w:rsidRPr="00A46733" w:rsidRDefault="006B49DD" w:rsidP="006B49DD">
            <w:pPr>
              <w:pStyle w:val="AssignBody"/>
              <w:rPr>
                <w:rFonts w:cs="Arial"/>
                <w:iCs/>
              </w:rPr>
            </w:pPr>
            <w:r w:rsidRPr="00A46733">
              <w:rPr>
                <w:rFonts w:cs="Arial"/>
                <w:iCs/>
              </w:rPr>
              <w:t>Harrison, C. &amp; Howard, S. (2009). Inside the Primary Black Box. London: GL Assessment.</w:t>
            </w:r>
          </w:p>
          <w:p w14:paraId="3B67F0CB" w14:textId="77777777" w:rsidR="006B49DD" w:rsidRPr="00A46733" w:rsidRDefault="006B49DD" w:rsidP="006B49DD">
            <w:pPr>
              <w:pStyle w:val="AssignBody"/>
              <w:rPr>
                <w:rFonts w:cs="Arial"/>
                <w:iCs/>
              </w:rPr>
            </w:pPr>
          </w:p>
          <w:p w14:paraId="7A43D9D1" w14:textId="1808196B" w:rsidR="006B49DD" w:rsidRPr="00A46733" w:rsidRDefault="006B49DD" w:rsidP="006B49DD">
            <w:pPr>
              <w:pStyle w:val="AssignBody"/>
              <w:rPr>
                <w:rFonts w:cs="Arial"/>
                <w:shd w:val="clear" w:color="auto" w:fill="FFFFFF"/>
              </w:rPr>
            </w:pPr>
            <w:r w:rsidRPr="00A46733">
              <w:rPr>
                <w:rFonts w:cs="Arial"/>
                <w:shd w:val="clear" w:color="auto" w:fill="FFFFFF"/>
              </w:rPr>
              <w:t xml:space="preserve">Hattie (2008) </w:t>
            </w:r>
            <w:r w:rsidRPr="00A46733">
              <w:rPr>
                <w:rFonts w:cs="Arial"/>
                <w:i/>
                <w:iCs/>
                <w:shd w:val="clear" w:color="auto" w:fill="FFFFFF"/>
              </w:rPr>
              <w:t xml:space="preserve">Visible learning, </w:t>
            </w:r>
            <w:r w:rsidRPr="00A46733">
              <w:rPr>
                <w:rFonts w:cs="Arial"/>
                <w:shd w:val="clear" w:color="auto" w:fill="FFFFFF"/>
              </w:rPr>
              <w:t>Abingdon: Routledge.</w:t>
            </w:r>
          </w:p>
          <w:p w14:paraId="5660931D" w14:textId="77777777" w:rsidR="006B49DD" w:rsidRPr="00A46733" w:rsidRDefault="006B49DD" w:rsidP="006B49DD">
            <w:pPr>
              <w:pStyle w:val="AssignBody"/>
              <w:rPr>
                <w:rFonts w:cs="Arial"/>
              </w:rPr>
            </w:pPr>
          </w:p>
          <w:p w14:paraId="21DF9105" w14:textId="51F896AD" w:rsidR="006B49DD" w:rsidRPr="00A46733" w:rsidRDefault="006B49DD" w:rsidP="006B49DD">
            <w:pPr>
              <w:pStyle w:val="AssignBody"/>
              <w:rPr>
                <w:rFonts w:cs="Arial"/>
                <w:shd w:val="clear" w:color="auto" w:fill="FFFFFF"/>
              </w:rPr>
            </w:pPr>
            <w:r w:rsidRPr="00A46733">
              <w:rPr>
                <w:rFonts w:cs="Arial"/>
                <w:shd w:val="clear" w:color="auto" w:fill="FFFFFF"/>
              </w:rPr>
              <w:t xml:space="preserve">NSW (2019) </w:t>
            </w:r>
            <w:r w:rsidRPr="00A46733">
              <w:rPr>
                <w:rFonts w:cs="Arial"/>
                <w:i/>
                <w:iCs/>
              </w:rPr>
              <w:t xml:space="preserve">Observation: A Guide </w:t>
            </w:r>
            <w:proofErr w:type="gramStart"/>
            <w:r w:rsidRPr="00A46733">
              <w:rPr>
                <w:rFonts w:cs="Arial"/>
                <w:i/>
                <w:iCs/>
              </w:rPr>
              <w:t>For</w:t>
            </w:r>
            <w:proofErr w:type="gramEnd"/>
            <w:r w:rsidRPr="00A46733">
              <w:rPr>
                <w:rFonts w:cs="Arial"/>
                <w:i/>
                <w:iCs/>
              </w:rPr>
              <w:t xml:space="preserve"> Use In Evaluation</w:t>
            </w:r>
            <w:r w:rsidRPr="00A46733">
              <w:rPr>
                <w:rFonts w:cs="Arial"/>
                <w:shd w:val="clear" w:color="auto" w:fill="FFFFFF"/>
              </w:rPr>
              <w:t>. [online] Available at: &lt;https://education.nsw.gov.au/teaching-and-learning/professional-learning/evaluation-resource-hub/collecting-data/observation&gt; [Accessed 12 March 2020].</w:t>
            </w:r>
          </w:p>
          <w:p w14:paraId="48B94E34" w14:textId="77777777" w:rsidR="006B49DD" w:rsidRPr="00A46733" w:rsidRDefault="006B49DD" w:rsidP="006B49DD">
            <w:pPr>
              <w:pStyle w:val="AssignBody"/>
              <w:rPr>
                <w:rFonts w:cs="Arial"/>
                <w:iCs/>
              </w:rPr>
            </w:pPr>
          </w:p>
          <w:p w14:paraId="18CB3D11" w14:textId="07F9F530" w:rsidR="006B49DD" w:rsidRPr="00A46733" w:rsidRDefault="006B49DD" w:rsidP="006B49DD">
            <w:pPr>
              <w:pStyle w:val="AssignBody"/>
              <w:rPr>
                <w:rFonts w:cs="Arial"/>
                <w:iCs/>
              </w:rPr>
            </w:pPr>
            <w:proofErr w:type="spellStart"/>
            <w:r w:rsidRPr="00A46733">
              <w:rPr>
                <w:rFonts w:cs="Arial"/>
                <w:iCs/>
              </w:rPr>
              <w:t>Nunkoosing</w:t>
            </w:r>
            <w:proofErr w:type="spellEnd"/>
            <w:r w:rsidRPr="00A46733">
              <w:rPr>
                <w:rFonts w:cs="Arial"/>
                <w:iCs/>
              </w:rPr>
              <w:t xml:space="preserve">, K. (2005) </w:t>
            </w:r>
            <w:r w:rsidRPr="00A46733">
              <w:rPr>
                <w:rFonts w:cs="Arial"/>
                <w:i/>
              </w:rPr>
              <w:t>The problems with interviews</w:t>
            </w:r>
            <w:r w:rsidRPr="00A46733">
              <w:rPr>
                <w:rFonts w:cs="Arial"/>
                <w:iCs/>
              </w:rPr>
              <w:t xml:space="preserve">, Qualitative Health Research, 15 (5): 698-706. </w:t>
            </w:r>
          </w:p>
          <w:p w14:paraId="1B3FF32E" w14:textId="77777777" w:rsidR="006B49DD" w:rsidRPr="00A46733" w:rsidRDefault="006B49DD" w:rsidP="006B49DD">
            <w:pPr>
              <w:pStyle w:val="AssignBody"/>
              <w:rPr>
                <w:rFonts w:cs="Arial"/>
                <w:iCs/>
              </w:rPr>
            </w:pPr>
          </w:p>
          <w:p w14:paraId="47F27D42" w14:textId="7F60DCC9" w:rsidR="006B49DD" w:rsidRPr="00A46733" w:rsidRDefault="006B49DD" w:rsidP="006B49DD">
            <w:pPr>
              <w:pStyle w:val="AssignBody"/>
              <w:rPr>
                <w:rFonts w:cs="Arial"/>
                <w:i/>
                <w:iCs/>
              </w:rPr>
            </w:pPr>
            <w:r w:rsidRPr="00A46733">
              <w:rPr>
                <w:rFonts w:cs="Arial"/>
              </w:rPr>
              <w:t xml:space="preserve">Orchard J. &amp; Winch C. (2015) </w:t>
            </w:r>
            <w:r w:rsidRPr="00A46733">
              <w:rPr>
                <w:rFonts w:cs="Arial"/>
                <w:i/>
                <w:iCs/>
              </w:rPr>
              <w:t>Philosophical Perspectives on Education Policy. What training do teachers</w:t>
            </w:r>
          </w:p>
          <w:p w14:paraId="42030A3F" w14:textId="77777777" w:rsidR="006B49DD" w:rsidRPr="00A46733" w:rsidRDefault="006B49DD" w:rsidP="006B49DD">
            <w:pPr>
              <w:pStyle w:val="AssignBody"/>
              <w:rPr>
                <w:rFonts w:cs="Arial"/>
                <w:i/>
                <w:iCs/>
              </w:rPr>
            </w:pPr>
          </w:p>
          <w:p w14:paraId="3CBC1CC7" w14:textId="09ACFD37" w:rsidR="006B49DD" w:rsidRPr="00A46733" w:rsidRDefault="006B49DD" w:rsidP="006B49DD">
            <w:pPr>
              <w:pStyle w:val="AssignBody"/>
              <w:rPr>
                <w:rFonts w:cs="Arial"/>
                <w:i/>
                <w:iCs/>
              </w:rPr>
            </w:pPr>
            <w:r w:rsidRPr="00A46733">
              <w:rPr>
                <w:rFonts w:cs="Arial"/>
              </w:rPr>
              <w:t xml:space="preserve">Punch, K.F. (2014) </w:t>
            </w:r>
            <w:r w:rsidRPr="00A46733">
              <w:rPr>
                <w:rFonts w:cs="Arial"/>
                <w:i/>
                <w:iCs/>
              </w:rPr>
              <w:t>Introduction to Social Research: Quantitative and Qualitative</w:t>
            </w:r>
          </w:p>
          <w:p w14:paraId="4C7AD0CA" w14:textId="77777777" w:rsidR="006B49DD" w:rsidRPr="00A46733" w:rsidRDefault="006B49DD" w:rsidP="006B49DD">
            <w:pPr>
              <w:pStyle w:val="AssignBody"/>
              <w:rPr>
                <w:rFonts w:cs="Arial"/>
                <w:i/>
                <w:iCs/>
              </w:rPr>
            </w:pPr>
          </w:p>
          <w:p w14:paraId="17A8C2EE" w14:textId="1EA8BCDC" w:rsidR="006B49DD" w:rsidRPr="00A46733" w:rsidRDefault="006B49DD" w:rsidP="006B49DD">
            <w:pPr>
              <w:pStyle w:val="AssignBody"/>
              <w:rPr>
                <w:rFonts w:cs="Arial"/>
                <w:iCs/>
              </w:rPr>
            </w:pPr>
            <w:r w:rsidRPr="00A46733">
              <w:rPr>
                <w:rFonts w:cs="Arial"/>
                <w:iCs/>
              </w:rPr>
              <w:t>Thomas, G. (2017) How to do your Research Project. 3rd edition. London: Sage publications Ltd.</w:t>
            </w:r>
          </w:p>
          <w:p w14:paraId="4A6217D7" w14:textId="77777777" w:rsidR="006B49DD" w:rsidRPr="00A46733" w:rsidRDefault="006B49DD" w:rsidP="006B49DD">
            <w:pPr>
              <w:pStyle w:val="AssignBody"/>
              <w:rPr>
                <w:rFonts w:cs="Arial"/>
                <w:iCs/>
              </w:rPr>
            </w:pPr>
          </w:p>
          <w:p w14:paraId="404AE69F" w14:textId="30397DBB" w:rsidR="006B49DD" w:rsidRPr="00A46733" w:rsidRDefault="006B49DD" w:rsidP="006B49DD">
            <w:pPr>
              <w:pStyle w:val="AssignBody"/>
              <w:rPr>
                <w:rFonts w:cs="Arial"/>
              </w:rPr>
            </w:pPr>
            <w:r w:rsidRPr="00A46733">
              <w:rPr>
                <w:rFonts w:cs="Arial"/>
              </w:rPr>
              <w:t xml:space="preserve">Turner, J. C. &amp; Patrick, H. (2004) Motivational influences on student participation in classroom learning activities. Teachers College Record, 106(9), 1759-1785. </w:t>
            </w:r>
          </w:p>
          <w:p w14:paraId="2899349E" w14:textId="18846865" w:rsidR="006B49DD" w:rsidRPr="00A46733" w:rsidRDefault="006B49DD" w:rsidP="006B49DD">
            <w:pPr>
              <w:pStyle w:val="AssignBody"/>
              <w:rPr>
                <w:rFonts w:cs="Arial"/>
              </w:rPr>
            </w:pPr>
          </w:p>
          <w:p w14:paraId="2AA599BF" w14:textId="77777777" w:rsidR="006B49DD" w:rsidRPr="00A46733" w:rsidRDefault="006B49DD" w:rsidP="006B49DD">
            <w:pPr>
              <w:pStyle w:val="AssignBody"/>
              <w:rPr>
                <w:rFonts w:cs="Arial"/>
              </w:rPr>
            </w:pPr>
          </w:p>
          <w:p w14:paraId="147E4A84" w14:textId="5A1C4D00" w:rsidR="006B49DD" w:rsidRPr="00A46733" w:rsidRDefault="006B49DD" w:rsidP="006B49DD">
            <w:pPr>
              <w:pStyle w:val="AssignBody"/>
              <w:rPr>
                <w:rFonts w:cs="Arial"/>
              </w:rPr>
            </w:pPr>
            <w:r w:rsidRPr="00A46733">
              <w:rPr>
                <w:rFonts w:cs="Arial"/>
                <w:shd w:val="clear" w:color="auto" w:fill="FFFFFF"/>
              </w:rPr>
              <w:lastRenderedPageBreak/>
              <w:t xml:space="preserve">Welsh Government (2010). </w:t>
            </w:r>
            <w:r w:rsidRPr="00A46733">
              <w:rPr>
                <w:rFonts w:cs="Arial"/>
                <w:i/>
                <w:iCs/>
              </w:rPr>
              <w:t>How to develop thinking and assessment for learning in the classroom</w:t>
            </w:r>
            <w:r w:rsidRPr="00A46733">
              <w:rPr>
                <w:rFonts w:cs="Arial"/>
                <w:shd w:val="clear" w:color="auto" w:fill="FFFFFF"/>
              </w:rPr>
              <w:t xml:space="preserve">. Cardiff: Department for Children, Education, Lifelong Learning and Skills. Available at: </w:t>
            </w:r>
            <w:hyperlink r:id="rId12" w:history="1">
              <w:r w:rsidRPr="00A46733">
                <w:rPr>
                  <w:rStyle w:val="Hyperlink"/>
                  <w:rFonts w:cs="Arial"/>
                  <w:color w:val="auto"/>
                  <w:shd w:val="clear" w:color="auto" w:fill="FFFFFF"/>
                </w:rPr>
                <w:t>https://www.gwegogledd.cymru/wp-content/uploads/2018/04/How_to_develop_thinking_and.pdf</w:t>
              </w:r>
            </w:hyperlink>
            <w:r w:rsidRPr="00A46733">
              <w:rPr>
                <w:rFonts w:cs="Arial"/>
                <w:shd w:val="clear" w:color="auto" w:fill="FFFFFF"/>
              </w:rPr>
              <w:t xml:space="preserve"> </w:t>
            </w:r>
            <w:r w:rsidRPr="00A46733">
              <w:rPr>
                <w:rFonts w:cs="Arial"/>
              </w:rPr>
              <w:t>[Accessed 7 March 2020]</w:t>
            </w:r>
          </w:p>
          <w:p w14:paraId="0AC2D6BD" w14:textId="77777777" w:rsidR="006B49DD" w:rsidRPr="00A46733" w:rsidRDefault="006B49DD" w:rsidP="006B49DD">
            <w:pPr>
              <w:pStyle w:val="AssignBody"/>
              <w:rPr>
                <w:rFonts w:cs="Arial"/>
              </w:rPr>
            </w:pPr>
          </w:p>
          <w:p w14:paraId="4BFD5AE2" w14:textId="6FB4CD0D" w:rsidR="006B49DD" w:rsidRPr="00A46733" w:rsidRDefault="006B49DD" w:rsidP="006B49DD">
            <w:pPr>
              <w:pStyle w:val="AssignBody"/>
              <w:rPr>
                <w:rFonts w:cs="Arial"/>
                <w:iCs/>
              </w:rPr>
            </w:pPr>
            <w:r w:rsidRPr="00A46733">
              <w:rPr>
                <w:rFonts w:cs="Arial"/>
                <w:iCs/>
              </w:rPr>
              <w:t xml:space="preserve">Welsh Government (2015) Effective use of data and research evidence. Cardiff: Welsh Government. Pp. 26-27. </w:t>
            </w:r>
          </w:p>
          <w:p w14:paraId="062B5500" w14:textId="77777777" w:rsidR="006B49DD" w:rsidRPr="00A46733" w:rsidRDefault="006B49DD" w:rsidP="006B49DD">
            <w:pPr>
              <w:pStyle w:val="AssignBody"/>
              <w:rPr>
                <w:rFonts w:cs="Arial"/>
                <w:iCs/>
              </w:rPr>
            </w:pPr>
          </w:p>
          <w:p w14:paraId="51945B07" w14:textId="06CCB2D0" w:rsidR="006B49DD" w:rsidRPr="00A46733" w:rsidRDefault="006B49DD" w:rsidP="006B49DD">
            <w:pPr>
              <w:pStyle w:val="AssignBody"/>
              <w:rPr>
                <w:rFonts w:cs="Arial"/>
              </w:rPr>
            </w:pPr>
            <w:r w:rsidRPr="00A46733">
              <w:rPr>
                <w:rFonts w:cs="Arial"/>
                <w:iCs/>
              </w:rPr>
              <w:t>Welsh Government (2017) Professional Standards for Teaching and Leadership, Cardiff: WG. Available at:</w:t>
            </w:r>
            <w:r w:rsidRPr="00A46733">
              <w:rPr>
                <w:rFonts w:cs="Arial"/>
              </w:rPr>
              <w:t xml:space="preserve"> </w:t>
            </w:r>
            <w:hyperlink r:id="rId13" w:history="1">
              <w:r w:rsidRPr="00A46733">
                <w:rPr>
                  <w:rStyle w:val="Hyperlink"/>
                  <w:rFonts w:cs="Arial"/>
                  <w:color w:val="auto"/>
                </w:rPr>
                <w:t>https://learning.gov.wales/docs/learningwales/publications/170901-professional-standards-for-teachingand-leadership-en.pdf</w:t>
              </w:r>
            </w:hyperlink>
          </w:p>
          <w:p w14:paraId="70BDB9F3" w14:textId="77777777" w:rsidR="006B49DD" w:rsidRPr="00A46733" w:rsidRDefault="006B49DD" w:rsidP="006B49DD">
            <w:pPr>
              <w:pStyle w:val="AssignBody"/>
              <w:rPr>
                <w:rFonts w:cs="Arial"/>
              </w:rPr>
            </w:pPr>
          </w:p>
          <w:p w14:paraId="20CD2632" w14:textId="2C793887" w:rsidR="00B300D6" w:rsidRPr="004D118F" w:rsidRDefault="006B49DD" w:rsidP="006B49DD">
            <w:pPr>
              <w:pStyle w:val="AssignBody"/>
              <w:rPr>
                <w:rFonts w:cs="Arial"/>
                <w:shd w:val="clear" w:color="auto" w:fill="FFFFFF"/>
              </w:rPr>
            </w:pPr>
            <w:r w:rsidRPr="00A46733">
              <w:rPr>
                <w:rFonts w:cs="Arial"/>
                <w:shd w:val="clear" w:color="auto" w:fill="FFFFFF"/>
              </w:rPr>
              <w:t>Wiliam, D (2011) Embedded Formative Assessment: (Strategies for Classroom Assessment That Drives Student Engagement and Learning), Solution Tree, 2</w:t>
            </w:r>
            <w:r w:rsidRPr="00A46733">
              <w:rPr>
                <w:rFonts w:cs="Arial"/>
                <w:shd w:val="clear" w:color="auto" w:fill="FFFFFF"/>
                <w:vertAlign w:val="superscript"/>
              </w:rPr>
              <w:t>nd</w:t>
            </w:r>
            <w:r w:rsidRPr="00A46733">
              <w:rPr>
                <w:rFonts w:cs="Arial"/>
                <w:shd w:val="clear" w:color="auto" w:fill="FFFFFF"/>
              </w:rPr>
              <w:t xml:space="preserve"> Edition, Bloomington, Indiana.</w:t>
            </w:r>
          </w:p>
          <w:p w14:paraId="4942E1CB" w14:textId="4F4D3007" w:rsidR="00B300D6" w:rsidRPr="00A46733" w:rsidRDefault="00B300D6" w:rsidP="006B49DD">
            <w:pPr>
              <w:pStyle w:val="AssignBody"/>
              <w:rPr>
                <w:rFonts w:cs="Arial"/>
              </w:rPr>
            </w:pPr>
          </w:p>
        </w:tc>
      </w:tr>
    </w:tbl>
    <w:p w14:paraId="768883E5" w14:textId="3CE85368" w:rsidR="009A1573" w:rsidRDefault="009A1573" w:rsidP="009A1573">
      <w:pPr>
        <w:pStyle w:val="AssignBody"/>
      </w:pPr>
    </w:p>
    <w:p w14:paraId="20A5363A" w14:textId="7D1E2336" w:rsidR="00C60A25" w:rsidRDefault="00C60A25" w:rsidP="009A1573">
      <w:pPr>
        <w:pStyle w:val="AssignBody"/>
      </w:pPr>
    </w:p>
    <w:p w14:paraId="0839CE26" w14:textId="77777777" w:rsidR="00C60A25" w:rsidRDefault="00C60A25" w:rsidP="009A1573">
      <w:pPr>
        <w:pStyle w:val="AssignBody"/>
      </w:pPr>
    </w:p>
    <w:p w14:paraId="38C69250" w14:textId="48AD562E" w:rsidR="006B49DD" w:rsidRDefault="006B49DD" w:rsidP="006B49DD">
      <w:pPr>
        <w:pStyle w:val="AssignSubHeader"/>
      </w:pPr>
      <w:r>
        <w:t xml:space="preserve">Appendices </w:t>
      </w:r>
    </w:p>
    <w:p w14:paraId="3CD00564" w14:textId="50367595" w:rsidR="006B49DD" w:rsidRDefault="006B49DD" w:rsidP="009A1573">
      <w:pPr>
        <w:pStyle w:val="AssignBody"/>
      </w:pPr>
      <w:r>
        <w:t>Appendix 1:</w:t>
      </w:r>
      <w:r w:rsidR="00534D2D">
        <w:t xml:space="preserve"> </w:t>
      </w:r>
      <w:r w:rsidR="00C60A25">
        <w:t xml:space="preserve">Blank copy </w:t>
      </w:r>
      <w:r w:rsidR="00534D2D">
        <w:t xml:space="preserve">of the Observation Schedule </w:t>
      </w:r>
    </w:p>
    <w:p w14:paraId="7E218A17" w14:textId="57B85E7B" w:rsidR="006B49DD" w:rsidRDefault="006B49DD" w:rsidP="009A1573">
      <w:pPr>
        <w:pStyle w:val="AssignBody"/>
      </w:pPr>
      <w:r>
        <w:t>Appendix 2:</w:t>
      </w:r>
      <w:r w:rsidR="00534D2D">
        <w:t xml:space="preserve"> Semi-structured interview questions </w:t>
      </w:r>
    </w:p>
    <w:p w14:paraId="795A6D69" w14:textId="1713A45B" w:rsidR="006B49DD" w:rsidRDefault="006B49DD" w:rsidP="009A1573">
      <w:pPr>
        <w:pStyle w:val="AssignBody"/>
      </w:pPr>
      <w:r>
        <w:t>Appendix 3:</w:t>
      </w:r>
      <w:r w:rsidR="00534D2D">
        <w:t xml:space="preserve"> P</w:t>
      </w:r>
      <w:r w:rsidR="00C60A25">
        <w:t>hotograph of p</w:t>
      </w:r>
      <w:r w:rsidR="00534D2D">
        <w:t xml:space="preserve">rops used in the interview </w:t>
      </w:r>
    </w:p>
    <w:p w14:paraId="29FEB479" w14:textId="603D4901" w:rsidR="006B49DD" w:rsidRDefault="006B49DD" w:rsidP="009A1573">
      <w:pPr>
        <w:pStyle w:val="AssignBody"/>
      </w:pPr>
      <w:r>
        <w:t>Appendix 4:</w:t>
      </w:r>
      <w:r w:rsidR="00534D2D">
        <w:t xml:space="preserve"> </w:t>
      </w:r>
      <w:r w:rsidR="00C60A25">
        <w:t>Blank</w:t>
      </w:r>
      <w:r w:rsidR="00534D2D">
        <w:t xml:space="preserve"> copy of the questionnaire </w:t>
      </w:r>
    </w:p>
    <w:p w14:paraId="35D8DE22" w14:textId="0D9301EF" w:rsidR="006B49DD" w:rsidRDefault="006B49DD" w:rsidP="009A1573">
      <w:pPr>
        <w:pStyle w:val="AssignBody"/>
      </w:pPr>
      <w:r>
        <w:t>Appendix 5:</w:t>
      </w:r>
      <w:r w:rsidR="00C60A25">
        <w:t xml:space="preserve"> Copy of Ethics form </w:t>
      </w:r>
    </w:p>
    <w:p w14:paraId="681207E7" w14:textId="121BF5D4" w:rsidR="006B49DD" w:rsidRDefault="006B49DD" w:rsidP="009A1573">
      <w:pPr>
        <w:pStyle w:val="AssignBody"/>
      </w:pPr>
      <w:r>
        <w:t>Appendix 6:</w:t>
      </w:r>
      <w:r w:rsidR="00C60A25">
        <w:t xml:space="preserve"> Copy of letter and consent form </w:t>
      </w:r>
    </w:p>
    <w:p w14:paraId="1769F143" w14:textId="6AAFD7DB" w:rsidR="00C60A25" w:rsidRDefault="006B49DD" w:rsidP="009A1573">
      <w:pPr>
        <w:pStyle w:val="AssignBody"/>
      </w:pPr>
      <w:r>
        <w:t>Appendix 7</w:t>
      </w:r>
      <w:r w:rsidR="00C60A25">
        <w:t>: Interview Transcripts</w:t>
      </w:r>
    </w:p>
    <w:p w14:paraId="12DBF18D" w14:textId="4A1E7909" w:rsidR="006B49DD" w:rsidRDefault="006B49DD" w:rsidP="009A1573">
      <w:pPr>
        <w:pStyle w:val="AssignBody"/>
      </w:pPr>
      <w:r>
        <w:t>Appendix 8:</w:t>
      </w:r>
      <w:r w:rsidR="00C60A25">
        <w:t xml:space="preserve"> Observation </w:t>
      </w:r>
      <w:r w:rsidR="008412CF">
        <w:t xml:space="preserve">2 </w:t>
      </w:r>
      <w:r w:rsidR="00C60A25">
        <w:t>Schedule for Child C</w:t>
      </w:r>
    </w:p>
    <w:p w14:paraId="3726DE3A" w14:textId="47537B3D" w:rsidR="00965358" w:rsidRDefault="006B49DD" w:rsidP="009A1573">
      <w:pPr>
        <w:pStyle w:val="AssignBody"/>
      </w:pPr>
      <w:r>
        <w:t>Appendix 9:</w:t>
      </w:r>
      <w:r w:rsidR="00C60A25">
        <w:t xml:space="preserve"> </w:t>
      </w:r>
      <w:r w:rsidR="00965358">
        <w:t>Question (7) results from questionnaire</w:t>
      </w:r>
    </w:p>
    <w:p w14:paraId="43265C1F" w14:textId="7011F67A" w:rsidR="006B49DD" w:rsidRDefault="00965358" w:rsidP="009A1573">
      <w:pPr>
        <w:pStyle w:val="AssignBody"/>
      </w:pPr>
      <w:r>
        <w:t xml:space="preserve">Appendix 10: </w:t>
      </w:r>
      <w:r w:rsidR="00C60A25">
        <w:t>Question (8) results from questionnaire</w:t>
      </w:r>
    </w:p>
    <w:p w14:paraId="2584B134" w14:textId="06380F1E" w:rsidR="006B49DD" w:rsidRPr="006B49DD" w:rsidRDefault="006B49DD" w:rsidP="009A1573">
      <w:pPr>
        <w:pStyle w:val="AssignBody"/>
      </w:pPr>
    </w:p>
    <w:sectPr w:rsidR="006B49DD" w:rsidRPr="006B49DD">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876FB6" w14:textId="77777777" w:rsidR="0087187B" w:rsidRDefault="0087187B" w:rsidP="00E611D9">
      <w:pPr>
        <w:spacing w:after="0" w:line="240" w:lineRule="auto"/>
      </w:pPr>
      <w:r>
        <w:separator/>
      </w:r>
    </w:p>
  </w:endnote>
  <w:endnote w:type="continuationSeparator" w:id="0">
    <w:p w14:paraId="1DFE034A" w14:textId="77777777" w:rsidR="0087187B" w:rsidRDefault="0087187B"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DE3CC7" w14:textId="77777777" w:rsidR="0087187B" w:rsidRDefault="0087187B" w:rsidP="00E611D9">
      <w:pPr>
        <w:spacing w:after="0" w:line="240" w:lineRule="auto"/>
      </w:pPr>
      <w:r>
        <w:separator/>
      </w:r>
    </w:p>
  </w:footnote>
  <w:footnote w:type="continuationSeparator" w:id="0">
    <w:p w14:paraId="5CF3E7B2" w14:textId="77777777" w:rsidR="0087187B" w:rsidRDefault="0087187B"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15FBC3DC"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6E47BE">
            <w:rPr>
              <w:rFonts w:ascii="Arial" w:hAnsi="Arial" w:cs="Arial"/>
            </w:rPr>
            <w:t>5010</w:t>
          </w:r>
        </w:p>
      </w:tc>
      <w:tc>
        <w:tcPr>
          <w:tcW w:w="4508" w:type="dxa"/>
        </w:tcPr>
        <w:p w14:paraId="51D506A0" w14:textId="5CEBB0A2" w:rsidR="00E611D9" w:rsidRPr="00E611D9" w:rsidRDefault="00E611D9" w:rsidP="00E611D9">
          <w:pPr>
            <w:pStyle w:val="Header"/>
            <w:jc w:val="right"/>
            <w:rPr>
              <w:rFonts w:ascii="Arial" w:hAnsi="Arial" w:cs="Arial"/>
            </w:rPr>
          </w:pPr>
          <w:r>
            <w:rPr>
              <w:rFonts w:ascii="Arial" w:hAnsi="Arial" w:cs="Arial"/>
            </w:rPr>
            <w:t>Student Number:</w:t>
          </w:r>
          <w:r w:rsidR="006E47BE">
            <w:rPr>
              <w:rFonts w:ascii="Arial" w:hAnsi="Arial" w:cs="Arial"/>
            </w:rPr>
            <w:t xml:space="preserve"> 1800529</w:t>
          </w: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B2BEE"/>
    <w:rsid w:val="001B299D"/>
    <w:rsid w:val="002229F0"/>
    <w:rsid w:val="00263A5C"/>
    <w:rsid w:val="002751CC"/>
    <w:rsid w:val="002B5165"/>
    <w:rsid w:val="002F1E3B"/>
    <w:rsid w:val="003055E8"/>
    <w:rsid w:val="0032424E"/>
    <w:rsid w:val="00331AF8"/>
    <w:rsid w:val="003D7F74"/>
    <w:rsid w:val="00403CD2"/>
    <w:rsid w:val="00432697"/>
    <w:rsid w:val="00447BC8"/>
    <w:rsid w:val="004B2C47"/>
    <w:rsid w:val="004B3F5F"/>
    <w:rsid w:val="004D118F"/>
    <w:rsid w:val="004F11A8"/>
    <w:rsid w:val="00506791"/>
    <w:rsid w:val="00534D2D"/>
    <w:rsid w:val="00542E1B"/>
    <w:rsid w:val="0059095D"/>
    <w:rsid w:val="006419C3"/>
    <w:rsid w:val="00665E2F"/>
    <w:rsid w:val="00681EF0"/>
    <w:rsid w:val="00691A46"/>
    <w:rsid w:val="006B49DD"/>
    <w:rsid w:val="006B5861"/>
    <w:rsid w:val="006E47BE"/>
    <w:rsid w:val="0076027A"/>
    <w:rsid w:val="007D374C"/>
    <w:rsid w:val="007E4012"/>
    <w:rsid w:val="00817F7A"/>
    <w:rsid w:val="008412CF"/>
    <w:rsid w:val="0087187B"/>
    <w:rsid w:val="00965358"/>
    <w:rsid w:val="009A1573"/>
    <w:rsid w:val="00A46733"/>
    <w:rsid w:val="00A6605A"/>
    <w:rsid w:val="00AE238D"/>
    <w:rsid w:val="00B300D6"/>
    <w:rsid w:val="00BC651E"/>
    <w:rsid w:val="00BE0580"/>
    <w:rsid w:val="00C02B64"/>
    <w:rsid w:val="00C60A25"/>
    <w:rsid w:val="00C75412"/>
    <w:rsid w:val="00CA0777"/>
    <w:rsid w:val="00CD1240"/>
    <w:rsid w:val="00D20D74"/>
    <w:rsid w:val="00D27ADB"/>
    <w:rsid w:val="00D70A5E"/>
    <w:rsid w:val="00DB5D29"/>
    <w:rsid w:val="00E611D9"/>
    <w:rsid w:val="00ED6C99"/>
    <w:rsid w:val="00F17553"/>
    <w:rsid w:val="00F93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0"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BookTitle">
    <w:name w:val="Book Title"/>
    <w:basedOn w:val="DefaultParagraphFont"/>
    <w:qFormat/>
    <w:rsid w:val="009A1573"/>
    <w:rPr>
      <w:b/>
      <w:bCs/>
      <w:i/>
      <w:iCs/>
      <w:spacing w:val="5"/>
    </w:rPr>
  </w:style>
  <w:style w:type="character" w:styleId="Hyperlink">
    <w:name w:val="Hyperlink"/>
    <w:basedOn w:val="DefaultParagraphFont"/>
    <w:rsid w:val="00B300D6"/>
    <w:rPr>
      <w:color w:val="0563C1"/>
      <w:u w:val="single"/>
    </w:rPr>
  </w:style>
  <w:style w:type="character" w:styleId="UnresolvedMention">
    <w:name w:val="Unresolved Mention"/>
    <w:basedOn w:val="DefaultParagraphFont"/>
    <w:uiPriority w:val="99"/>
    <w:semiHidden/>
    <w:unhideWhenUsed/>
    <w:rsid w:val="006B49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2080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learning.gov.wales/docs/learningwales/publications/170901-professional-standards-for-teachingand-leadership-en.pdf"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gwegogledd.cymru/wp-content/uploads/2018/04/How_to_develop_thinking_and.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learningspy.co.uk/myths/afl-might-wrong/"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bera.ac.uk/researchers-resources/publications/ethical-guidelines-foreducational-research-2018"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251</TotalTime>
  <Pages>14</Pages>
  <Words>4577</Words>
  <Characters>26094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ABIGAIL MAGGS</cp:lastModifiedBy>
  <cp:revision>23</cp:revision>
  <dcterms:created xsi:type="dcterms:W3CDTF">2020-03-25T17:42:00Z</dcterms:created>
  <dcterms:modified xsi:type="dcterms:W3CDTF">2020-03-26T14:12:00Z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