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35AC" w:rsidRDefault="00FD35AC"/>
    <w:p w:rsidR="00FD35AC" w:rsidRDefault="00FD35AC" w:rsidP="00FD35AC">
      <w:pPr>
        <w:jc w:val="center"/>
      </w:pPr>
      <w:r w:rsidRPr="00441242">
        <w:rPr>
          <w:rFonts w:ascii="Arial" w:hAnsi="Arial" w:cs="Arial"/>
          <w:noProof/>
          <w:lang w:eastAsia="en-GB"/>
        </w:rPr>
        <w:drawing>
          <wp:inline distT="0" distB="0" distL="0" distR="0" wp14:anchorId="2057CEB7" wp14:editId="63A1F761">
            <wp:extent cx="3521491" cy="1461331"/>
            <wp:effectExtent l="0" t="0" r="3175" b="5715"/>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FD35AC" w:rsidRDefault="00FD35AC" w:rsidP="005E4ED5">
      <w:pPr>
        <w:rPr>
          <w:rFonts w:ascii="Arial" w:hAnsi="Arial" w:cs="Arial"/>
          <w:b/>
          <w:sz w:val="28"/>
        </w:rPr>
      </w:pPr>
    </w:p>
    <w:p w:rsidR="00FA323E" w:rsidRPr="00FD35AC" w:rsidRDefault="00FD35AC" w:rsidP="00FD35AC">
      <w:pPr>
        <w:jc w:val="center"/>
        <w:rPr>
          <w:rFonts w:ascii="Arial" w:hAnsi="Arial" w:cs="Arial"/>
          <w:b/>
          <w:i/>
          <w:sz w:val="28"/>
        </w:rPr>
      </w:pPr>
      <w:r w:rsidRPr="00FD35AC">
        <w:rPr>
          <w:rFonts w:ascii="Arial" w:hAnsi="Arial" w:cs="Arial"/>
          <w:b/>
          <w:i/>
          <w:sz w:val="28"/>
        </w:rPr>
        <w:t xml:space="preserve">International Market Entry Strategy of </w:t>
      </w:r>
      <w:proofErr w:type="gramStart"/>
      <w:r w:rsidRPr="00FD35AC">
        <w:rPr>
          <w:rFonts w:ascii="Arial" w:hAnsi="Arial" w:cs="Arial"/>
          <w:b/>
          <w:i/>
          <w:sz w:val="28"/>
        </w:rPr>
        <w:t>The</w:t>
      </w:r>
      <w:proofErr w:type="gramEnd"/>
      <w:r w:rsidRPr="00FD35AC">
        <w:rPr>
          <w:rFonts w:ascii="Arial" w:hAnsi="Arial" w:cs="Arial"/>
          <w:b/>
          <w:i/>
          <w:sz w:val="28"/>
        </w:rPr>
        <w:t xml:space="preserve"> Home Depot: A Critical Evaluation of Expansion into the United Arab Emirates</w:t>
      </w:r>
    </w:p>
    <w:p w:rsidR="00FD35AC" w:rsidRDefault="00FD35AC" w:rsidP="00FD35AC">
      <w:pPr>
        <w:spacing w:line="360" w:lineRule="auto"/>
        <w:jc w:val="center"/>
        <w:rPr>
          <w:rFonts w:ascii="Arial" w:hAnsi="Arial" w:cs="Arial"/>
          <w:b/>
          <w:sz w:val="24"/>
          <w:szCs w:val="24"/>
        </w:rPr>
      </w:pPr>
    </w:p>
    <w:p w:rsidR="005E4ED5" w:rsidRDefault="005E4ED5" w:rsidP="00FD35AC">
      <w:pPr>
        <w:spacing w:line="360" w:lineRule="auto"/>
        <w:jc w:val="center"/>
        <w:rPr>
          <w:rFonts w:ascii="Arial" w:hAnsi="Arial" w:cs="Arial"/>
          <w:b/>
          <w:sz w:val="24"/>
          <w:szCs w:val="24"/>
        </w:rPr>
      </w:pPr>
    </w:p>
    <w:p w:rsidR="00FD35AC" w:rsidRPr="00FD35AC" w:rsidRDefault="00FD35AC" w:rsidP="00FD35AC">
      <w:pPr>
        <w:spacing w:line="360" w:lineRule="auto"/>
        <w:jc w:val="center"/>
        <w:rPr>
          <w:rFonts w:ascii="Arial" w:hAnsi="Arial" w:cs="Arial"/>
          <w:b/>
          <w:sz w:val="24"/>
          <w:szCs w:val="24"/>
        </w:rPr>
      </w:pPr>
      <w:r w:rsidRPr="00FD35AC">
        <w:rPr>
          <w:rFonts w:ascii="Arial" w:hAnsi="Arial" w:cs="Arial"/>
          <w:b/>
          <w:sz w:val="24"/>
          <w:szCs w:val="24"/>
        </w:rPr>
        <w:t>Programme: Master of Business Administration</w:t>
      </w:r>
    </w:p>
    <w:p w:rsidR="00FD35AC" w:rsidRPr="00FD35AC" w:rsidRDefault="00FD35AC" w:rsidP="00FD35AC">
      <w:pPr>
        <w:spacing w:line="360" w:lineRule="auto"/>
        <w:jc w:val="center"/>
        <w:rPr>
          <w:rFonts w:ascii="Arial" w:hAnsi="Arial" w:cs="Arial"/>
          <w:b/>
          <w:sz w:val="24"/>
          <w:szCs w:val="24"/>
        </w:rPr>
      </w:pPr>
      <w:r w:rsidRPr="00FD35AC">
        <w:rPr>
          <w:rFonts w:ascii="Arial" w:hAnsi="Arial" w:cs="Arial"/>
          <w:b/>
          <w:sz w:val="24"/>
          <w:szCs w:val="24"/>
        </w:rPr>
        <w:t>Module:</w:t>
      </w:r>
      <w:r w:rsidRPr="00FD35AC">
        <w:t xml:space="preserve"> </w:t>
      </w:r>
      <w:r w:rsidRPr="00FD35AC">
        <w:rPr>
          <w:rFonts w:ascii="Arial" w:hAnsi="Arial" w:cs="Arial"/>
          <w:b/>
          <w:sz w:val="24"/>
          <w:szCs w:val="24"/>
        </w:rPr>
        <w:t>International Business Concepts</w:t>
      </w:r>
    </w:p>
    <w:p w:rsidR="00FD35AC" w:rsidRDefault="00FD35AC" w:rsidP="00FD35AC">
      <w:pPr>
        <w:spacing w:line="360" w:lineRule="auto"/>
        <w:jc w:val="center"/>
        <w:rPr>
          <w:rFonts w:ascii="Arial" w:hAnsi="Arial" w:cs="Arial"/>
          <w:b/>
          <w:sz w:val="24"/>
          <w:szCs w:val="24"/>
        </w:rPr>
      </w:pPr>
      <w:r w:rsidRPr="00FD35AC">
        <w:rPr>
          <w:rFonts w:ascii="Arial" w:hAnsi="Arial" w:cs="Arial"/>
          <w:b/>
          <w:sz w:val="24"/>
          <w:szCs w:val="24"/>
        </w:rPr>
        <w:t>Module Code:</w:t>
      </w:r>
      <w:r w:rsidRPr="00FD35AC">
        <w:t xml:space="preserve"> </w:t>
      </w:r>
      <w:r w:rsidRPr="00FD35AC">
        <w:rPr>
          <w:rFonts w:ascii="Arial" w:hAnsi="Arial" w:cs="Arial"/>
          <w:b/>
          <w:sz w:val="24"/>
          <w:szCs w:val="24"/>
        </w:rPr>
        <w:t>LCMB7034</w:t>
      </w:r>
    </w:p>
    <w:p w:rsidR="005E4ED5" w:rsidRPr="00FD35AC" w:rsidRDefault="005E4ED5" w:rsidP="00FD35AC">
      <w:pPr>
        <w:spacing w:line="360" w:lineRule="auto"/>
        <w:jc w:val="center"/>
        <w:rPr>
          <w:rFonts w:ascii="Arial" w:hAnsi="Arial" w:cs="Arial"/>
          <w:b/>
          <w:sz w:val="24"/>
          <w:szCs w:val="24"/>
        </w:rPr>
      </w:pPr>
    </w:p>
    <w:p w:rsidR="00FD35AC" w:rsidRPr="00FD35AC" w:rsidRDefault="00FD35AC" w:rsidP="00FD35AC">
      <w:pPr>
        <w:spacing w:line="360" w:lineRule="auto"/>
        <w:jc w:val="center"/>
        <w:rPr>
          <w:rFonts w:ascii="Arial" w:hAnsi="Arial" w:cs="Arial"/>
          <w:b/>
          <w:sz w:val="24"/>
          <w:szCs w:val="24"/>
        </w:rPr>
      </w:pPr>
      <w:r w:rsidRPr="00FD35AC">
        <w:rPr>
          <w:rFonts w:ascii="Arial" w:hAnsi="Arial" w:cs="Arial"/>
          <w:b/>
          <w:sz w:val="24"/>
          <w:szCs w:val="24"/>
        </w:rPr>
        <w:t>Lecturer Name:</w:t>
      </w:r>
      <w:r w:rsidRPr="00FD35AC">
        <w:t xml:space="preserve"> </w:t>
      </w:r>
      <w:r w:rsidR="005E4ED5" w:rsidRPr="005E4ED5">
        <w:rPr>
          <w:rFonts w:ascii="Arial" w:hAnsi="Arial" w:cs="Arial"/>
          <w:b/>
          <w:sz w:val="24"/>
          <w:szCs w:val="24"/>
        </w:rPr>
        <w:t>Jean Wang</w:t>
      </w:r>
    </w:p>
    <w:p w:rsidR="00FD35AC" w:rsidRPr="00FD35AC" w:rsidRDefault="00FD35AC" w:rsidP="00FD35AC">
      <w:pPr>
        <w:spacing w:line="360" w:lineRule="auto"/>
        <w:jc w:val="center"/>
        <w:rPr>
          <w:rFonts w:ascii="Arial" w:hAnsi="Arial" w:cs="Arial"/>
          <w:b/>
          <w:sz w:val="24"/>
          <w:szCs w:val="24"/>
        </w:rPr>
      </w:pPr>
    </w:p>
    <w:p w:rsidR="00FD35AC" w:rsidRPr="00FD35AC" w:rsidRDefault="00FD35AC" w:rsidP="00FD35AC">
      <w:pPr>
        <w:spacing w:line="360" w:lineRule="auto"/>
        <w:jc w:val="center"/>
        <w:rPr>
          <w:rFonts w:ascii="Arial" w:hAnsi="Arial" w:cs="Arial"/>
          <w:b/>
          <w:sz w:val="24"/>
          <w:szCs w:val="24"/>
        </w:rPr>
      </w:pPr>
      <w:r w:rsidRPr="00FD35AC">
        <w:rPr>
          <w:rFonts w:ascii="Arial" w:hAnsi="Arial" w:cs="Arial"/>
          <w:b/>
          <w:sz w:val="24"/>
          <w:szCs w:val="24"/>
        </w:rPr>
        <w:t>Student Name:</w:t>
      </w:r>
      <w:r w:rsidRPr="00FD35AC">
        <w:rPr>
          <w:rFonts w:ascii="Arial" w:hAnsi="Arial" w:cs="Arial"/>
          <w:sz w:val="24"/>
          <w:szCs w:val="24"/>
        </w:rPr>
        <w:t xml:space="preserve"> </w:t>
      </w:r>
      <w:r w:rsidRPr="00FD35AC">
        <w:rPr>
          <w:rFonts w:ascii="Arial" w:hAnsi="Arial" w:cs="Arial"/>
          <w:b/>
          <w:sz w:val="24"/>
          <w:szCs w:val="24"/>
        </w:rPr>
        <w:t>Ikhtear Mahbub</w:t>
      </w:r>
    </w:p>
    <w:p w:rsidR="00FD35AC" w:rsidRPr="00FD35AC" w:rsidRDefault="00FD35AC" w:rsidP="00FD35AC">
      <w:pPr>
        <w:spacing w:line="360" w:lineRule="auto"/>
        <w:jc w:val="center"/>
        <w:rPr>
          <w:rFonts w:ascii="Arial" w:hAnsi="Arial" w:cs="Arial"/>
          <w:b/>
          <w:sz w:val="24"/>
          <w:szCs w:val="24"/>
        </w:rPr>
      </w:pPr>
      <w:r w:rsidRPr="00FD35AC">
        <w:rPr>
          <w:rFonts w:ascii="Arial" w:hAnsi="Arial" w:cs="Arial"/>
          <w:b/>
          <w:sz w:val="24"/>
          <w:szCs w:val="24"/>
        </w:rPr>
        <w:t>Student ID:</w:t>
      </w:r>
      <w:r w:rsidRPr="00FD35AC">
        <w:rPr>
          <w:rFonts w:ascii="Arial" w:hAnsi="Arial" w:cs="Arial"/>
          <w:sz w:val="24"/>
          <w:szCs w:val="24"/>
        </w:rPr>
        <w:t xml:space="preserve"> </w:t>
      </w:r>
      <w:r w:rsidRPr="00FD35AC">
        <w:rPr>
          <w:rFonts w:ascii="Arial" w:hAnsi="Arial" w:cs="Arial"/>
          <w:b/>
          <w:sz w:val="24"/>
          <w:szCs w:val="24"/>
        </w:rPr>
        <w:t>2527585</w:t>
      </w:r>
    </w:p>
    <w:p w:rsidR="00FD35AC" w:rsidRPr="00FD35AC" w:rsidRDefault="00FD35AC" w:rsidP="00FD35AC">
      <w:pPr>
        <w:spacing w:line="360" w:lineRule="auto"/>
        <w:jc w:val="both"/>
        <w:rPr>
          <w:rFonts w:ascii="Arial" w:hAnsi="Arial" w:cs="Arial"/>
          <w:sz w:val="24"/>
          <w:szCs w:val="24"/>
        </w:rPr>
      </w:pPr>
    </w:p>
    <w:p w:rsidR="00FD35AC" w:rsidRPr="00FD35AC" w:rsidRDefault="00FD35AC" w:rsidP="00FD35AC">
      <w:pPr>
        <w:spacing w:line="360" w:lineRule="auto"/>
        <w:jc w:val="center"/>
        <w:rPr>
          <w:rFonts w:ascii="Arial" w:hAnsi="Arial" w:cs="Arial"/>
          <w:b/>
          <w:sz w:val="24"/>
          <w:szCs w:val="24"/>
        </w:rPr>
      </w:pPr>
    </w:p>
    <w:p w:rsidR="00FD35AC" w:rsidRPr="00FD35AC" w:rsidRDefault="00FD35AC" w:rsidP="00FD35AC">
      <w:pPr>
        <w:spacing w:line="360" w:lineRule="auto"/>
        <w:jc w:val="center"/>
        <w:rPr>
          <w:rFonts w:ascii="Arial" w:hAnsi="Arial" w:cs="Arial"/>
          <w:b/>
          <w:sz w:val="24"/>
          <w:szCs w:val="24"/>
        </w:rPr>
      </w:pPr>
      <w:r w:rsidRPr="00FD35AC">
        <w:rPr>
          <w:rFonts w:ascii="Arial" w:hAnsi="Arial" w:cs="Arial"/>
          <w:b/>
          <w:sz w:val="24"/>
          <w:szCs w:val="24"/>
        </w:rPr>
        <w:t>Submission Date: 14th August, 2026</w:t>
      </w:r>
    </w:p>
    <w:p w:rsidR="00436EB4" w:rsidRDefault="00436EB4" w:rsidP="00436EB4">
      <w:pPr>
        <w:rPr>
          <w:rFonts w:ascii="Arial" w:hAnsi="Arial" w:cs="Arial"/>
          <w:b/>
          <w:sz w:val="28"/>
        </w:rPr>
      </w:pPr>
      <w:r>
        <w:rPr>
          <w:rFonts w:ascii="Arial" w:hAnsi="Arial" w:cs="Arial"/>
          <w:b/>
          <w:sz w:val="28"/>
        </w:rPr>
        <w:br w:type="page"/>
      </w:r>
    </w:p>
    <w:p w:rsidR="00436EB4" w:rsidRPr="00477190" w:rsidRDefault="00436EB4" w:rsidP="00436EB4">
      <w:pPr>
        <w:spacing w:line="360" w:lineRule="auto"/>
        <w:jc w:val="both"/>
        <w:rPr>
          <w:rFonts w:ascii="Arial" w:hAnsi="Arial" w:cs="Arial"/>
          <w:b/>
          <w:sz w:val="24"/>
          <w:u w:val="single"/>
        </w:rPr>
      </w:pPr>
      <w:r w:rsidRPr="00477190">
        <w:rPr>
          <w:rFonts w:ascii="Arial" w:hAnsi="Arial" w:cs="Arial"/>
          <w:b/>
          <w:sz w:val="24"/>
          <w:u w:val="single"/>
        </w:rPr>
        <w:lastRenderedPageBreak/>
        <w:t>AI Acknowledgement</w:t>
      </w:r>
    </w:p>
    <w:p w:rsidR="00436EB4" w:rsidRDefault="00436EB4" w:rsidP="00436EB4">
      <w:pPr>
        <w:spacing w:line="360" w:lineRule="auto"/>
        <w:jc w:val="both"/>
        <w:rPr>
          <w:rFonts w:ascii="Arial" w:hAnsi="Arial" w:cs="Arial"/>
          <w:sz w:val="24"/>
        </w:rPr>
      </w:pPr>
      <w:r w:rsidRPr="00477190">
        <w:rPr>
          <w:rFonts w:ascii="Arial" w:hAnsi="Arial" w:cs="Arial"/>
          <w:sz w:val="24"/>
        </w:rPr>
        <w:t xml:space="preserve">I certify that this report is not written with the assistance of AI tools. This </w:t>
      </w:r>
      <w:r w:rsidR="00081AF7">
        <w:rPr>
          <w:rFonts w:ascii="Arial" w:hAnsi="Arial" w:cs="Arial"/>
          <w:sz w:val="24"/>
        </w:rPr>
        <w:t>work</w:t>
      </w:r>
      <w:r w:rsidRPr="00477190">
        <w:rPr>
          <w:rFonts w:ascii="Arial" w:hAnsi="Arial" w:cs="Arial"/>
          <w:sz w:val="24"/>
        </w:rPr>
        <w:t xml:space="preserve"> is personal research and analysis from the sources and references provided in this report.</w:t>
      </w:r>
    </w:p>
    <w:p w:rsidR="00436EB4" w:rsidRDefault="00436EB4" w:rsidP="00436EB4">
      <w:pPr>
        <w:spacing w:line="360" w:lineRule="auto"/>
        <w:jc w:val="both"/>
        <w:rPr>
          <w:rFonts w:ascii="Arial" w:hAnsi="Arial" w:cs="Arial"/>
          <w:sz w:val="24"/>
        </w:rPr>
      </w:pPr>
      <w:r>
        <w:rPr>
          <w:rFonts w:ascii="Arial" w:hAnsi="Arial" w:cs="Arial"/>
          <w:sz w:val="24"/>
        </w:rPr>
        <w:t>Name:</w:t>
      </w:r>
      <w:r w:rsidRPr="00436EB4">
        <w:t xml:space="preserve"> </w:t>
      </w:r>
      <w:r w:rsidRPr="00436EB4">
        <w:rPr>
          <w:rFonts w:ascii="Arial" w:hAnsi="Arial" w:cs="Arial"/>
          <w:sz w:val="24"/>
        </w:rPr>
        <w:t>Ikhtear Mahbub</w:t>
      </w:r>
    </w:p>
    <w:p w:rsidR="00436EB4" w:rsidRPr="00477190" w:rsidRDefault="00436EB4" w:rsidP="00436EB4">
      <w:pPr>
        <w:spacing w:line="360" w:lineRule="auto"/>
        <w:jc w:val="both"/>
        <w:rPr>
          <w:rFonts w:ascii="Arial" w:hAnsi="Arial" w:cs="Arial"/>
          <w:sz w:val="24"/>
        </w:rPr>
      </w:pPr>
      <w:r>
        <w:rPr>
          <w:rFonts w:ascii="Arial" w:hAnsi="Arial" w:cs="Arial"/>
          <w:sz w:val="24"/>
        </w:rPr>
        <w:t>Date: 14/08/2026</w:t>
      </w:r>
    </w:p>
    <w:p w:rsidR="00FD35AC" w:rsidRDefault="00FD35AC" w:rsidP="00FD35AC">
      <w:pPr>
        <w:jc w:val="center"/>
        <w:rPr>
          <w:rFonts w:ascii="Arial" w:hAnsi="Arial" w:cs="Arial"/>
          <w:b/>
          <w:sz w:val="28"/>
        </w:rPr>
      </w:pPr>
    </w:p>
    <w:p w:rsidR="00436EB4" w:rsidRPr="00FD35AC" w:rsidRDefault="00436EB4" w:rsidP="00FD35AC">
      <w:pPr>
        <w:jc w:val="center"/>
        <w:rPr>
          <w:rFonts w:ascii="Arial" w:hAnsi="Arial" w:cs="Arial"/>
          <w:b/>
          <w:sz w:val="28"/>
        </w:rPr>
        <w:sectPr w:rsidR="00436EB4" w:rsidRPr="00FD35AC" w:rsidSect="009B3ECF">
          <w:headerReference w:type="even" r:id="rId9"/>
          <w:headerReference w:type="default" r:id="rId10"/>
          <w:footerReference w:type="even" r:id="rId11"/>
          <w:footerReference w:type="default" r:id="rId12"/>
          <w:headerReference w:type="first" r:id="rId13"/>
          <w:footerReference w:type="first" r:id="rId14"/>
          <w:pgSz w:w="11907" w:h="16839" w:code="9"/>
          <w:pgMar w:top="1440" w:right="1440" w:bottom="1440" w:left="1440" w:header="720" w:footer="720" w:gutter="0"/>
          <w:cols w:space="720"/>
          <w:docGrid w:linePitch="360"/>
        </w:sectPr>
      </w:pPr>
    </w:p>
    <w:sdt>
      <w:sdtPr>
        <w:rPr>
          <w:rFonts w:asciiTheme="minorHAnsi" w:eastAsiaTheme="minorHAnsi" w:hAnsiTheme="minorHAnsi" w:cstheme="minorBidi"/>
          <w:b w:val="0"/>
          <w:bCs w:val="0"/>
          <w:color w:val="auto"/>
          <w:sz w:val="22"/>
          <w:szCs w:val="22"/>
          <w:lang w:val="en-GB" w:eastAsia="en-US"/>
        </w:rPr>
        <w:id w:val="-1310093400"/>
        <w:docPartObj>
          <w:docPartGallery w:val="Table of Contents"/>
          <w:docPartUnique/>
        </w:docPartObj>
      </w:sdtPr>
      <w:sdtEndPr>
        <w:rPr>
          <w:noProof/>
        </w:rPr>
      </w:sdtEndPr>
      <w:sdtContent>
        <w:p w:rsidR="00FA323E" w:rsidRPr="00FA323E" w:rsidRDefault="00FA323E" w:rsidP="00FA323E">
          <w:pPr>
            <w:pStyle w:val="TOCHeading"/>
            <w:jc w:val="center"/>
            <w:rPr>
              <w:rFonts w:ascii="Arial" w:hAnsi="Arial" w:cs="Arial"/>
              <w:color w:val="auto"/>
            </w:rPr>
          </w:pPr>
          <w:r w:rsidRPr="00FA323E">
            <w:rPr>
              <w:rFonts w:ascii="Arial" w:hAnsi="Arial" w:cs="Arial"/>
              <w:color w:val="auto"/>
            </w:rPr>
            <w:t>Table of Contents</w:t>
          </w:r>
        </w:p>
        <w:p w:rsidR="00A27333" w:rsidRPr="00A27333" w:rsidRDefault="00FA323E">
          <w:pPr>
            <w:pStyle w:val="TOC1"/>
            <w:tabs>
              <w:tab w:val="right" w:leader="dot" w:pos="9017"/>
            </w:tabs>
            <w:rPr>
              <w:rFonts w:ascii="Arial" w:eastAsiaTheme="minorEastAsia" w:hAnsi="Arial" w:cs="Arial"/>
              <w:b/>
              <w:noProof/>
              <w:lang w:eastAsia="en-GB"/>
            </w:rPr>
          </w:pPr>
          <w:r w:rsidRPr="00A27333">
            <w:rPr>
              <w:rFonts w:ascii="Arial" w:hAnsi="Arial" w:cs="Arial"/>
              <w:b/>
            </w:rPr>
            <w:fldChar w:fldCharType="begin"/>
          </w:r>
          <w:r w:rsidRPr="00A27333">
            <w:rPr>
              <w:rFonts w:ascii="Arial" w:hAnsi="Arial" w:cs="Arial"/>
              <w:b/>
            </w:rPr>
            <w:instrText xml:space="preserve"> TOC \o "1-3" \h \z \u </w:instrText>
          </w:r>
          <w:bookmarkStart w:id="0" w:name="_GoBack"/>
          <w:bookmarkEnd w:id="0"/>
          <w:r w:rsidRPr="00A27333">
            <w:rPr>
              <w:rFonts w:ascii="Arial" w:hAnsi="Arial" w:cs="Arial"/>
              <w:b/>
            </w:rPr>
            <w:fldChar w:fldCharType="separate"/>
          </w:r>
          <w:hyperlink w:anchor="_Toc237568115" w:history="1">
            <w:r w:rsidR="00A27333" w:rsidRPr="00A27333">
              <w:rPr>
                <w:rStyle w:val="Hyperlink"/>
                <w:rFonts w:ascii="Arial" w:hAnsi="Arial" w:cs="Arial"/>
                <w:b/>
                <w:noProof/>
              </w:rPr>
              <w:t>1. Introduction</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_Toc237568115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16" w:history="1">
            <w:r w:rsidR="00A27333" w:rsidRPr="00A27333">
              <w:rPr>
                <w:rStyle w:val="Hyperlink"/>
                <w:rFonts w:ascii="Arial" w:hAnsi="Arial" w:cs="Arial"/>
                <w:b/>
                <w:noProof/>
              </w:rPr>
              <w:t>Section 1</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_Toc237568116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17" w:history="1">
            <w:r w:rsidR="00A27333" w:rsidRPr="00A27333">
              <w:rPr>
                <w:rStyle w:val="Hyperlink"/>
                <w:rFonts w:ascii="Arial" w:hAnsi="Arial" w:cs="Arial"/>
                <w:b/>
                <w:noProof/>
              </w:rPr>
              <w:t>2. Organizational Classification and Global Strategy</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_Toc237568117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w:t>
            </w:r>
            <w:r w:rsidR="00A27333" w:rsidRPr="00A27333">
              <w:rPr>
                <w:rFonts w:ascii="Arial" w:hAnsi="Arial" w:cs="Arial"/>
                <w:b/>
                <w:noProof/>
                <w:webHidden/>
              </w:rPr>
              <w:fldChar w:fldCharType="end"/>
            </w:r>
          </w:hyperlink>
        </w:p>
        <w:p w:rsidR="00A27333" w:rsidRPr="00A27333" w:rsidRDefault="00D13F4E">
          <w:pPr>
            <w:pStyle w:val="TOC2"/>
            <w:tabs>
              <w:tab w:val="right" w:leader="dot" w:pos="9017"/>
            </w:tabs>
            <w:rPr>
              <w:rFonts w:ascii="Arial" w:eastAsiaTheme="minorEastAsia" w:hAnsi="Arial" w:cs="Arial"/>
              <w:b/>
              <w:noProof/>
              <w:lang w:eastAsia="en-GB"/>
            </w:rPr>
          </w:pPr>
          <w:hyperlink w:anchor="_Toc237568118" w:history="1">
            <w:r w:rsidR="00A27333" w:rsidRPr="00A27333">
              <w:rPr>
                <w:rStyle w:val="Hyperlink"/>
                <w:rFonts w:ascii="Arial" w:hAnsi="Arial" w:cs="Arial"/>
                <w:b/>
                <w:noProof/>
              </w:rPr>
              <w:t>2.1 The Home Depot: Strategic Categorization Using Bartlett and Ghoshal’s (1989) Model</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_Toc237568118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w:t>
            </w:r>
            <w:r w:rsidR="00A27333" w:rsidRPr="00A27333">
              <w:rPr>
                <w:rFonts w:ascii="Arial" w:hAnsi="Arial" w:cs="Arial"/>
                <w:b/>
                <w:noProof/>
                <w:webHidden/>
              </w:rPr>
              <w:fldChar w:fldCharType="end"/>
            </w:r>
          </w:hyperlink>
        </w:p>
        <w:p w:rsidR="00A27333" w:rsidRPr="00A27333" w:rsidRDefault="00D13F4E">
          <w:pPr>
            <w:pStyle w:val="TOC2"/>
            <w:tabs>
              <w:tab w:val="right" w:leader="dot" w:pos="9017"/>
            </w:tabs>
            <w:rPr>
              <w:rFonts w:ascii="Arial" w:eastAsiaTheme="minorEastAsia" w:hAnsi="Arial" w:cs="Arial"/>
              <w:b/>
              <w:noProof/>
              <w:lang w:eastAsia="en-GB"/>
            </w:rPr>
          </w:pPr>
          <w:hyperlink w:anchor="_Toc237568119" w:history="1">
            <w:r w:rsidR="00A27333" w:rsidRPr="00A27333">
              <w:rPr>
                <w:rStyle w:val="Hyperlink"/>
                <w:rFonts w:ascii="Arial" w:hAnsi="Arial" w:cs="Arial"/>
                <w:b/>
                <w:noProof/>
              </w:rPr>
              <w:t>2.2 The Home Depot: Global Configuration, Competitive Advantage and Value Creation</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_Toc237568119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2</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20" w:history="1">
            <w:r w:rsidR="00A27333" w:rsidRPr="00A27333">
              <w:rPr>
                <w:rStyle w:val="Hyperlink"/>
                <w:rFonts w:ascii="Arial" w:eastAsia="Times New Roman" w:hAnsi="Arial" w:cs="Arial"/>
                <w:b/>
                <w:bCs/>
                <w:noProof/>
                <w:kern w:val="36"/>
                <w:lang w:eastAsia="en-GB"/>
              </w:rPr>
              <w:t>3. Macro-Environmental Appraisal and Market Attractiveness</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_Toc237568120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3</w:t>
            </w:r>
            <w:r w:rsidR="00A27333" w:rsidRPr="00A27333">
              <w:rPr>
                <w:rFonts w:ascii="Arial" w:hAnsi="Arial" w:cs="Arial"/>
                <w:b/>
                <w:noProof/>
                <w:webHidden/>
              </w:rPr>
              <w:fldChar w:fldCharType="end"/>
            </w:r>
          </w:hyperlink>
        </w:p>
        <w:p w:rsidR="00A27333" w:rsidRPr="00A27333" w:rsidRDefault="00D13F4E">
          <w:pPr>
            <w:pStyle w:val="TOC2"/>
            <w:tabs>
              <w:tab w:val="right" w:leader="dot" w:pos="9017"/>
            </w:tabs>
            <w:rPr>
              <w:rFonts w:ascii="Arial" w:eastAsiaTheme="minorEastAsia" w:hAnsi="Arial" w:cs="Arial"/>
              <w:b/>
              <w:noProof/>
              <w:lang w:eastAsia="en-GB"/>
            </w:rPr>
          </w:pPr>
          <w:hyperlink w:anchor="_Toc237568121" w:history="1">
            <w:r w:rsidR="00A27333" w:rsidRPr="00A27333">
              <w:rPr>
                <w:rStyle w:val="Hyperlink"/>
                <w:rFonts w:ascii="Arial" w:eastAsia="Times New Roman" w:hAnsi="Arial" w:cs="Arial"/>
                <w:b/>
                <w:noProof/>
                <w:lang w:eastAsia="en-GB"/>
              </w:rPr>
              <w:t>3.1 Host Country (UAE) Analysis</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_Toc237568121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3</w:t>
            </w:r>
            <w:r w:rsidR="00A27333" w:rsidRPr="00A27333">
              <w:rPr>
                <w:rFonts w:ascii="Arial" w:hAnsi="Arial" w:cs="Arial"/>
                <w:b/>
                <w:noProof/>
                <w:webHidden/>
              </w:rPr>
              <w:fldChar w:fldCharType="end"/>
            </w:r>
          </w:hyperlink>
        </w:p>
        <w:p w:rsidR="00A27333" w:rsidRPr="00A27333" w:rsidRDefault="00D13F4E">
          <w:pPr>
            <w:pStyle w:val="TOC2"/>
            <w:tabs>
              <w:tab w:val="right" w:leader="dot" w:pos="9017"/>
            </w:tabs>
            <w:rPr>
              <w:rFonts w:ascii="Arial" w:eastAsiaTheme="minorEastAsia" w:hAnsi="Arial" w:cs="Arial"/>
              <w:b/>
              <w:noProof/>
              <w:lang w:eastAsia="en-GB"/>
            </w:rPr>
          </w:pPr>
          <w:hyperlink w:anchor="_Toc237568122" w:history="1">
            <w:r w:rsidR="00A27333" w:rsidRPr="00A27333">
              <w:rPr>
                <w:rStyle w:val="Hyperlink"/>
                <w:rFonts w:ascii="Arial" w:hAnsi="Arial" w:cs="Arial"/>
                <w:b/>
                <w:bCs/>
                <w:noProof/>
              </w:rPr>
              <w:t>3.2 Market Entry: OLI Framework</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_Toc237568122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9</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23" w:history="1">
            <w:r w:rsidR="00A27333" w:rsidRPr="00A27333">
              <w:rPr>
                <w:rStyle w:val="Hyperlink"/>
                <w:rFonts w:ascii="Arial" w:hAnsi="Arial" w:cs="Arial"/>
                <w:b/>
                <w:noProof/>
              </w:rPr>
              <w:t>4. Entry Mode Strategy and Strategic Synthesis</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_Toc237568123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11</w:t>
            </w:r>
            <w:r w:rsidR="00A27333" w:rsidRPr="00A27333">
              <w:rPr>
                <w:rFonts w:ascii="Arial" w:hAnsi="Arial" w:cs="Arial"/>
                <w:b/>
                <w:noProof/>
                <w:webHidden/>
              </w:rPr>
              <w:fldChar w:fldCharType="end"/>
            </w:r>
          </w:hyperlink>
        </w:p>
        <w:p w:rsidR="00A27333" w:rsidRPr="00A27333" w:rsidRDefault="00D13F4E">
          <w:pPr>
            <w:pStyle w:val="TOC3"/>
            <w:tabs>
              <w:tab w:val="right" w:leader="dot" w:pos="9017"/>
            </w:tabs>
            <w:rPr>
              <w:rFonts w:ascii="Arial" w:eastAsiaTheme="minorEastAsia" w:hAnsi="Arial" w:cs="Arial"/>
              <w:b/>
              <w:noProof/>
              <w:lang w:eastAsia="en-GB"/>
            </w:rPr>
          </w:pPr>
          <w:hyperlink w:anchor="_Toc237568124" w:history="1">
            <w:r w:rsidR="00A27333" w:rsidRPr="00A27333">
              <w:rPr>
                <w:rStyle w:val="Hyperlink"/>
                <w:rFonts w:ascii="Arial" w:hAnsi="Arial" w:cs="Arial"/>
                <w:b/>
                <w:noProof/>
              </w:rPr>
              <w:t>4.1 Historical Pattern Recognition</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_Toc237568124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11</w:t>
            </w:r>
            <w:r w:rsidR="00A27333" w:rsidRPr="00A27333">
              <w:rPr>
                <w:rFonts w:ascii="Arial" w:hAnsi="Arial" w:cs="Arial"/>
                <w:b/>
                <w:noProof/>
                <w:webHidden/>
              </w:rPr>
              <w:fldChar w:fldCharType="end"/>
            </w:r>
          </w:hyperlink>
        </w:p>
        <w:p w:rsidR="00A27333" w:rsidRPr="00A27333" w:rsidRDefault="00D13F4E">
          <w:pPr>
            <w:pStyle w:val="TOC3"/>
            <w:tabs>
              <w:tab w:val="right" w:leader="dot" w:pos="9017"/>
            </w:tabs>
            <w:rPr>
              <w:rFonts w:ascii="Arial" w:eastAsiaTheme="minorEastAsia" w:hAnsi="Arial" w:cs="Arial"/>
              <w:b/>
              <w:noProof/>
              <w:lang w:eastAsia="en-GB"/>
            </w:rPr>
          </w:pPr>
          <w:hyperlink w:anchor="_Toc237568125" w:history="1">
            <w:r w:rsidR="00A27333" w:rsidRPr="00A27333">
              <w:rPr>
                <w:rStyle w:val="Hyperlink"/>
                <w:rFonts w:ascii="Arial" w:hAnsi="Arial" w:cs="Arial"/>
                <w:b/>
                <w:noProof/>
              </w:rPr>
              <w:t>4.2 Strategic Fit and Justification</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_Toc237568125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11</w:t>
            </w:r>
            <w:r w:rsidR="00A27333" w:rsidRPr="00A27333">
              <w:rPr>
                <w:rFonts w:ascii="Arial" w:hAnsi="Arial" w:cs="Arial"/>
                <w:b/>
                <w:noProof/>
                <w:webHidden/>
              </w:rPr>
              <w:fldChar w:fldCharType="end"/>
            </w:r>
          </w:hyperlink>
        </w:p>
        <w:p w:rsidR="00A27333" w:rsidRPr="00A27333" w:rsidRDefault="00D13F4E">
          <w:pPr>
            <w:pStyle w:val="TOC3"/>
            <w:tabs>
              <w:tab w:val="right" w:leader="dot" w:pos="9017"/>
            </w:tabs>
            <w:rPr>
              <w:rFonts w:ascii="Arial" w:eastAsiaTheme="minorEastAsia" w:hAnsi="Arial" w:cs="Arial"/>
              <w:b/>
              <w:noProof/>
              <w:lang w:eastAsia="en-GB"/>
            </w:rPr>
          </w:pPr>
          <w:hyperlink w:anchor="_Toc237568126" w:history="1">
            <w:r w:rsidR="00A27333" w:rsidRPr="00A27333">
              <w:rPr>
                <w:rStyle w:val="Hyperlink"/>
                <w:rFonts w:ascii="Arial" w:hAnsi="Arial" w:cs="Arial"/>
                <w:b/>
                <w:noProof/>
              </w:rPr>
              <w:t>4.3 Recommendation and Conclusion</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_Toc237568126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13</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27" w:history="1">
            <w:r w:rsidR="00A27333" w:rsidRPr="00A27333">
              <w:rPr>
                <w:rStyle w:val="Hyperlink"/>
                <w:rFonts w:ascii="Arial" w:eastAsia="Times New Roman" w:hAnsi="Arial" w:cs="Arial"/>
                <w:b/>
                <w:bCs/>
                <w:noProof/>
                <w:kern w:val="36"/>
                <w:lang w:eastAsia="en-GB"/>
              </w:rPr>
              <w:t>SECTION 2</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_Toc237568127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14</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28" w:history="1">
            <w:r w:rsidR="00A27333" w:rsidRPr="00A27333">
              <w:rPr>
                <w:rStyle w:val="Hyperlink"/>
                <w:rFonts w:ascii="Arial" w:eastAsia="Times New Roman" w:hAnsi="Arial" w:cs="Arial"/>
                <w:b/>
                <w:noProof/>
                <w:lang w:eastAsia="en-GB"/>
              </w:rPr>
              <w:t>5. Reflective Account (Gibbs' Reflective Cycle)</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_Toc237568128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14</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29" w:history="1">
            <w:r w:rsidR="00A27333" w:rsidRPr="00A27333">
              <w:rPr>
                <w:rStyle w:val="Hyperlink"/>
                <w:rFonts w:ascii="Arial" w:hAnsi="Arial" w:cs="Arial"/>
                <w:b/>
                <w:noProof/>
              </w:rPr>
              <w:t>6. Conclusion</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_Toc237568129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17</w:t>
            </w:r>
            <w:r w:rsidR="00A27333" w:rsidRPr="00A27333">
              <w:rPr>
                <w:rFonts w:ascii="Arial" w:hAnsi="Arial" w:cs="Arial"/>
                <w:b/>
                <w:noProof/>
                <w:webHidden/>
              </w:rPr>
              <w:fldChar w:fldCharType="end"/>
            </w:r>
          </w:hyperlink>
        </w:p>
        <w:p w:rsidR="00A27333" w:rsidRPr="00A27333" w:rsidRDefault="00D13F4E">
          <w:pPr>
            <w:pStyle w:val="TOC1"/>
            <w:tabs>
              <w:tab w:val="right" w:leader="dot" w:pos="9017"/>
            </w:tabs>
            <w:rPr>
              <w:rFonts w:ascii="Arial" w:eastAsiaTheme="minorEastAsia" w:hAnsi="Arial" w:cs="Arial"/>
              <w:b/>
              <w:noProof/>
              <w:lang w:eastAsia="en-GB"/>
            </w:rPr>
          </w:pPr>
          <w:hyperlink w:anchor="_Toc237568130" w:history="1">
            <w:r w:rsidR="00A27333" w:rsidRPr="00A27333">
              <w:rPr>
                <w:rStyle w:val="Hyperlink"/>
                <w:rFonts w:ascii="Arial" w:hAnsi="Arial" w:cs="Arial"/>
                <w:b/>
                <w:noProof/>
              </w:rPr>
              <w:t>7. References</w:t>
            </w:r>
            <w:r w:rsidR="00A27333" w:rsidRPr="00A27333">
              <w:rPr>
                <w:rFonts w:ascii="Arial" w:hAnsi="Arial" w:cs="Arial"/>
                <w:b/>
                <w:noProof/>
                <w:webHidden/>
              </w:rPr>
              <w:tab/>
            </w:r>
            <w:r w:rsidR="00A27333" w:rsidRPr="00A27333">
              <w:rPr>
                <w:rFonts w:ascii="Arial" w:hAnsi="Arial" w:cs="Arial"/>
                <w:b/>
                <w:noProof/>
                <w:webHidden/>
              </w:rPr>
              <w:fldChar w:fldCharType="begin"/>
            </w:r>
            <w:r w:rsidR="00A27333" w:rsidRPr="00A27333">
              <w:rPr>
                <w:rFonts w:ascii="Arial" w:hAnsi="Arial" w:cs="Arial"/>
                <w:b/>
                <w:noProof/>
                <w:webHidden/>
              </w:rPr>
              <w:instrText xml:space="preserve"> PAGEREF _Toc237568130 \h </w:instrText>
            </w:r>
            <w:r w:rsidR="00A27333" w:rsidRPr="00A27333">
              <w:rPr>
                <w:rFonts w:ascii="Arial" w:hAnsi="Arial" w:cs="Arial"/>
                <w:b/>
                <w:noProof/>
                <w:webHidden/>
              </w:rPr>
            </w:r>
            <w:r w:rsidR="00A27333" w:rsidRPr="00A27333">
              <w:rPr>
                <w:rFonts w:ascii="Arial" w:hAnsi="Arial" w:cs="Arial"/>
                <w:b/>
                <w:noProof/>
                <w:webHidden/>
              </w:rPr>
              <w:fldChar w:fldCharType="separate"/>
            </w:r>
            <w:r w:rsidR="008E1FA6">
              <w:rPr>
                <w:rFonts w:ascii="Arial" w:hAnsi="Arial" w:cs="Arial"/>
                <w:b/>
                <w:noProof/>
                <w:webHidden/>
              </w:rPr>
              <w:t>18</w:t>
            </w:r>
            <w:r w:rsidR="00A27333" w:rsidRPr="00A27333">
              <w:rPr>
                <w:rFonts w:ascii="Arial" w:hAnsi="Arial" w:cs="Arial"/>
                <w:b/>
                <w:noProof/>
                <w:webHidden/>
              </w:rPr>
              <w:fldChar w:fldCharType="end"/>
            </w:r>
          </w:hyperlink>
        </w:p>
        <w:p w:rsidR="00FA323E" w:rsidRDefault="00FA323E">
          <w:r w:rsidRPr="00A27333">
            <w:rPr>
              <w:rFonts w:ascii="Arial" w:hAnsi="Arial" w:cs="Arial"/>
              <w:b/>
              <w:bCs/>
              <w:noProof/>
            </w:rPr>
            <w:fldChar w:fldCharType="end"/>
          </w:r>
        </w:p>
      </w:sdtContent>
    </w:sdt>
    <w:p w:rsidR="00FA323E" w:rsidRDefault="00FA323E">
      <w:pPr>
        <w:sectPr w:rsidR="00FA323E" w:rsidSect="009B3ECF">
          <w:footerReference w:type="default" r:id="rId15"/>
          <w:pgSz w:w="11907" w:h="16839" w:code="9"/>
          <w:pgMar w:top="1440" w:right="1440" w:bottom="1440" w:left="1440" w:header="720" w:footer="720" w:gutter="0"/>
          <w:cols w:space="720"/>
          <w:docGrid w:linePitch="360"/>
        </w:sectPr>
      </w:pPr>
    </w:p>
    <w:p w:rsidR="00FA323E" w:rsidRPr="008F119A" w:rsidRDefault="00FA323E" w:rsidP="008F119A">
      <w:pPr>
        <w:pStyle w:val="Heading1"/>
        <w:spacing w:after="240" w:line="360" w:lineRule="auto"/>
        <w:jc w:val="both"/>
        <w:rPr>
          <w:rFonts w:ascii="Arial" w:hAnsi="Arial" w:cs="Arial"/>
          <w:color w:val="auto"/>
          <w:sz w:val="24"/>
          <w:szCs w:val="24"/>
        </w:rPr>
      </w:pPr>
      <w:bookmarkStart w:id="1" w:name="_Toc237568115"/>
      <w:r w:rsidRPr="008F119A">
        <w:rPr>
          <w:rFonts w:ascii="Arial" w:hAnsi="Arial" w:cs="Arial"/>
          <w:color w:val="auto"/>
          <w:sz w:val="24"/>
          <w:szCs w:val="24"/>
        </w:rPr>
        <w:t>1. Introduction</w:t>
      </w:r>
      <w:bookmarkEnd w:id="1"/>
    </w:p>
    <w:p w:rsidR="00FA323E" w:rsidRPr="008F119A" w:rsidRDefault="007D61D6" w:rsidP="008F119A">
      <w:pPr>
        <w:spacing w:after="240" w:line="360" w:lineRule="auto"/>
        <w:jc w:val="both"/>
        <w:rPr>
          <w:rFonts w:ascii="Arial" w:hAnsi="Arial" w:cs="Arial"/>
          <w:sz w:val="24"/>
          <w:szCs w:val="24"/>
        </w:rPr>
      </w:pPr>
      <w:r w:rsidRPr="008F119A">
        <w:rPr>
          <w:rFonts w:ascii="Arial" w:hAnsi="Arial" w:cs="Arial"/>
          <w:sz w:val="24"/>
          <w:szCs w:val="24"/>
        </w:rPr>
        <w:t xml:space="preserve">The Home Depot is one of the biggest home-improvement retailers, with operations mostly in North America in the international segment. The latest filing it reports the presence to have 2,359 stores in the United States, Canada and Mexico while there is no significant formal operating presence in the United Arab Emirates (The Home Depot, 2026). Therefore, the UAE is chosen as a potential new market as it offers suitable conditions for international retail growth with regard to non-oil economic expansion, construction activity, openness to investment and its strong infrastructure (IMF, 2024). The Home Depot transfer of competencies to the UAE is assessed to determine if the strategy can be implemented successfully. It uses the integration–responsiveness model of Bartlett and </w:t>
      </w:r>
      <w:proofErr w:type="spellStart"/>
      <w:r w:rsidRPr="008F119A">
        <w:rPr>
          <w:rFonts w:ascii="Arial" w:hAnsi="Arial" w:cs="Arial"/>
          <w:sz w:val="24"/>
          <w:szCs w:val="24"/>
        </w:rPr>
        <w:t>Ghoshal</w:t>
      </w:r>
      <w:proofErr w:type="spellEnd"/>
      <w:r w:rsidRPr="008F119A">
        <w:rPr>
          <w:rFonts w:ascii="Arial" w:hAnsi="Arial" w:cs="Arial"/>
          <w:sz w:val="24"/>
          <w:szCs w:val="24"/>
        </w:rPr>
        <w:t xml:space="preserve"> which is a political, economic, legal and cultural analysis of the host country, Dunning's OLI framework and entry-mode evaluation. The analysis is then compared with the possibility of gaining full control over the business, and acquisition and joint-venture options. Finally, a phased entry strategy in the UAE is recommended, which achieves the balance between control, local knowledge, flexibility and long-term value creation</w:t>
      </w:r>
      <w:r w:rsidR="00FA323E" w:rsidRPr="008F119A">
        <w:rPr>
          <w:rFonts w:ascii="Arial" w:hAnsi="Arial" w:cs="Arial"/>
          <w:sz w:val="24"/>
          <w:szCs w:val="24"/>
        </w:rPr>
        <w:t>.</w:t>
      </w:r>
    </w:p>
    <w:p w:rsidR="00EF262C" w:rsidRPr="008F119A" w:rsidRDefault="00EF262C" w:rsidP="008F119A">
      <w:pPr>
        <w:pStyle w:val="Heading1"/>
        <w:spacing w:after="240" w:line="360" w:lineRule="auto"/>
        <w:jc w:val="both"/>
        <w:rPr>
          <w:rFonts w:ascii="Arial" w:hAnsi="Arial" w:cs="Arial"/>
          <w:color w:val="auto"/>
          <w:sz w:val="24"/>
          <w:szCs w:val="24"/>
        </w:rPr>
      </w:pPr>
      <w:bookmarkStart w:id="2" w:name="_Toc237568116"/>
      <w:r w:rsidRPr="008F119A">
        <w:rPr>
          <w:rFonts w:ascii="Arial" w:hAnsi="Arial" w:cs="Arial"/>
          <w:color w:val="auto"/>
          <w:sz w:val="24"/>
          <w:szCs w:val="24"/>
        </w:rPr>
        <w:t>Section 1</w:t>
      </w:r>
      <w:bookmarkEnd w:id="2"/>
    </w:p>
    <w:p w:rsidR="009C1C17" w:rsidRPr="00A27333" w:rsidRDefault="009C1C17" w:rsidP="00A27333">
      <w:pPr>
        <w:pStyle w:val="Heading1"/>
        <w:rPr>
          <w:rFonts w:ascii="Arial" w:hAnsi="Arial" w:cs="Arial"/>
          <w:color w:val="auto"/>
          <w:sz w:val="24"/>
          <w:szCs w:val="24"/>
        </w:rPr>
      </w:pPr>
      <w:bookmarkStart w:id="3" w:name="_Toc237568117"/>
      <w:r w:rsidRPr="00A27333">
        <w:rPr>
          <w:rFonts w:ascii="Arial" w:hAnsi="Arial" w:cs="Arial"/>
          <w:color w:val="auto"/>
          <w:sz w:val="24"/>
          <w:szCs w:val="24"/>
        </w:rPr>
        <w:t>2. Organizational Classification and Global Strategy</w:t>
      </w:r>
      <w:bookmarkEnd w:id="3"/>
    </w:p>
    <w:p w:rsidR="009C1C17" w:rsidRPr="008F119A" w:rsidRDefault="009C1C17" w:rsidP="00A27333">
      <w:pPr>
        <w:pStyle w:val="Heading2"/>
        <w:spacing w:after="240" w:line="360" w:lineRule="auto"/>
        <w:jc w:val="both"/>
        <w:rPr>
          <w:rFonts w:ascii="Arial" w:hAnsi="Arial" w:cs="Arial"/>
          <w:color w:val="auto"/>
          <w:sz w:val="24"/>
          <w:szCs w:val="24"/>
        </w:rPr>
      </w:pPr>
      <w:bookmarkStart w:id="4" w:name="_Toc237568118"/>
      <w:r w:rsidRPr="008F119A">
        <w:rPr>
          <w:rFonts w:ascii="Arial" w:hAnsi="Arial" w:cs="Arial"/>
          <w:color w:val="auto"/>
          <w:sz w:val="24"/>
          <w:szCs w:val="24"/>
        </w:rPr>
        <w:t xml:space="preserve">2.1 The Home Depot: Strategic Categorization Using Bartlett and </w:t>
      </w:r>
      <w:proofErr w:type="spellStart"/>
      <w:r w:rsidRPr="008F119A">
        <w:rPr>
          <w:rFonts w:ascii="Arial" w:hAnsi="Arial" w:cs="Arial"/>
          <w:color w:val="auto"/>
          <w:sz w:val="24"/>
          <w:szCs w:val="24"/>
        </w:rPr>
        <w:t>Ghoshal’s</w:t>
      </w:r>
      <w:proofErr w:type="spellEnd"/>
      <w:r w:rsidRPr="008F119A">
        <w:rPr>
          <w:rFonts w:ascii="Arial" w:hAnsi="Arial" w:cs="Arial"/>
          <w:color w:val="auto"/>
          <w:sz w:val="24"/>
          <w:szCs w:val="24"/>
        </w:rPr>
        <w:t xml:space="preserve"> (1989) Model</w:t>
      </w:r>
      <w:bookmarkEnd w:id="4"/>
    </w:p>
    <w:p w:rsidR="009C1C17" w:rsidRPr="008F119A" w:rsidRDefault="009C1C17" w:rsidP="008F119A">
      <w:pPr>
        <w:spacing w:line="360" w:lineRule="auto"/>
        <w:jc w:val="both"/>
        <w:rPr>
          <w:rFonts w:ascii="Arial" w:hAnsi="Arial" w:cs="Arial"/>
          <w:sz w:val="24"/>
          <w:szCs w:val="24"/>
        </w:rPr>
      </w:pPr>
      <w:r w:rsidRPr="008F119A">
        <w:rPr>
          <w:rFonts w:ascii="Arial" w:hAnsi="Arial" w:cs="Arial"/>
          <w:sz w:val="24"/>
          <w:szCs w:val="24"/>
        </w:rPr>
        <w:t xml:space="preserve">According to Bartlett and </w:t>
      </w:r>
      <w:proofErr w:type="spellStart"/>
      <w:r w:rsidRPr="008F119A">
        <w:rPr>
          <w:rFonts w:ascii="Arial" w:hAnsi="Arial" w:cs="Arial"/>
          <w:sz w:val="24"/>
          <w:szCs w:val="24"/>
        </w:rPr>
        <w:t>Ghoshal</w:t>
      </w:r>
      <w:proofErr w:type="spellEnd"/>
      <w:r w:rsidRPr="008F119A">
        <w:rPr>
          <w:rFonts w:ascii="Arial" w:hAnsi="Arial" w:cs="Arial"/>
          <w:sz w:val="24"/>
          <w:szCs w:val="24"/>
        </w:rPr>
        <w:t xml:space="preserve"> (1989), there are two pressures in multinational strategies: global integration (coordination, standardisation and economies of scale across the markets) and local responsiveness (adaptation to country-specific customer preferences, institutions and competitive conditions). The two dimensions give rise to four strategic orientations: international, global, </w:t>
      </w:r>
      <w:proofErr w:type="spellStart"/>
      <w:r w:rsidRPr="008F119A">
        <w:rPr>
          <w:rFonts w:ascii="Arial" w:hAnsi="Arial" w:cs="Arial"/>
          <w:sz w:val="24"/>
          <w:szCs w:val="24"/>
        </w:rPr>
        <w:t>multidomestic</w:t>
      </w:r>
      <w:proofErr w:type="spellEnd"/>
      <w:r w:rsidRPr="008F119A">
        <w:rPr>
          <w:rFonts w:ascii="Arial" w:hAnsi="Arial" w:cs="Arial"/>
          <w:sz w:val="24"/>
          <w:szCs w:val="24"/>
        </w:rPr>
        <w:t xml:space="preserve"> and transnational strategies (Bartlett and </w:t>
      </w:r>
      <w:proofErr w:type="spellStart"/>
      <w:r w:rsidRPr="008F119A">
        <w:rPr>
          <w:rFonts w:ascii="Arial" w:hAnsi="Arial" w:cs="Arial"/>
          <w:sz w:val="24"/>
          <w:szCs w:val="24"/>
        </w:rPr>
        <w:t>Ghoshal</w:t>
      </w:r>
      <w:proofErr w:type="spellEnd"/>
      <w:r w:rsidRPr="008F119A">
        <w:rPr>
          <w:rFonts w:ascii="Arial" w:hAnsi="Arial" w:cs="Arial"/>
          <w:sz w:val="24"/>
          <w:szCs w:val="24"/>
        </w:rPr>
        <w:t xml:space="preserve">, 1989; Hill, 2023; </w:t>
      </w:r>
      <w:proofErr w:type="spellStart"/>
      <w:r w:rsidRPr="008F119A">
        <w:rPr>
          <w:rFonts w:ascii="Arial" w:hAnsi="Arial" w:cs="Arial"/>
          <w:sz w:val="24"/>
          <w:szCs w:val="24"/>
        </w:rPr>
        <w:t>Peng</w:t>
      </w:r>
      <w:proofErr w:type="spellEnd"/>
      <w:r w:rsidRPr="008F119A">
        <w:rPr>
          <w:rFonts w:ascii="Arial" w:hAnsi="Arial" w:cs="Arial"/>
          <w:sz w:val="24"/>
          <w:szCs w:val="24"/>
        </w:rPr>
        <w:t xml:space="preserve"> and Meyer, 2023). The Home Depot can be said to have a transnational strategy and high level of global-integration bias. Being a large format retailer, it has many opportunities to coordinate and to take advantage of scale benefits due to its central merchandising capabilities, integrated physical and digital channels, established supplier relationships and investment in its supply-chain and fulfilment systems. It also has strategic priorities as a way to strengthen its core business, provide a frictionless, interconnected customer experience and to expand its Pro business in an estimated $1.1 trillion addressable market (The Home Depot, 2025).</w:t>
      </w:r>
    </w:p>
    <w:p w:rsidR="009C1C17" w:rsidRPr="008F119A" w:rsidRDefault="009C1C17" w:rsidP="008F119A">
      <w:pPr>
        <w:spacing w:line="360" w:lineRule="auto"/>
        <w:jc w:val="both"/>
        <w:rPr>
          <w:rFonts w:ascii="Arial" w:hAnsi="Arial" w:cs="Arial"/>
          <w:sz w:val="24"/>
          <w:szCs w:val="24"/>
        </w:rPr>
      </w:pPr>
      <w:r w:rsidRPr="008F119A">
        <w:rPr>
          <w:rFonts w:ascii="Arial" w:hAnsi="Arial" w:cs="Arial"/>
          <w:sz w:val="24"/>
          <w:szCs w:val="24"/>
        </w:rPr>
        <w:t>Nevertheless, The Home Depot is not completely standardised. It has dedicated country platforms, and localises its merchandising, personalisation, supplier relationships and customer propositions to local market expectations (The Home Depot, 2025). The strength of this integration and the adaptability of this combination allows for a transnational classification. Its international operations are still limited to three North American countries, however, and so its knack for achieving the integration–responsiveness balance in culturally and institutionally different markets is still comparatively under-proven.</w:t>
      </w:r>
    </w:p>
    <w:p w:rsidR="009C1C17" w:rsidRPr="008F119A" w:rsidRDefault="009C1C17" w:rsidP="00A27333">
      <w:pPr>
        <w:pStyle w:val="Heading2"/>
        <w:spacing w:after="240" w:line="360" w:lineRule="auto"/>
        <w:jc w:val="both"/>
        <w:rPr>
          <w:rFonts w:ascii="Arial" w:hAnsi="Arial" w:cs="Arial"/>
          <w:color w:val="auto"/>
          <w:sz w:val="24"/>
          <w:szCs w:val="24"/>
        </w:rPr>
      </w:pPr>
      <w:bookmarkStart w:id="5" w:name="_Toc237568119"/>
      <w:r w:rsidRPr="008F119A">
        <w:rPr>
          <w:rFonts w:ascii="Arial" w:hAnsi="Arial" w:cs="Arial"/>
          <w:color w:val="auto"/>
          <w:sz w:val="24"/>
          <w:szCs w:val="24"/>
        </w:rPr>
        <w:t>2.2 The Home Depot: Global Configuration, Competitive Advantage and Value Creation</w:t>
      </w:r>
      <w:bookmarkEnd w:id="5"/>
    </w:p>
    <w:p w:rsidR="009C1C17" w:rsidRPr="008F119A" w:rsidRDefault="009C1C17" w:rsidP="008F119A">
      <w:pPr>
        <w:spacing w:line="360" w:lineRule="auto"/>
        <w:jc w:val="both"/>
        <w:rPr>
          <w:rFonts w:ascii="Arial" w:hAnsi="Arial" w:cs="Arial"/>
          <w:sz w:val="24"/>
          <w:szCs w:val="24"/>
        </w:rPr>
      </w:pPr>
      <w:r w:rsidRPr="008F119A">
        <w:rPr>
          <w:rFonts w:ascii="Arial" w:hAnsi="Arial" w:cs="Arial"/>
          <w:sz w:val="24"/>
          <w:szCs w:val="24"/>
        </w:rPr>
        <w:t>The Home Depot's geographic structure offers substantial scale, and is not especially diversified internationally. For fiscal 2024, it reported $159.5 billion in net sales, $14.8 billion in net earnings and $13.21 in earnings per share (EPS). It had 2,347 stores, 2,025 of which were in the United States, 182 in Canada and 140 in Mexico, meaning 13.7% were outside of the United States (The Home Depot, 2025).</w:t>
      </w:r>
    </w:p>
    <w:p w:rsidR="009C1C17" w:rsidRPr="008F119A" w:rsidRDefault="009C1C17" w:rsidP="008F119A">
      <w:pPr>
        <w:spacing w:line="360" w:lineRule="auto"/>
        <w:jc w:val="both"/>
        <w:rPr>
          <w:rFonts w:ascii="Arial" w:hAnsi="Arial" w:cs="Arial"/>
          <w:sz w:val="24"/>
          <w:szCs w:val="24"/>
        </w:rPr>
      </w:pPr>
      <w:r w:rsidRPr="008F119A">
        <w:rPr>
          <w:rFonts w:ascii="Arial" w:hAnsi="Arial" w:cs="Arial"/>
          <w:sz w:val="24"/>
          <w:szCs w:val="24"/>
        </w:rPr>
        <w:t xml:space="preserve">The benefits of this scale include purchasing power, supplier bargaining power, merchandising, distribution and brand recognition. Typically, stores sell 30,000 - 40,000 products, with a digital channel considerably widening the choice of products on offer, thus enhancing product authority and </w:t>
      </w:r>
      <w:proofErr w:type="spellStart"/>
      <w:r w:rsidRPr="008F119A">
        <w:rPr>
          <w:rFonts w:ascii="Arial" w:hAnsi="Arial" w:cs="Arial"/>
          <w:sz w:val="24"/>
          <w:szCs w:val="24"/>
        </w:rPr>
        <w:t>omnichannel</w:t>
      </w:r>
      <w:proofErr w:type="spellEnd"/>
      <w:r w:rsidRPr="008F119A">
        <w:rPr>
          <w:rFonts w:ascii="Arial" w:hAnsi="Arial" w:cs="Arial"/>
          <w:sz w:val="24"/>
          <w:szCs w:val="24"/>
        </w:rPr>
        <w:t xml:space="preserve"> convenience in the DIY, DIFM and Pro segments (The Home Depot, 2025). Home Depot is, however, highly vulnerable to the homebuilding and home-improvement cycles in North America, as 86.3% of its stores are located there. International expansion might, therefore, improve the geographic diversification and value creation, but it would require transferring its procurement, logistics and digital capabilities, as well as adjusting product assortment, services and operating processes to local market conditions, in order to be successful.</w:t>
      </w:r>
    </w:p>
    <w:p w:rsidR="008F119A" w:rsidRPr="008F119A" w:rsidRDefault="008F119A" w:rsidP="008F119A">
      <w:pPr>
        <w:spacing w:line="360" w:lineRule="auto"/>
        <w:jc w:val="both"/>
        <w:rPr>
          <w:rFonts w:ascii="Arial" w:hAnsi="Arial" w:cs="Arial"/>
          <w:sz w:val="24"/>
          <w:szCs w:val="24"/>
        </w:rPr>
      </w:pPr>
    </w:p>
    <w:p w:rsidR="00FA323E" w:rsidRPr="008F119A" w:rsidRDefault="00FA323E" w:rsidP="008F119A">
      <w:pPr>
        <w:spacing w:before="100" w:beforeAutospacing="1" w:after="240" w:line="360" w:lineRule="auto"/>
        <w:jc w:val="both"/>
        <w:outlineLvl w:val="0"/>
        <w:rPr>
          <w:rFonts w:ascii="Arial" w:eastAsia="Times New Roman" w:hAnsi="Arial" w:cs="Arial"/>
          <w:b/>
          <w:bCs/>
          <w:kern w:val="36"/>
          <w:sz w:val="24"/>
          <w:szCs w:val="24"/>
          <w:lang w:eastAsia="en-GB"/>
        </w:rPr>
      </w:pPr>
      <w:bookmarkStart w:id="6" w:name="_Toc237568120"/>
      <w:r w:rsidRPr="008F119A">
        <w:rPr>
          <w:rFonts w:ascii="Arial" w:eastAsia="Times New Roman" w:hAnsi="Arial" w:cs="Arial"/>
          <w:b/>
          <w:bCs/>
          <w:kern w:val="36"/>
          <w:sz w:val="24"/>
          <w:szCs w:val="24"/>
          <w:lang w:eastAsia="en-GB"/>
        </w:rPr>
        <w:t>3. Macro-Environmental Appraisal and Market Attractiveness</w:t>
      </w:r>
      <w:bookmarkEnd w:id="6"/>
    </w:p>
    <w:p w:rsidR="00FA323E" w:rsidRPr="008F119A" w:rsidRDefault="00FA323E" w:rsidP="008F119A">
      <w:pPr>
        <w:pStyle w:val="Heading2"/>
        <w:spacing w:line="360" w:lineRule="auto"/>
        <w:rPr>
          <w:rFonts w:ascii="Arial" w:eastAsia="Times New Roman" w:hAnsi="Arial" w:cs="Arial"/>
          <w:b w:val="0"/>
          <w:bCs w:val="0"/>
          <w:color w:val="auto"/>
          <w:sz w:val="24"/>
          <w:szCs w:val="24"/>
          <w:lang w:eastAsia="en-GB"/>
        </w:rPr>
      </w:pPr>
      <w:bookmarkStart w:id="7" w:name="_Toc237568121"/>
      <w:r w:rsidRPr="008F119A">
        <w:rPr>
          <w:rFonts w:ascii="Arial" w:eastAsia="Times New Roman" w:hAnsi="Arial" w:cs="Arial"/>
          <w:color w:val="auto"/>
          <w:sz w:val="24"/>
          <w:szCs w:val="24"/>
          <w:lang w:eastAsia="en-GB"/>
        </w:rPr>
        <w:t>3.1 Host Country</w:t>
      </w:r>
      <w:r w:rsidR="008F119A" w:rsidRPr="008F119A">
        <w:rPr>
          <w:rFonts w:ascii="Arial" w:eastAsia="Times New Roman" w:hAnsi="Arial" w:cs="Arial"/>
          <w:color w:val="auto"/>
          <w:sz w:val="24"/>
          <w:szCs w:val="24"/>
          <w:lang w:eastAsia="en-GB"/>
        </w:rPr>
        <w:t xml:space="preserve"> (UAE)</w:t>
      </w:r>
      <w:r w:rsidRPr="008F119A">
        <w:rPr>
          <w:rFonts w:ascii="Arial" w:eastAsia="Times New Roman" w:hAnsi="Arial" w:cs="Arial"/>
          <w:color w:val="auto"/>
          <w:sz w:val="24"/>
          <w:szCs w:val="24"/>
          <w:lang w:eastAsia="en-GB"/>
        </w:rPr>
        <w:t xml:space="preserve"> Analysis</w:t>
      </w:r>
      <w:bookmarkEnd w:id="7"/>
    </w:p>
    <w:p w:rsidR="00F74B3D"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 UAE is an attractively lucrative space for The Home Depot to play, but it's also one that poses a strategic challenge. It is not so much about the general national growth and prosperity as the dynamics between openness to investment, non-oil growth, construction and property activity, adoption of digital retail and relatively business-friendly regulatory environment. In 2024, the UAE real GDP rose to AED1.776 trillion (+4.0%) and the non-oil sector contributed 75.5% of the total GDP, with its real GDP reaching AED</w:t>
      </w:r>
      <w:r w:rsidR="00F74B3D" w:rsidRPr="008F119A">
        <w:rPr>
          <w:rFonts w:ascii="Arial" w:eastAsia="Times New Roman" w:hAnsi="Arial" w:cs="Arial"/>
          <w:sz w:val="24"/>
          <w:szCs w:val="24"/>
          <w:lang w:eastAsia="en-GB"/>
        </w:rPr>
        <w:t xml:space="preserve"> </w:t>
      </w:r>
      <w:r w:rsidRPr="008F119A">
        <w:rPr>
          <w:rFonts w:ascii="Arial" w:eastAsia="Times New Roman" w:hAnsi="Arial" w:cs="Arial"/>
          <w:sz w:val="24"/>
          <w:szCs w:val="24"/>
          <w:lang w:eastAsia="en-GB"/>
        </w:rPr>
        <w:t>1.342 trillion (+5.0%) (Federal Competitiveness and Statistics Centre (FCSC), 2025). But for Home Depot, it's not enough to make the headlines; they must be able to fuel enduring sales of building materials, tools, maintenance items and related services, while sustaining the economics of a high-volume, inventory-rich store.</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 Political Environment</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The UAE offers a fairly stable and stable political and institutional environment for foreign long-term investment. It is a strategically significant move for Home Depot, as it will make significant sunk investments in the stores, warehouses, inventory, logistics, technology and staffing to enter the market. The country has maintained its popularity with the inflow of big capital due to the following factors: Infrastructure investment, economic diversification and business oriented reforms. The </w:t>
      </w:r>
      <w:proofErr w:type="spellStart"/>
      <w:r w:rsidRPr="008F119A">
        <w:rPr>
          <w:rFonts w:ascii="Arial" w:eastAsia="Times New Roman" w:hAnsi="Arial" w:cs="Arial"/>
          <w:sz w:val="24"/>
          <w:szCs w:val="24"/>
          <w:lang w:eastAsia="en-GB"/>
        </w:rPr>
        <w:t>ongoing</w:t>
      </w:r>
      <w:proofErr w:type="spellEnd"/>
      <w:r w:rsidRPr="008F119A">
        <w:rPr>
          <w:rFonts w:ascii="Arial" w:eastAsia="Times New Roman" w:hAnsi="Arial" w:cs="Arial"/>
          <w:sz w:val="24"/>
          <w:szCs w:val="24"/>
          <w:lang w:eastAsia="en-GB"/>
        </w:rPr>
        <w:t xml:space="preserve"> modernization, infrastructure spending and growth of the private sector are identified as key factors supporting the UAE's non-hydrocarbon expansion </w:t>
      </w:r>
      <w:r w:rsidR="00B45F1F" w:rsidRPr="008F119A">
        <w:rPr>
          <w:rFonts w:ascii="Arial" w:eastAsia="Times New Roman" w:hAnsi="Arial" w:cs="Arial"/>
          <w:sz w:val="24"/>
          <w:szCs w:val="24"/>
          <w:lang w:eastAsia="en-GB"/>
        </w:rPr>
        <w:t xml:space="preserve">(IMF, </w:t>
      </w:r>
      <w:r w:rsidRPr="008F119A">
        <w:rPr>
          <w:rFonts w:ascii="Arial" w:eastAsia="Times New Roman" w:hAnsi="Arial" w:cs="Arial"/>
          <w:sz w:val="24"/>
          <w:szCs w:val="24"/>
          <w:lang w:eastAsia="en-GB"/>
        </w:rPr>
        <w:t xml:space="preserve">2024). Furthermore, in 2024, the UAE had an inflow of approximately US$45.6 billion (AED167.6 billion) of FDI, growing by 48.7% compared to 2023 and ranking among the top countries for FDI inflows around the world, in 2024 (UAE Government, 2025). </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The lack of structural barriers is further lowered by liberalisation of foreign investment. With a general requirement for majority Emirati ownership of companies until then, this was changed to allow up to 100% foreign ownership of most mainland businesses under the framework of the Commercial Companies Decree-Law No. 26 of 2020, which came into effect in 2021, and later the Commercial Companies framework. (UAE Government, 2021) This has the potential of enabling Home Depot to maintain its procurement, customer service, </w:t>
      </w:r>
      <w:proofErr w:type="gramStart"/>
      <w:r w:rsidRPr="008F119A">
        <w:rPr>
          <w:rFonts w:ascii="Arial" w:eastAsia="Times New Roman" w:hAnsi="Arial" w:cs="Arial"/>
          <w:sz w:val="24"/>
          <w:szCs w:val="24"/>
          <w:lang w:eastAsia="en-GB"/>
        </w:rPr>
        <w:t>technology</w:t>
      </w:r>
      <w:proofErr w:type="gramEnd"/>
      <w:r w:rsidRPr="008F119A">
        <w:rPr>
          <w:rFonts w:ascii="Arial" w:eastAsia="Times New Roman" w:hAnsi="Arial" w:cs="Arial"/>
          <w:sz w:val="24"/>
          <w:szCs w:val="24"/>
          <w:lang w:eastAsia="en-GB"/>
        </w:rPr>
        <w:t xml:space="preserve"> and brand standards. However, don't mix up ownership freedom with strategic desirability. Even if the legal requirement is to own the building, strategic fit could be the determining factor with a local partner providing property knowledge, government relationship, relationships with contractors and market intelligence.</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This does not only apply to the federal level of government, but also to the emirate level. It is not just the market demand that matters as commercial licensing, premises and activity approvals are partly regulated by local </w:t>
      </w:r>
      <w:proofErr w:type="spellStart"/>
      <w:proofErr w:type="gramStart"/>
      <w:r w:rsidR="00D01A40" w:rsidRPr="008F119A">
        <w:rPr>
          <w:rFonts w:ascii="Arial" w:eastAsia="Times New Roman" w:hAnsi="Arial" w:cs="Arial"/>
          <w:sz w:val="24"/>
          <w:szCs w:val="24"/>
          <w:lang w:eastAsia="en-GB"/>
        </w:rPr>
        <w:t>a</w:t>
      </w:r>
      <w:proofErr w:type="spellEnd"/>
      <w:proofErr w:type="gramEnd"/>
      <w:r w:rsidR="00D01A40" w:rsidRPr="008F119A">
        <w:rPr>
          <w:rFonts w:ascii="Arial" w:eastAsia="Times New Roman" w:hAnsi="Arial" w:cs="Arial"/>
          <w:sz w:val="24"/>
          <w:szCs w:val="24"/>
          <w:lang w:eastAsia="en-GB"/>
        </w:rPr>
        <w:t xml:space="preserve"> economic authority, which means</w:t>
      </w:r>
      <w:r w:rsidRPr="008F119A">
        <w:rPr>
          <w:rFonts w:ascii="Arial" w:eastAsia="Times New Roman" w:hAnsi="Arial" w:cs="Arial"/>
          <w:sz w:val="24"/>
          <w:szCs w:val="24"/>
          <w:lang w:eastAsia="en-GB"/>
        </w:rPr>
        <w:t xml:space="preserve"> that the decision to opt for Dubai over Abu Dhabi has a bearing on approvals. For </w:t>
      </w:r>
      <w:r w:rsidR="008F119A">
        <w:rPr>
          <w:rFonts w:ascii="Arial" w:eastAsia="Times New Roman" w:hAnsi="Arial" w:cs="Arial"/>
          <w:sz w:val="24"/>
          <w:szCs w:val="24"/>
          <w:lang w:eastAsia="en-GB"/>
        </w:rPr>
        <w:t xml:space="preserve">The </w:t>
      </w:r>
      <w:r w:rsidRPr="008F119A">
        <w:rPr>
          <w:rFonts w:ascii="Arial" w:eastAsia="Times New Roman" w:hAnsi="Arial" w:cs="Arial"/>
          <w:sz w:val="24"/>
          <w:szCs w:val="24"/>
          <w:lang w:eastAsia="en-GB"/>
        </w:rPr>
        <w:t>Home Depot, this validates the decision to launch regionally, not nationally, in the UAE and suggests that they should wait for this to become a clear and obvious winner before making a bigger investment in the country.</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The biggest counterweight is the geopolitical and supply-chain risk. The UAE is less vulnerable to the risks posed by intensification of regional conflict and </w:t>
      </w:r>
      <w:r w:rsidR="009B3ECF" w:rsidRPr="008F119A">
        <w:rPr>
          <w:rFonts w:ascii="Arial" w:eastAsia="Times New Roman" w:hAnsi="Arial" w:cs="Arial"/>
          <w:sz w:val="24"/>
          <w:szCs w:val="24"/>
          <w:lang w:eastAsia="en-GB"/>
        </w:rPr>
        <w:t>geo-economics</w:t>
      </w:r>
      <w:r w:rsidRPr="008F119A">
        <w:rPr>
          <w:rFonts w:ascii="Arial" w:eastAsia="Times New Roman" w:hAnsi="Arial" w:cs="Arial"/>
          <w:sz w:val="24"/>
          <w:szCs w:val="24"/>
          <w:lang w:eastAsia="en-GB"/>
        </w:rPr>
        <w:t xml:space="preserve"> fragmentation, as there are significant sovereign buffers to reduce such risks, though there is a risk that such risks could impact flows of goods, capital and tourism as well (IMF, 2024). This risk will ultimately have operational implications because Home Depot will start out being very dependent on imported hardware, building products and appliances. In general, this political landscape is conducive to investing, but with diversified sourcing, inventory resiliency and location planning.</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 Economic and Industry Environment</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The economic side of this argument is even stronger when considering the growth of the UAE by the sectors that Home Depot sells into. The IMF projected the real growth in non-hydrocarbon GDP at 6.5% in 2021, 7.1% in 2022 and 6.2% in 2023, after which the growth rate is expected to gradually decline (IMF, 2024). This was later corroborated by official statistics that showed that in 2024, actual growth in non-oil sectors was 5.0%, reinforcing the diversification trend (FCSC, 2025). In particular, construction is one of the sectors that </w:t>
      </w:r>
      <w:r w:rsidR="00B45F1F" w:rsidRPr="008F119A">
        <w:rPr>
          <w:rFonts w:ascii="Arial" w:eastAsia="Times New Roman" w:hAnsi="Arial" w:cs="Arial"/>
          <w:sz w:val="24"/>
          <w:szCs w:val="24"/>
          <w:lang w:eastAsia="en-GB"/>
        </w:rPr>
        <w:t>support</w:t>
      </w:r>
      <w:r w:rsidRPr="008F119A">
        <w:rPr>
          <w:rFonts w:ascii="Arial" w:eastAsia="Times New Roman" w:hAnsi="Arial" w:cs="Arial"/>
          <w:sz w:val="24"/>
          <w:szCs w:val="24"/>
          <w:lang w:eastAsia="en-GB"/>
        </w:rPr>
        <w:t xml:space="preserve"> the non-hydrocarbon activity, which makes the macroeconomic growth more relevant to </w:t>
      </w:r>
      <w:r w:rsidR="008F119A">
        <w:rPr>
          <w:rFonts w:ascii="Arial" w:eastAsia="Times New Roman" w:hAnsi="Arial" w:cs="Arial"/>
          <w:sz w:val="24"/>
          <w:szCs w:val="24"/>
          <w:lang w:eastAsia="en-GB"/>
        </w:rPr>
        <w:t xml:space="preserve">The </w:t>
      </w:r>
      <w:r w:rsidRPr="008F119A">
        <w:rPr>
          <w:rFonts w:ascii="Arial" w:eastAsia="Times New Roman" w:hAnsi="Arial" w:cs="Arial"/>
          <w:sz w:val="24"/>
          <w:szCs w:val="24"/>
          <w:lang w:eastAsia="en-GB"/>
        </w:rPr>
        <w:t xml:space="preserve">Home Depot than if the growth were focused in other sectors unrelated to the construction sector (IMF, 2024). </w:t>
      </w:r>
    </w:p>
    <w:p w:rsidR="009B3ECF" w:rsidRPr="008F119A" w:rsidRDefault="009B3ECF" w:rsidP="008F119A">
      <w:pPr>
        <w:spacing w:before="100" w:beforeAutospacing="1" w:after="240" w:line="360" w:lineRule="auto"/>
        <w:jc w:val="center"/>
        <w:rPr>
          <w:rFonts w:ascii="Arial" w:eastAsia="Times New Roman" w:hAnsi="Arial" w:cs="Arial"/>
          <w:sz w:val="24"/>
          <w:szCs w:val="24"/>
          <w:lang w:eastAsia="en-GB"/>
        </w:rPr>
      </w:pPr>
      <w:r w:rsidRPr="008F119A">
        <w:rPr>
          <w:rFonts w:ascii="Arial" w:hAnsi="Arial" w:cs="Arial"/>
          <w:noProof/>
          <w:sz w:val="24"/>
          <w:szCs w:val="24"/>
          <w:lang w:eastAsia="en-GB"/>
        </w:rPr>
        <w:drawing>
          <wp:inline distT="0" distB="0" distL="0" distR="0" wp14:anchorId="75F9881A" wp14:editId="00E74ACE">
            <wp:extent cx="4569419" cy="225552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6925" cy="2259225"/>
                    </a:xfrm>
                    <a:prstGeom prst="rect">
                      <a:avLst/>
                    </a:prstGeom>
                  </pic:spPr>
                </pic:pic>
              </a:graphicData>
            </a:graphic>
          </wp:inline>
        </w:drawing>
      </w:r>
    </w:p>
    <w:p w:rsidR="00601628" w:rsidRPr="008F119A" w:rsidRDefault="008F119A" w:rsidP="008E1FA6">
      <w:pPr>
        <w:spacing w:after="0" w:line="360" w:lineRule="auto"/>
        <w:jc w:val="center"/>
        <w:rPr>
          <w:rFonts w:ascii="Arial" w:eastAsia="Times New Roman" w:hAnsi="Arial" w:cs="Arial"/>
          <w:i/>
          <w:sz w:val="24"/>
          <w:szCs w:val="24"/>
          <w:lang w:eastAsia="en-GB"/>
        </w:rPr>
      </w:pPr>
      <w:r w:rsidRPr="008F119A">
        <w:rPr>
          <w:rFonts w:ascii="Arial" w:eastAsia="Times New Roman" w:hAnsi="Arial" w:cs="Arial"/>
          <w:i/>
          <w:sz w:val="24"/>
          <w:szCs w:val="24"/>
          <w:lang w:eastAsia="en-GB"/>
        </w:rPr>
        <w:t>Figure 1</w:t>
      </w:r>
      <w:r w:rsidR="00601628" w:rsidRPr="008F119A">
        <w:rPr>
          <w:rFonts w:ascii="Arial" w:eastAsia="Times New Roman" w:hAnsi="Arial" w:cs="Arial"/>
          <w:i/>
          <w:sz w:val="24"/>
          <w:szCs w:val="24"/>
          <w:lang w:eastAsia="en-GB"/>
        </w:rPr>
        <w:t>:</w:t>
      </w:r>
      <w:r w:rsidR="009B3ECF" w:rsidRPr="008F119A">
        <w:rPr>
          <w:rFonts w:ascii="Arial" w:eastAsia="Times New Roman" w:hAnsi="Arial" w:cs="Arial"/>
          <w:i/>
          <w:sz w:val="24"/>
          <w:szCs w:val="24"/>
          <w:lang w:eastAsia="en-GB"/>
        </w:rPr>
        <w:t xml:space="preserve"> UAE Non-Hydroca</w:t>
      </w:r>
      <w:r w:rsidR="00601628" w:rsidRPr="008F119A">
        <w:rPr>
          <w:rFonts w:ascii="Arial" w:eastAsia="Times New Roman" w:hAnsi="Arial" w:cs="Arial"/>
          <w:i/>
          <w:sz w:val="24"/>
          <w:szCs w:val="24"/>
          <w:lang w:eastAsia="en-GB"/>
        </w:rPr>
        <w:t>rbon Economic Growth, 2021–2026</w:t>
      </w:r>
      <w:r w:rsidR="008E1FA6">
        <w:rPr>
          <w:rFonts w:ascii="Arial" w:eastAsia="Times New Roman" w:hAnsi="Arial" w:cs="Arial"/>
          <w:i/>
          <w:sz w:val="24"/>
          <w:szCs w:val="24"/>
          <w:lang w:eastAsia="en-GB"/>
        </w:rPr>
        <w:t xml:space="preserve"> </w:t>
      </w:r>
      <w:r w:rsidR="007D61D6" w:rsidRPr="008F119A">
        <w:rPr>
          <w:rFonts w:ascii="Arial" w:eastAsia="Times New Roman" w:hAnsi="Arial" w:cs="Arial"/>
          <w:i/>
          <w:sz w:val="24"/>
          <w:szCs w:val="24"/>
          <w:lang w:eastAsia="en-GB"/>
        </w:rPr>
        <w:t>(</w:t>
      </w:r>
      <w:r w:rsidR="009B3ECF" w:rsidRPr="008F119A">
        <w:rPr>
          <w:rFonts w:ascii="Arial" w:eastAsia="Times New Roman" w:hAnsi="Arial" w:cs="Arial"/>
          <w:i/>
          <w:sz w:val="24"/>
          <w:szCs w:val="24"/>
          <w:lang w:eastAsia="en-GB"/>
        </w:rPr>
        <w:t>IMF</w:t>
      </w:r>
      <w:r w:rsidR="007D61D6" w:rsidRPr="008F119A">
        <w:rPr>
          <w:rFonts w:ascii="Arial" w:eastAsia="Times New Roman" w:hAnsi="Arial" w:cs="Arial"/>
          <w:i/>
          <w:sz w:val="24"/>
          <w:szCs w:val="24"/>
          <w:lang w:eastAsia="en-GB"/>
        </w:rPr>
        <w:t>, 2024;</w:t>
      </w:r>
      <w:r w:rsidR="009B3ECF" w:rsidRPr="008F119A">
        <w:rPr>
          <w:rFonts w:ascii="Arial" w:eastAsia="Times New Roman" w:hAnsi="Arial" w:cs="Arial"/>
          <w:i/>
          <w:sz w:val="24"/>
          <w:szCs w:val="24"/>
          <w:lang w:eastAsia="en-GB"/>
        </w:rPr>
        <w:t xml:space="preserve"> UAE Ministr</w:t>
      </w:r>
      <w:r w:rsidR="007D61D6" w:rsidRPr="008F119A">
        <w:rPr>
          <w:rFonts w:ascii="Arial" w:eastAsia="Times New Roman" w:hAnsi="Arial" w:cs="Arial"/>
          <w:i/>
          <w:sz w:val="24"/>
          <w:szCs w:val="24"/>
          <w:lang w:eastAsia="en-GB"/>
        </w:rPr>
        <w:t>y of Economy and Tourism,</w:t>
      </w:r>
      <w:r w:rsidRPr="008F119A">
        <w:rPr>
          <w:rFonts w:ascii="Arial" w:eastAsia="Times New Roman" w:hAnsi="Arial" w:cs="Arial"/>
          <w:i/>
          <w:sz w:val="24"/>
          <w:szCs w:val="24"/>
          <w:lang w:eastAsia="en-GB"/>
        </w:rPr>
        <w:t xml:space="preserve"> </w:t>
      </w:r>
      <w:r w:rsidR="00FD35AC" w:rsidRPr="008F119A">
        <w:rPr>
          <w:rFonts w:ascii="Arial" w:eastAsia="Times New Roman" w:hAnsi="Arial" w:cs="Arial"/>
          <w:i/>
          <w:sz w:val="24"/>
          <w:szCs w:val="24"/>
          <w:lang w:eastAsia="en-GB"/>
        </w:rPr>
        <w:t>2025)</w:t>
      </w:r>
    </w:p>
    <w:p w:rsidR="009B3ECF"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This </w:t>
      </w:r>
      <w:r w:rsidR="00601628" w:rsidRPr="008F119A">
        <w:rPr>
          <w:rFonts w:ascii="Arial" w:eastAsia="Times New Roman" w:hAnsi="Arial" w:cs="Arial"/>
          <w:sz w:val="24"/>
          <w:szCs w:val="24"/>
          <w:lang w:eastAsia="en-GB"/>
        </w:rPr>
        <w:t>demand</w:t>
      </w:r>
      <w:r w:rsidRPr="008F119A">
        <w:rPr>
          <w:rFonts w:ascii="Arial" w:eastAsia="Times New Roman" w:hAnsi="Arial" w:cs="Arial"/>
          <w:sz w:val="24"/>
          <w:szCs w:val="24"/>
          <w:lang w:eastAsia="en-GB"/>
        </w:rPr>
        <w:t xml:space="preserve"> is backed up by the property market. In 2024, Dubai saw a total of 226,000 real-estate transactions valued at AED761 billion, with transactions growing by 36% and transaction value climbing by 20% when compared to 2023 (Dubai Land Department, 2025). This is the continuation of a positive trend that had been observed over the past few years, with transaction value increasing from around AED300 billion in 2021 to AED528 billion in 2022, AED634 billion in 2023 and AED761 billion in 2024 (Dubai Land Department, 2022; Governme</w:t>
      </w:r>
      <w:r w:rsidR="007D61D6" w:rsidRPr="008F119A">
        <w:rPr>
          <w:rFonts w:ascii="Arial" w:eastAsia="Times New Roman" w:hAnsi="Arial" w:cs="Arial"/>
          <w:sz w:val="24"/>
          <w:szCs w:val="24"/>
          <w:lang w:eastAsia="en-GB"/>
        </w:rPr>
        <w:t>nt of Dubai Media Office,</w:t>
      </w:r>
      <w:r w:rsidRPr="008F119A">
        <w:rPr>
          <w:rFonts w:ascii="Arial" w:eastAsia="Times New Roman" w:hAnsi="Arial" w:cs="Arial"/>
          <w:sz w:val="24"/>
          <w:szCs w:val="24"/>
          <w:lang w:eastAsia="en-GB"/>
        </w:rPr>
        <w:t xml:space="preserve">2024; Dubai Land Department, 2025). </w:t>
      </w:r>
    </w:p>
    <w:p w:rsidR="009B3ECF" w:rsidRPr="008F119A" w:rsidRDefault="009B3ECF" w:rsidP="008F119A">
      <w:pPr>
        <w:spacing w:before="100" w:beforeAutospacing="1" w:after="240" w:line="360" w:lineRule="auto"/>
        <w:jc w:val="center"/>
        <w:rPr>
          <w:rFonts w:ascii="Arial" w:eastAsia="Times New Roman" w:hAnsi="Arial" w:cs="Arial"/>
          <w:sz w:val="24"/>
          <w:szCs w:val="24"/>
          <w:lang w:eastAsia="en-GB"/>
        </w:rPr>
      </w:pPr>
      <w:r w:rsidRPr="008F119A">
        <w:rPr>
          <w:rFonts w:ascii="Arial" w:hAnsi="Arial" w:cs="Arial"/>
          <w:noProof/>
          <w:sz w:val="24"/>
          <w:szCs w:val="24"/>
          <w:lang w:eastAsia="en-GB"/>
        </w:rPr>
        <w:drawing>
          <wp:inline distT="0" distB="0" distL="0" distR="0" wp14:anchorId="442D6FF7" wp14:editId="1E2D3A3D">
            <wp:extent cx="4130040" cy="20574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131214" cy="2057985"/>
                    </a:xfrm>
                    <a:prstGeom prst="rect">
                      <a:avLst/>
                    </a:prstGeom>
                  </pic:spPr>
                </pic:pic>
              </a:graphicData>
            </a:graphic>
          </wp:inline>
        </w:drawing>
      </w:r>
    </w:p>
    <w:p w:rsidR="009B3ECF" w:rsidRPr="008F119A" w:rsidRDefault="008F119A" w:rsidP="008E1FA6">
      <w:pPr>
        <w:spacing w:after="0"/>
        <w:jc w:val="center"/>
        <w:rPr>
          <w:rFonts w:ascii="Arial" w:eastAsia="Times New Roman" w:hAnsi="Arial" w:cs="Arial"/>
          <w:i/>
          <w:sz w:val="24"/>
          <w:szCs w:val="24"/>
          <w:lang w:eastAsia="en-GB"/>
        </w:rPr>
      </w:pPr>
      <w:r w:rsidRPr="008F119A">
        <w:rPr>
          <w:rFonts w:ascii="Arial" w:eastAsia="Times New Roman" w:hAnsi="Arial" w:cs="Arial"/>
          <w:i/>
          <w:sz w:val="24"/>
          <w:szCs w:val="24"/>
          <w:lang w:eastAsia="en-GB"/>
        </w:rPr>
        <w:t>Figure 2</w:t>
      </w:r>
      <w:r w:rsidR="009B3ECF" w:rsidRPr="008F119A">
        <w:rPr>
          <w:rFonts w:ascii="Arial" w:eastAsia="Times New Roman" w:hAnsi="Arial" w:cs="Arial"/>
          <w:i/>
          <w:sz w:val="24"/>
          <w:szCs w:val="24"/>
          <w:lang w:eastAsia="en-GB"/>
        </w:rPr>
        <w:t>: Dubai Real-Estate Transaction Value, 2021–2024 (AED billion</w:t>
      </w:r>
      <w:proofErr w:type="gramStart"/>
      <w:r w:rsidR="009B3ECF" w:rsidRPr="008F119A">
        <w:rPr>
          <w:rFonts w:ascii="Arial" w:eastAsia="Times New Roman" w:hAnsi="Arial" w:cs="Arial"/>
          <w:i/>
          <w:sz w:val="24"/>
          <w:szCs w:val="24"/>
          <w:lang w:eastAsia="en-GB"/>
        </w:rPr>
        <w:t>)</w:t>
      </w:r>
      <w:r w:rsidR="008E1FA6">
        <w:rPr>
          <w:rFonts w:ascii="Arial" w:eastAsia="Times New Roman" w:hAnsi="Arial" w:cs="Arial"/>
          <w:i/>
          <w:sz w:val="24"/>
          <w:szCs w:val="24"/>
          <w:lang w:eastAsia="en-GB"/>
        </w:rPr>
        <w:t xml:space="preserve"> </w:t>
      </w:r>
      <w:r w:rsidR="009B3ECF" w:rsidRPr="008F119A">
        <w:rPr>
          <w:rFonts w:ascii="Arial" w:eastAsia="Times New Roman" w:hAnsi="Arial" w:cs="Arial"/>
          <w:i/>
          <w:sz w:val="24"/>
          <w:szCs w:val="24"/>
          <w:lang w:eastAsia="en-GB"/>
        </w:rPr>
        <w:t xml:space="preserve"> </w:t>
      </w:r>
      <w:r w:rsidRPr="008F119A">
        <w:rPr>
          <w:rFonts w:ascii="Arial" w:eastAsia="Times New Roman" w:hAnsi="Arial" w:cs="Arial"/>
          <w:i/>
          <w:sz w:val="24"/>
          <w:szCs w:val="24"/>
          <w:lang w:eastAsia="en-GB"/>
        </w:rPr>
        <w:t>(</w:t>
      </w:r>
      <w:proofErr w:type="gramEnd"/>
      <w:r w:rsidRPr="008F119A">
        <w:rPr>
          <w:rFonts w:ascii="Arial" w:eastAsia="Times New Roman" w:hAnsi="Arial" w:cs="Arial"/>
          <w:i/>
          <w:sz w:val="24"/>
          <w:szCs w:val="24"/>
          <w:lang w:eastAsia="en-GB"/>
        </w:rPr>
        <w:t xml:space="preserve">Dubai Land Department, 2025; </w:t>
      </w:r>
      <w:r w:rsidR="009B3ECF" w:rsidRPr="008F119A">
        <w:rPr>
          <w:rFonts w:ascii="Arial" w:eastAsia="Times New Roman" w:hAnsi="Arial" w:cs="Arial"/>
          <w:i/>
          <w:sz w:val="24"/>
          <w:szCs w:val="24"/>
          <w:lang w:eastAsia="en-GB"/>
        </w:rPr>
        <w:t>Government of Dubai Media Office</w:t>
      </w:r>
      <w:r w:rsidRPr="008F119A">
        <w:rPr>
          <w:rFonts w:ascii="Arial" w:eastAsia="Times New Roman" w:hAnsi="Arial" w:cs="Arial"/>
          <w:i/>
          <w:sz w:val="24"/>
          <w:szCs w:val="24"/>
          <w:lang w:eastAsia="en-GB"/>
        </w:rPr>
        <w:t xml:space="preserve">, </w:t>
      </w:r>
      <w:r w:rsidR="009B3ECF" w:rsidRPr="008F119A">
        <w:rPr>
          <w:rFonts w:ascii="Arial" w:eastAsia="Times New Roman" w:hAnsi="Arial" w:cs="Arial"/>
          <w:i/>
          <w:sz w:val="24"/>
          <w:szCs w:val="24"/>
          <w:lang w:eastAsia="en-GB"/>
        </w:rPr>
        <w:t>2024).</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For </w:t>
      </w:r>
      <w:r w:rsidR="00A27333">
        <w:rPr>
          <w:rFonts w:ascii="Arial" w:eastAsia="Times New Roman" w:hAnsi="Arial" w:cs="Arial"/>
          <w:sz w:val="24"/>
          <w:szCs w:val="24"/>
          <w:lang w:eastAsia="en-GB"/>
        </w:rPr>
        <w:t xml:space="preserve">The </w:t>
      </w:r>
      <w:r w:rsidRPr="008F119A">
        <w:rPr>
          <w:rFonts w:ascii="Arial" w:eastAsia="Times New Roman" w:hAnsi="Arial" w:cs="Arial"/>
          <w:sz w:val="24"/>
          <w:szCs w:val="24"/>
          <w:lang w:eastAsia="en-GB"/>
        </w:rPr>
        <w:t xml:space="preserve">Home Depot these numbers are not to be taken as a "like-for-like" measure of home-improvement demand. But there is a potential downstream market for refurbishment, fit-out, repair, maintenance, fixtures and appliances for residential and commercial properties due to turnover. It could also boost </w:t>
      </w:r>
      <w:r w:rsidR="00A27333">
        <w:rPr>
          <w:rFonts w:ascii="Arial" w:eastAsia="Times New Roman" w:hAnsi="Arial" w:cs="Arial"/>
          <w:sz w:val="24"/>
          <w:szCs w:val="24"/>
          <w:lang w:eastAsia="en-GB"/>
        </w:rPr>
        <w:t xml:space="preserve">The </w:t>
      </w:r>
      <w:r w:rsidRPr="008F119A">
        <w:rPr>
          <w:rFonts w:ascii="Arial" w:eastAsia="Times New Roman" w:hAnsi="Arial" w:cs="Arial"/>
          <w:sz w:val="24"/>
          <w:szCs w:val="24"/>
          <w:lang w:eastAsia="en-GB"/>
        </w:rPr>
        <w:t>Home Depot's Pro segment, which is critical for the company's strategy, as well.</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Another benefit of digital retail conditions is that it allows you to track the results of your marketing and advertising efforts. In 2024, there were approximately AED32.3 billion worth of transactions in UAE e-commerce, which is expected to surpass AED50.6 billion by 2029, among which home care is also considered one of the important online categories (Dubai South, 2025). This seems to be very compatible with Home Depot's </w:t>
      </w:r>
      <w:proofErr w:type="spellStart"/>
      <w:r w:rsidRPr="008F119A">
        <w:rPr>
          <w:rFonts w:ascii="Arial" w:eastAsia="Times New Roman" w:hAnsi="Arial" w:cs="Arial"/>
          <w:sz w:val="24"/>
          <w:szCs w:val="24"/>
          <w:lang w:eastAsia="en-GB"/>
        </w:rPr>
        <w:t>omnichannel</w:t>
      </w:r>
      <w:proofErr w:type="spellEnd"/>
      <w:r w:rsidRPr="008F119A">
        <w:rPr>
          <w:rFonts w:ascii="Arial" w:eastAsia="Times New Roman" w:hAnsi="Arial" w:cs="Arial"/>
          <w:sz w:val="24"/>
          <w:szCs w:val="24"/>
          <w:lang w:eastAsia="en-GB"/>
        </w:rPr>
        <w:t xml:space="preserve"> attributes and indicates that UAE can not only be accessed via big physical outlets but can also be achieved via other outlets.</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However, there is a material constraint due to scale economics. The size of Home Depot's retail stores is about 104,000 SF of enclosed retail floor space plus about 24,000 SF of outdoor garden space (The Home Depot, 2025). It would be very difficult to have many of these formats available in the small domestic market, as there would be significant property, labour, inventory and fulfilment risk. Thus, Dubai's robust real estate market and buying force does not necessarily mean that the country should be expanded at a fast pace. A limited-store, digitally integrated and Pro-focused model could offer a better store productivity as well as a lower initial capital risk.</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 Legal and Regulatory Environment</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 UAE's regulatory structure is conducive to foreign investment, yet it is a retail store that's inventory driven which makes it important in operational terms. With the full ownership in most activities, Home Depot could maintain a strong strategic control in the activities conducted in the UAE (UAE Government, 2021). However, it is still necessary to obtain suitable business licences, building and activity approvals. This means that the barrier to entry is reduced by making regulations accessible, but not completely accessible.</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 tax regime is relatively clear. The corporate tax rate in UAE is 0% for taxable income of up to AED375</w:t>
      </w:r>
      <w:proofErr w:type="gramStart"/>
      <w:r w:rsidRPr="008F119A">
        <w:rPr>
          <w:rFonts w:ascii="Arial" w:eastAsia="Times New Roman" w:hAnsi="Arial" w:cs="Arial"/>
          <w:sz w:val="24"/>
          <w:szCs w:val="24"/>
          <w:lang w:eastAsia="en-GB"/>
        </w:rPr>
        <w:t>,000</w:t>
      </w:r>
      <w:proofErr w:type="gramEnd"/>
      <w:r w:rsidRPr="008F119A">
        <w:rPr>
          <w:rFonts w:ascii="Arial" w:eastAsia="Times New Roman" w:hAnsi="Arial" w:cs="Arial"/>
          <w:sz w:val="24"/>
          <w:szCs w:val="24"/>
          <w:lang w:eastAsia="en-GB"/>
        </w:rPr>
        <w:t xml:space="preserve"> and 9% for income above AED375,000, while the rate of VAT is 5% (Fed</w:t>
      </w:r>
      <w:r w:rsidR="00F27F05" w:rsidRPr="008F119A">
        <w:rPr>
          <w:rFonts w:ascii="Arial" w:eastAsia="Times New Roman" w:hAnsi="Arial" w:cs="Arial"/>
          <w:sz w:val="24"/>
          <w:szCs w:val="24"/>
          <w:lang w:eastAsia="en-GB"/>
        </w:rPr>
        <w:t>eral Tax Authority, 2024</w:t>
      </w:r>
      <w:r w:rsidRPr="008F119A">
        <w:rPr>
          <w:rFonts w:ascii="Arial" w:eastAsia="Times New Roman" w:hAnsi="Arial" w:cs="Arial"/>
          <w:sz w:val="24"/>
          <w:szCs w:val="24"/>
          <w:lang w:eastAsia="en-GB"/>
        </w:rPr>
        <w:t xml:space="preserve">). Generally, the customs duty charged by Dubai Customs on CIF value of the imported goods of regular commercial goods is 5% (Dubai Customs, 2025). They are small percentages on each product, but when you multiply them together in the context of </w:t>
      </w:r>
      <w:r w:rsidR="00A27333">
        <w:rPr>
          <w:rFonts w:ascii="Arial" w:eastAsia="Times New Roman" w:hAnsi="Arial" w:cs="Arial"/>
          <w:sz w:val="24"/>
          <w:szCs w:val="24"/>
          <w:lang w:eastAsia="en-GB"/>
        </w:rPr>
        <w:t xml:space="preserve">The </w:t>
      </w:r>
      <w:r w:rsidRPr="008F119A">
        <w:rPr>
          <w:rFonts w:ascii="Arial" w:eastAsia="Times New Roman" w:hAnsi="Arial" w:cs="Arial"/>
          <w:sz w:val="24"/>
          <w:szCs w:val="24"/>
          <w:lang w:eastAsia="en-GB"/>
        </w:rPr>
        <w:t xml:space="preserve">Home Depot's business, they make a significant impact since it is a large retailer with tens of thousands of products and has competition in each product category. </w:t>
      </w:r>
      <w:r w:rsidR="00A27333" w:rsidRPr="008F119A">
        <w:rPr>
          <w:rFonts w:ascii="Arial" w:eastAsia="Times New Roman" w:hAnsi="Arial" w:cs="Arial"/>
          <w:sz w:val="24"/>
          <w:szCs w:val="24"/>
          <w:lang w:eastAsia="en-GB"/>
        </w:rPr>
        <w:t>Procurement</w:t>
      </w:r>
      <w:r w:rsidRPr="008F119A">
        <w:rPr>
          <w:rFonts w:ascii="Arial" w:eastAsia="Times New Roman" w:hAnsi="Arial" w:cs="Arial"/>
          <w:sz w:val="24"/>
          <w:szCs w:val="24"/>
          <w:lang w:eastAsia="en-GB"/>
        </w:rPr>
        <w:t xml:space="preserve"> benefits gained in other parts of the world may thus be offset by freight and customs costs, conformity and inventory carrying costs.</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There is another factor to consider when employment policy, which is related to the cultural and linguistic diversity of children. In 2025, the companies required to have a workforce of not less than 50 workers were mandated to hire more Emiratis on skilled jobs and the targets were to be escalated semi-annually and would form part of the annual requirement of hiring 2% more Emiratis (</w:t>
      </w:r>
      <w:proofErr w:type="spellStart"/>
      <w:r w:rsidRPr="008F119A">
        <w:rPr>
          <w:rFonts w:ascii="Arial" w:eastAsia="Times New Roman" w:hAnsi="Arial" w:cs="Arial"/>
          <w:sz w:val="24"/>
          <w:szCs w:val="24"/>
          <w:lang w:eastAsia="en-GB"/>
        </w:rPr>
        <w:t>MoHRE</w:t>
      </w:r>
      <w:proofErr w:type="spellEnd"/>
      <w:r w:rsidRPr="008F119A">
        <w:rPr>
          <w:rFonts w:ascii="Arial" w:eastAsia="Times New Roman" w:hAnsi="Arial" w:cs="Arial"/>
          <w:sz w:val="24"/>
          <w:szCs w:val="24"/>
          <w:lang w:eastAsia="en-GB"/>
        </w:rPr>
        <w:t>, 2025). This would mean that a large retailer would need to have the recruiting, training and localisation capabilities from the start.</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In conclusion, the UAE law is a rather complicated matter; </w:t>
      </w:r>
      <w:r w:rsidR="00A27333">
        <w:rPr>
          <w:rFonts w:ascii="Arial" w:eastAsia="Times New Roman" w:hAnsi="Arial" w:cs="Arial"/>
          <w:sz w:val="24"/>
          <w:szCs w:val="24"/>
          <w:lang w:eastAsia="en-GB"/>
        </w:rPr>
        <w:t xml:space="preserve">The </w:t>
      </w:r>
      <w:r w:rsidRPr="008F119A">
        <w:rPr>
          <w:rFonts w:ascii="Arial" w:eastAsia="Times New Roman" w:hAnsi="Arial" w:cs="Arial"/>
          <w:sz w:val="24"/>
          <w:szCs w:val="24"/>
          <w:lang w:eastAsia="en-GB"/>
        </w:rPr>
        <w:t>Home Depot can enjoy a lot of freedom in terms of ownership, but having a 100% ownership does not necessarily guarantee a wholly owned subsidiary is superior. There could be a strategic, not just a legal choice, between governance structure and licensing, as local expertise can also alleviate uncertainty around licensing, labour, property and suppliers.</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Cultural and Consumer Environment</w:t>
      </w:r>
    </w:p>
    <w:p w:rsidR="009C1C17" w:rsidRPr="008F119A" w:rsidRDefault="009C1C17"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One of the most ambiguous areas concerning the UAE's appeal to The Home Depot is cultural and consumer fit. The company has three types of customers: Do-It-Yourself (DIY), professional (“Pro”) customers, and Do-It-For-Me (DIFM) customers who buy a product and then hire professionals to install and do project work (The Home Depot, 2025). But, it is not certain that the UAE consumer will act in the same manner as the North American consumer in the UAE. It remains unclear to what extent DIY demand exists in the UAE, posing a strategic dilemma for a business model which is traditionally about people doing their own home improvement projects.</w:t>
      </w:r>
    </w:p>
    <w:p w:rsidR="009C1C17" w:rsidRPr="008F119A" w:rsidRDefault="009C1C17"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This uncertainty could make the Pro and DIFM segments more significant. Dubai's massive property activity generates potential demand for contractors, property managers, facilities-management firms and installation-service providers (Dubai Land Department, 2025). This means for The Home Depot that its contractor fulfilment, professional project support, delivery, installation services and integrated online purchasing might offer a better competitive proposition than the conventional DIY market. This would also complement the company's current </w:t>
      </w:r>
      <w:proofErr w:type="spellStart"/>
      <w:r w:rsidRPr="008F119A">
        <w:rPr>
          <w:rFonts w:ascii="Arial" w:eastAsia="Times New Roman" w:hAnsi="Arial" w:cs="Arial"/>
          <w:sz w:val="24"/>
          <w:szCs w:val="24"/>
          <w:lang w:eastAsia="en-GB"/>
        </w:rPr>
        <w:t>omnichannel</w:t>
      </w:r>
      <w:proofErr w:type="spellEnd"/>
      <w:r w:rsidRPr="008F119A">
        <w:rPr>
          <w:rFonts w:ascii="Arial" w:eastAsia="Times New Roman" w:hAnsi="Arial" w:cs="Arial"/>
          <w:sz w:val="24"/>
          <w:szCs w:val="24"/>
          <w:lang w:eastAsia="en-GB"/>
        </w:rPr>
        <w:t xml:space="preserve"> features.</w:t>
      </w:r>
    </w:p>
    <w:p w:rsidR="009C1C17" w:rsidRPr="008F119A" w:rsidRDefault="009C1C17"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It would be the same with the product localisation. The UAE's desert environment presents unique operating and consumer needs that are very different than those of The Home Depot's </w:t>
      </w:r>
      <w:proofErr w:type="gramStart"/>
      <w:r w:rsidRPr="008F119A">
        <w:rPr>
          <w:rFonts w:ascii="Arial" w:eastAsia="Times New Roman" w:hAnsi="Arial" w:cs="Arial"/>
          <w:sz w:val="24"/>
          <w:szCs w:val="24"/>
          <w:lang w:eastAsia="en-GB"/>
        </w:rPr>
        <w:t>North</w:t>
      </w:r>
      <w:proofErr w:type="gramEnd"/>
      <w:r w:rsidRPr="008F119A">
        <w:rPr>
          <w:rFonts w:ascii="Arial" w:eastAsia="Times New Roman" w:hAnsi="Arial" w:cs="Arial"/>
          <w:sz w:val="24"/>
          <w:szCs w:val="24"/>
          <w:lang w:eastAsia="en-GB"/>
        </w:rPr>
        <w:t xml:space="preserve"> American stores. Cooling systems, electricity and water systems are all under strain in the face of rising temperatures and humidity (UAE Government, 2024). Therefore, a locally responsive assortment should focus more on heat-related products, water-saving technologies, heat-resistant materials and maintenance solutions for extreme climates. This would enable The Home Depot to pass on its procurement and merchandising expertise without direct duplication of its product line in the United States.</w:t>
      </w:r>
    </w:p>
    <w:p w:rsidR="009C1C17" w:rsidRPr="008F119A" w:rsidRDefault="009C1C17"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 overall climate in the host country helps the commercial argument, and should be carefully considered. In addition to political and legal openness, which reduces foreign investment hurdles, the possible demand for foreign investment is backed by non-oil economic growth, construction activity and property development (IMF, 2024; Dubai Land Department, 2025). But cultural, market size and operational uncertainties exist.</w:t>
      </w:r>
    </w:p>
    <w:p w:rsidR="00FA323E" w:rsidRPr="008F119A" w:rsidRDefault="009C1C17"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 UAE seems like a place to be, but it takes a lot to adapt. The Home Depot will be better served if they bring together their procurement, logistics, digital and retail capabilities with a Pro, DIFM and Climate-responsive proposition to the UAE. This selective strategy is better at achieving strategic fit than transplanting its North American business model.</w:t>
      </w:r>
    </w:p>
    <w:p w:rsidR="009C1C17" w:rsidRPr="00CE16FC" w:rsidRDefault="009C1C17" w:rsidP="00A27333">
      <w:pPr>
        <w:pStyle w:val="NormalWeb"/>
        <w:spacing w:after="240" w:afterAutospacing="0" w:line="360" w:lineRule="auto"/>
        <w:outlineLvl w:val="1"/>
        <w:rPr>
          <w:rFonts w:ascii="Arial" w:hAnsi="Arial" w:cs="Arial"/>
          <w:i/>
        </w:rPr>
      </w:pPr>
      <w:bookmarkStart w:id="8" w:name="_Toc237568122"/>
      <w:r w:rsidRPr="00CE16FC">
        <w:rPr>
          <w:rFonts w:ascii="Arial" w:hAnsi="Arial" w:cs="Arial"/>
          <w:b/>
          <w:bCs/>
        </w:rPr>
        <w:t>3.2 Market Entry: OLI Framework</w:t>
      </w:r>
      <w:bookmarkEnd w:id="8"/>
    </w:p>
    <w:p w:rsidR="009C1C17" w:rsidRPr="008F119A" w:rsidRDefault="009C1C17" w:rsidP="008F119A">
      <w:pPr>
        <w:spacing w:before="100" w:beforeAutospacing="1" w:after="100" w:afterAutospacing="1"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John H. Dunning (1980) has developed an Eclectic Paradigm (OLI framework) which provides a three part explanation of foreign market investment based on Ownership, Location and Internalisation advantages. Ownership involves firm specific abilities which can generate an advantage in the host country; Location involves evaluating whether the host country's conditions are worthy of investment; Internalisation involves whether or not activities are important enough to be under the control of the firm instead of an external organisation. The Home Depot uses the framework to consider if the company has the ability and the UAE market conditions are suitable for direct investment (</w:t>
      </w:r>
      <w:proofErr w:type="spellStart"/>
      <w:r w:rsidRPr="008F119A">
        <w:rPr>
          <w:rFonts w:ascii="Arial" w:eastAsia="Times New Roman" w:hAnsi="Arial" w:cs="Arial"/>
          <w:sz w:val="24"/>
          <w:szCs w:val="24"/>
          <w:lang w:eastAsia="en-GB"/>
        </w:rPr>
        <w:t>Peng</w:t>
      </w:r>
      <w:proofErr w:type="spellEnd"/>
      <w:r w:rsidRPr="008F119A">
        <w:rPr>
          <w:rFonts w:ascii="Arial" w:eastAsia="Times New Roman" w:hAnsi="Arial" w:cs="Arial"/>
          <w:sz w:val="24"/>
          <w:szCs w:val="24"/>
          <w:lang w:eastAsia="en-GB"/>
        </w:rPr>
        <w:t xml:space="preserve"> and Meyer, 2023).</w:t>
      </w:r>
    </w:p>
    <w:p w:rsidR="009C1C17" w:rsidRPr="008F119A" w:rsidRDefault="009C1C17" w:rsidP="008F119A">
      <w:pPr>
        <w:pStyle w:val="NormalWeb"/>
        <w:spacing w:after="240" w:afterAutospacing="0" w:line="360" w:lineRule="auto"/>
        <w:jc w:val="center"/>
        <w:rPr>
          <w:rFonts w:ascii="Arial" w:hAnsi="Arial" w:cs="Arial"/>
        </w:rPr>
      </w:pPr>
      <w:r w:rsidRPr="008F119A">
        <w:rPr>
          <w:rFonts w:ascii="Arial" w:hAnsi="Arial" w:cs="Arial"/>
          <w:noProof/>
        </w:rPr>
        <w:drawing>
          <wp:inline distT="0" distB="0" distL="0" distR="0" wp14:anchorId="481FFD7E" wp14:editId="0E4CA19E">
            <wp:extent cx="4366260" cy="182809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19198"/>
                    <a:stretch/>
                  </pic:blipFill>
                  <pic:spPr bwMode="auto">
                    <a:xfrm>
                      <a:off x="0" y="0"/>
                      <a:ext cx="4365249" cy="1827669"/>
                    </a:xfrm>
                    <a:prstGeom prst="rect">
                      <a:avLst/>
                    </a:prstGeom>
                    <a:ln>
                      <a:noFill/>
                    </a:ln>
                    <a:extLst>
                      <a:ext uri="{53640926-AAD7-44D8-BBD7-CCE9431645EC}">
                        <a14:shadowObscured xmlns:a14="http://schemas.microsoft.com/office/drawing/2010/main"/>
                      </a:ext>
                    </a:extLst>
                  </pic:spPr>
                </pic:pic>
              </a:graphicData>
            </a:graphic>
          </wp:inline>
        </w:drawing>
      </w:r>
    </w:p>
    <w:p w:rsidR="009C1C17" w:rsidRPr="008F119A" w:rsidRDefault="009C1C17" w:rsidP="008F119A">
      <w:pPr>
        <w:pStyle w:val="NormalWeb"/>
        <w:spacing w:after="240" w:afterAutospacing="0" w:line="360" w:lineRule="auto"/>
        <w:jc w:val="center"/>
        <w:rPr>
          <w:rFonts w:ascii="Arial" w:hAnsi="Arial" w:cs="Arial"/>
          <w:i/>
        </w:rPr>
      </w:pPr>
      <w:r w:rsidRPr="008F119A">
        <w:rPr>
          <w:rFonts w:ascii="Arial" w:hAnsi="Arial" w:cs="Arial"/>
          <w:i/>
        </w:rPr>
        <w:t xml:space="preserve">Figure </w:t>
      </w:r>
      <w:r w:rsidR="008F119A" w:rsidRPr="008F119A">
        <w:rPr>
          <w:rFonts w:ascii="Arial" w:hAnsi="Arial" w:cs="Arial"/>
          <w:i/>
        </w:rPr>
        <w:t>3</w:t>
      </w:r>
      <w:r w:rsidRPr="008F119A">
        <w:rPr>
          <w:rFonts w:ascii="Arial" w:hAnsi="Arial" w:cs="Arial"/>
          <w:i/>
        </w:rPr>
        <w:t>: OLI Framework</w:t>
      </w:r>
      <w:r w:rsidRPr="008F119A">
        <w:rPr>
          <w:rFonts w:ascii="Arial" w:hAnsi="Arial" w:cs="Arial"/>
        </w:rPr>
        <w:t xml:space="preserve"> </w:t>
      </w:r>
      <w:r w:rsidRPr="008F119A">
        <w:rPr>
          <w:rFonts w:ascii="Arial" w:hAnsi="Arial" w:cs="Arial"/>
          <w:i/>
        </w:rPr>
        <w:t>(</w:t>
      </w:r>
      <w:proofErr w:type="spellStart"/>
      <w:r w:rsidRPr="008F119A">
        <w:rPr>
          <w:rFonts w:ascii="Arial" w:hAnsi="Arial" w:cs="Arial"/>
          <w:i/>
        </w:rPr>
        <w:t>Ailani</w:t>
      </w:r>
      <w:proofErr w:type="spellEnd"/>
      <w:r w:rsidRPr="008F119A">
        <w:rPr>
          <w:rFonts w:ascii="Arial" w:hAnsi="Arial" w:cs="Arial"/>
          <w:i/>
        </w:rPr>
        <w:t>, 2024)</w:t>
      </w:r>
    </w:p>
    <w:p w:rsidR="009C1C17" w:rsidRPr="008F119A" w:rsidRDefault="009C1C17" w:rsidP="008F119A">
      <w:pPr>
        <w:spacing w:before="100" w:beforeAutospacing="1" w:after="100" w:afterAutospacing="1"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Ownership Advantages — O</w:t>
      </w:r>
    </w:p>
    <w:p w:rsidR="009C1C17" w:rsidRPr="008F119A" w:rsidRDefault="009C1C17" w:rsidP="008F119A">
      <w:pPr>
        <w:spacing w:before="100" w:beforeAutospacing="1" w:after="100" w:afterAutospacing="1"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The Home Depot has a number of ownership advantages, including its procurement scale, supplier relationships, logistics expertise, inventory-management systems, integrated digital and physical channels, and experience with both do-it-yourself (DIY) and do-it-for-me (DIFM) and Pro customers (The Home Depot, 2025). These are strengths that can help you to achieve buying efficiencies, reliable fulfilment and widespread product availability. Not all the benefits are transferable though. Transfer of Procurement, Logistics and Pro expertise is likely to be successful in the UAE; but brand familiarity and existing DIY behaviour may be less certain as Home Depot does not have local operating history. As a result, it can diminish, but not eradicate the liability of foreignness (Beamish and </w:t>
      </w:r>
      <w:proofErr w:type="spellStart"/>
      <w:r w:rsidRPr="008F119A">
        <w:rPr>
          <w:rFonts w:ascii="Arial" w:eastAsia="Times New Roman" w:hAnsi="Arial" w:cs="Arial"/>
          <w:sz w:val="24"/>
          <w:szCs w:val="24"/>
          <w:lang w:eastAsia="en-GB"/>
        </w:rPr>
        <w:t>Chakravarty</w:t>
      </w:r>
      <w:proofErr w:type="spellEnd"/>
      <w:r w:rsidRPr="008F119A">
        <w:rPr>
          <w:rFonts w:ascii="Arial" w:eastAsia="Times New Roman" w:hAnsi="Arial" w:cs="Arial"/>
          <w:sz w:val="24"/>
          <w:szCs w:val="24"/>
          <w:lang w:eastAsia="en-GB"/>
        </w:rPr>
        <w:t>, 2021).</w:t>
      </w:r>
    </w:p>
    <w:p w:rsidR="009C1C17" w:rsidRPr="008F119A" w:rsidRDefault="009C1C17" w:rsidP="008F119A">
      <w:pPr>
        <w:spacing w:before="100" w:beforeAutospacing="1" w:after="100" w:afterAutospacing="1"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Location Advantages — L</w:t>
      </w:r>
    </w:p>
    <w:p w:rsidR="009C1C17" w:rsidRPr="008F119A" w:rsidRDefault="009C1C17" w:rsidP="008F119A">
      <w:pPr>
        <w:spacing w:before="100" w:beforeAutospacing="1" w:after="100" w:afterAutospacing="1"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Advanced infrastructure, foreign-investment openness, international connectivity, construction activity and relatively high purchasing power are some of the location advantages that the UAE provides. Economic activity is expected to continue expanding at around 4% in 2024, with construction a key source of non-oil activity (IMF, 2024). The purchasing power of around USD 50,000 per capita also suggests good purchasing power (World Bank, 2025). These may be factors that lead to tool, fixtures, building materials and professional services demand. The UAE population, however, is around 11 million only, which restricts the size that can be achieved by The Home Depot's large format retail concept (World Bank, 2025). There are also high operating expenses and the fact that consumer </w:t>
      </w:r>
      <w:proofErr w:type="spellStart"/>
      <w:r w:rsidRPr="008F119A">
        <w:rPr>
          <w:rFonts w:ascii="Arial" w:eastAsia="Times New Roman" w:hAnsi="Arial" w:cs="Arial"/>
          <w:sz w:val="24"/>
          <w:szCs w:val="24"/>
          <w:lang w:eastAsia="en-GB"/>
        </w:rPr>
        <w:t>behavior</w:t>
      </w:r>
      <w:proofErr w:type="spellEnd"/>
      <w:r w:rsidRPr="008F119A">
        <w:rPr>
          <w:rFonts w:ascii="Arial" w:eastAsia="Times New Roman" w:hAnsi="Arial" w:cs="Arial"/>
          <w:sz w:val="24"/>
          <w:szCs w:val="24"/>
          <w:lang w:eastAsia="en-GB"/>
        </w:rPr>
        <w:t xml:space="preserve"> remains unpredictable, giving less impetus for immediate expansion throughout the country.</w:t>
      </w:r>
    </w:p>
    <w:p w:rsidR="009C1C17" w:rsidRPr="008F119A" w:rsidRDefault="009C1C17" w:rsidP="008F119A">
      <w:pPr>
        <w:spacing w:before="100" w:beforeAutospacing="1" w:after="100" w:afterAutospacing="1"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Internalisation Advantages — I</w:t>
      </w:r>
    </w:p>
    <w:p w:rsidR="009C1C17" w:rsidRPr="008F119A" w:rsidRDefault="009C1C17" w:rsidP="008F119A">
      <w:pPr>
        <w:spacing w:before="100" w:beforeAutospacing="1" w:after="100" w:afterAutospacing="1"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Internalisation is also crucial because the Home Depot has a competitive edge based on the close coordination of procurement, merchandising, inventory systems, customer data, digital platforms and fulfilment operations (The Home Depot, 2025). A significant degree of franchising or licensing may result in a loss of control over the service, brand and customer experience. But the full ownership would be financial and operational risk in the unknown market. A joint venture or strategic equity partnership thus results in a more balanced structure. The Home Depot might be responsible for brand, technology, procurement, customer data and core merchandising, while a UAE partner brings its property knowledge, networks of contractors and regulatory experience.</w:t>
      </w:r>
    </w:p>
    <w:p w:rsidR="009C1C17" w:rsidRPr="008F119A" w:rsidRDefault="009C1C17" w:rsidP="008F119A">
      <w:pPr>
        <w:spacing w:before="100" w:beforeAutospacing="1" w:after="100" w:afterAutospacing="1"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Overall, the OLI analysis suggests a phased direct investment approach as opposed to the full ownership approach. The key to success would be the transfer of the best features of The Home Depot and complementary local expertise and commitment only when there was demand and operational success.</w:t>
      </w:r>
    </w:p>
    <w:p w:rsidR="00533DAA" w:rsidRPr="008F119A" w:rsidRDefault="00533DAA" w:rsidP="00A27333">
      <w:pPr>
        <w:pStyle w:val="Heading1"/>
        <w:rPr>
          <w:rFonts w:ascii="Arial" w:hAnsi="Arial" w:cs="Arial"/>
          <w:color w:val="auto"/>
          <w:sz w:val="24"/>
          <w:szCs w:val="24"/>
        </w:rPr>
      </w:pPr>
      <w:bookmarkStart w:id="9" w:name="_Toc237568123"/>
      <w:r w:rsidRPr="008F119A">
        <w:rPr>
          <w:rFonts w:ascii="Arial" w:hAnsi="Arial" w:cs="Arial"/>
          <w:color w:val="auto"/>
          <w:sz w:val="24"/>
          <w:szCs w:val="24"/>
        </w:rPr>
        <w:t>4. Entry Mode Strategy and Strategic Synthesis</w:t>
      </w:r>
      <w:bookmarkEnd w:id="9"/>
    </w:p>
    <w:p w:rsidR="00533DAA" w:rsidRPr="008F119A" w:rsidRDefault="00533DAA" w:rsidP="008F119A">
      <w:pPr>
        <w:pStyle w:val="Heading3"/>
        <w:spacing w:line="360" w:lineRule="auto"/>
        <w:jc w:val="both"/>
        <w:rPr>
          <w:rFonts w:ascii="Arial" w:hAnsi="Arial" w:cs="Arial"/>
          <w:color w:val="auto"/>
          <w:sz w:val="24"/>
          <w:szCs w:val="24"/>
        </w:rPr>
      </w:pPr>
      <w:bookmarkStart w:id="10" w:name="_Toc237568124"/>
      <w:r w:rsidRPr="008F119A">
        <w:rPr>
          <w:rFonts w:ascii="Arial" w:hAnsi="Arial" w:cs="Arial"/>
          <w:color w:val="auto"/>
          <w:sz w:val="24"/>
          <w:szCs w:val="24"/>
        </w:rPr>
        <w:t>4.1 Historical Pattern Recognition</w:t>
      </w:r>
      <w:bookmarkEnd w:id="10"/>
    </w:p>
    <w:p w:rsidR="00533DAA" w:rsidRPr="008F119A" w:rsidRDefault="00533DAA" w:rsidP="008F119A">
      <w:pPr>
        <w:pStyle w:val="NormalWeb"/>
        <w:spacing w:line="360" w:lineRule="auto"/>
        <w:jc w:val="both"/>
        <w:rPr>
          <w:rFonts w:ascii="Arial" w:hAnsi="Arial" w:cs="Arial"/>
        </w:rPr>
      </w:pPr>
      <w:r w:rsidRPr="008F119A">
        <w:rPr>
          <w:rFonts w:ascii="Arial" w:hAnsi="Arial" w:cs="Arial"/>
        </w:rPr>
        <w:t>Home Depot's overseas expansion demonstrates an interest in and preference for acquiring equity-based, high control entry rather than franchising or licensing. In Mexico it is the best example. In 2001, The Home Depot made its entrance via the purchase of Total Home, which included access to stores, employees and local market knowledge. In 2021, the company had a presence in 128 outlets in all 32 Mexican states (The Home Depot Mexico, 2021). This implies the process of acquisition as an entry point, integration and organic growth.</w:t>
      </w:r>
    </w:p>
    <w:p w:rsidR="00533DAA" w:rsidRPr="008F119A" w:rsidRDefault="00533DAA" w:rsidP="008F119A">
      <w:pPr>
        <w:pStyle w:val="NormalWeb"/>
        <w:spacing w:line="360" w:lineRule="auto"/>
        <w:jc w:val="both"/>
        <w:rPr>
          <w:rFonts w:ascii="Arial" w:hAnsi="Arial" w:cs="Arial"/>
        </w:rPr>
      </w:pPr>
      <w:r w:rsidRPr="008F119A">
        <w:rPr>
          <w:rFonts w:ascii="Arial" w:hAnsi="Arial" w:cs="Arial"/>
        </w:rPr>
        <w:t>This trend was followed by entry. The Home Depot announced about US$172 million of investment in Mexico during 2024 (Reuters, 2024) and in 2025, had 140 stores and announced a US$1.3 billion investment programme for 2025–2028, which would be distributed into 165 stores, and reinforce supply-chain, digital and Pro capabilities (The Home Depot Mexico, 2025). Therefore, the historical pattern results in the initial investment in equity and later in taking control and reinvesting. This precedent, however, should be used to guide, not determine, UAE entry as the conditions of the institutions and cultures in the UAE are different from Mexico.</w:t>
      </w:r>
    </w:p>
    <w:p w:rsidR="00533DAA" w:rsidRPr="008F119A" w:rsidRDefault="00533DAA" w:rsidP="008F119A">
      <w:pPr>
        <w:pStyle w:val="Heading3"/>
        <w:spacing w:line="360" w:lineRule="auto"/>
        <w:jc w:val="both"/>
        <w:rPr>
          <w:rFonts w:ascii="Arial" w:hAnsi="Arial" w:cs="Arial"/>
          <w:color w:val="auto"/>
          <w:sz w:val="24"/>
          <w:szCs w:val="24"/>
        </w:rPr>
      </w:pPr>
      <w:bookmarkStart w:id="11" w:name="_Toc237568125"/>
      <w:r w:rsidRPr="008F119A">
        <w:rPr>
          <w:rFonts w:ascii="Arial" w:hAnsi="Arial" w:cs="Arial"/>
          <w:color w:val="auto"/>
          <w:sz w:val="24"/>
          <w:szCs w:val="24"/>
        </w:rPr>
        <w:t>4.2 Strategic Fit and Justification</w:t>
      </w:r>
      <w:bookmarkEnd w:id="11"/>
    </w:p>
    <w:p w:rsidR="00533DAA" w:rsidRPr="008F119A" w:rsidRDefault="00533DAA" w:rsidP="008F119A">
      <w:pPr>
        <w:pStyle w:val="NormalWeb"/>
        <w:spacing w:line="360" w:lineRule="auto"/>
        <w:jc w:val="both"/>
        <w:rPr>
          <w:rFonts w:ascii="Arial" w:hAnsi="Arial" w:cs="Arial"/>
        </w:rPr>
      </w:pPr>
      <w:r w:rsidRPr="008F119A">
        <w:rPr>
          <w:rFonts w:ascii="Arial" w:hAnsi="Arial" w:cs="Arial"/>
        </w:rPr>
        <w:t xml:space="preserve">There are three possible entry modes to the UAE, namely a wholly owned subsidiary, acquisition and joint venture or strategic equity partnership. The Home Depot would have full control of brand standards, pricing, procurement, </w:t>
      </w:r>
      <w:proofErr w:type="gramStart"/>
      <w:r w:rsidRPr="008F119A">
        <w:rPr>
          <w:rFonts w:ascii="Arial" w:hAnsi="Arial" w:cs="Arial"/>
        </w:rPr>
        <w:t>stock</w:t>
      </w:r>
      <w:proofErr w:type="gramEnd"/>
      <w:r w:rsidRPr="008F119A">
        <w:rPr>
          <w:rFonts w:ascii="Arial" w:hAnsi="Arial" w:cs="Arial"/>
        </w:rPr>
        <w:t xml:space="preserve"> and </w:t>
      </w:r>
      <w:proofErr w:type="spellStart"/>
      <w:r w:rsidRPr="008F119A">
        <w:rPr>
          <w:rFonts w:ascii="Arial" w:hAnsi="Arial" w:cs="Arial"/>
        </w:rPr>
        <w:t>omnichannel</w:t>
      </w:r>
      <w:proofErr w:type="spellEnd"/>
      <w:r w:rsidRPr="008F119A">
        <w:rPr>
          <w:rFonts w:ascii="Arial" w:hAnsi="Arial" w:cs="Arial"/>
        </w:rPr>
        <w:t xml:space="preserve"> implementation with a wholly-owned subsidiary. This is in line with a business model that relies on strong store, fulfilment, supplier and Pro services (The Home Depot, 2025) connections. The downside is a high resource usage. The H</w:t>
      </w:r>
      <w:r w:rsidR="008F119A" w:rsidRPr="008F119A">
        <w:rPr>
          <w:rFonts w:ascii="Arial" w:hAnsi="Arial" w:cs="Arial"/>
        </w:rPr>
        <w:t xml:space="preserve">ome </w:t>
      </w:r>
      <w:r w:rsidRPr="008F119A">
        <w:rPr>
          <w:rFonts w:ascii="Arial" w:hAnsi="Arial" w:cs="Arial"/>
        </w:rPr>
        <w:t>Depot stores selling model would be fully controlled and financial and operational risks would be consolidated before HOME Depot has proven its productivity in the UAE in large format stores.</w:t>
      </w:r>
    </w:p>
    <w:p w:rsidR="00533DAA" w:rsidRPr="008F119A" w:rsidRDefault="00533DAA" w:rsidP="008F119A">
      <w:pPr>
        <w:pStyle w:val="NormalWeb"/>
        <w:spacing w:line="360" w:lineRule="auto"/>
        <w:jc w:val="both"/>
        <w:rPr>
          <w:rFonts w:ascii="Arial" w:hAnsi="Arial" w:cs="Arial"/>
        </w:rPr>
      </w:pPr>
    </w:p>
    <w:p w:rsidR="00533DAA" w:rsidRPr="008F119A" w:rsidRDefault="00533DAA" w:rsidP="008F119A">
      <w:pPr>
        <w:pStyle w:val="NormalWeb"/>
        <w:spacing w:line="360" w:lineRule="auto"/>
        <w:jc w:val="both"/>
        <w:rPr>
          <w:rFonts w:ascii="Arial" w:hAnsi="Arial" w:cs="Arial"/>
        </w:rPr>
      </w:pPr>
      <w:r w:rsidRPr="008F119A">
        <w:rPr>
          <w:rFonts w:ascii="Arial" w:hAnsi="Arial" w:cs="Arial"/>
        </w:rPr>
        <w:t xml:space="preserve">This is supported by the property and logistics costs. The year-on-year growth of average retail rents stood at 17.6% in Dubai and 10.7% in Abu Dhabi for 2023 and 14.3% and 5.1% respectively in Q1 2024 for industrial and logistics rents (CBRE, 2024). Multiple large stores/warehouses and significant amounts of inventory would then result in significant fixed costs. </w:t>
      </w:r>
      <w:proofErr w:type="gramStart"/>
      <w:r w:rsidRPr="008F119A">
        <w:rPr>
          <w:rFonts w:ascii="Arial" w:hAnsi="Arial" w:cs="Arial"/>
        </w:rPr>
        <w:t xml:space="preserve">The less flexible, the less desirable the maximum </w:t>
      </w:r>
      <w:proofErr w:type="spellStart"/>
      <w:r w:rsidRPr="008F119A">
        <w:rPr>
          <w:rFonts w:ascii="Arial" w:hAnsi="Arial" w:cs="Arial"/>
        </w:rPr>
        <w:t>control.Less</w:t>
      </w:r>
      <w:proofErr w:type="spellEnd"/>
      <w:r w:rsidRPr="008F119A">
        <w:rPr>
          <w:rFonts w:ascii="Arial" w:hAnsi="Arial" w:cs="Arial"/>
        </w:rPr>
        <w:t xml:space="preserve"> flexibility, less desirable maximum control until local demand is validated.</w:t>
      </w:r>
      <w:proofErr w:type="gramEnd"/>
    </w:p>
    <w:p w:rsidR="00533DAA" w:rsidRPr="008F119A" w:rsidRDefault="00533DAA" w:rsidP="008F119A">
      <w:pPr>
        <w:pStyle w:val="NormalWeb"/>
        <w:spacing w:line="360" w:lineRule="auto"/>
        <w:jc w:val="both"/>
        <w:rPr>
          <w:rFonts w:ascii="Arial" w:hAnsi="Arial" w:cs="Arial"/>
        </w:rPr>
      </w:pPr>
      <w:r w:rsidRPr="008F119A">
        <w:rPr>
          <w:rFonts w:ascii="Arial" w:hAnsi="Arial" w:cs="Arial"/>
        </w:rPr>
        <w:t>This acquisition would offer speed and instant access to places, people, suppliers and customers. The Mexican experience shows that acquisition can be a good vehicle for an eventual integration and growth. This acquisition would only be viable, however, if a suitable target could be found that would have the necessary assets, customer base and capabilities that would align with The Home Depot. Otherwise there may be a reduction in value due to acquisition premiums and high reconfiguration costs. Therefore acquisition should not be the first choice of mode, but still an option.</w:t>
      </w:r>
    </w:p>
    <w:p w:rsidR="00533DAA" w:rsidRPr="008F119A" w:rsidRDefault="00533DAA" w:rsidP="008F119A">
      <w:pPr>
        <w:pStyle w:val="NormalWeb"/>
        <w:spacing w:line="360" w:lineRule="auto"/>
        <w:jc w:val="both"/>
        <w:rPr>
          <w:rFonts w:ascii="Arial" w:hAnsi="Arial" w:cs="Arial"/>
        </w:rPr>
      </w:pPr>
      <w:r w:rsidRPr="008F119A">
        <w:rPr>
          <w:rFonts w:ascii="Arial" w:hAnsi="Arial" w:cs="Arial"/>
        </w:rPr>
        <w:t xml:space="preserve">One of the best combinations of strategic control and market flexibility is provided by a joint venture. Although greater equity ownership generally translates into better results, it is possible that the costs of entry modes, requirements for control, and value of local knowledge differ across institutions, and that greater equity ownership does not necessarily translate into better results. Equity-based entry options also have differential impacts on the benefits and costs of the decision to enter the market (Moreira da Silva, </w:t>
      </w:r>
      <w:proofErr w:type="spellStart"/>
      <w:r w:rsidRPr="008F119A">
        <w:rPr>
          <w:rFonts w:ascii="Arial" w:hAnsi="Arial" w:cs="Arial"/>
        </w:rPr>
        <w:t>Ogasavara</w:t>
      </w:r>
      <w:proofErr w:type="spellEnd"/>
      <w:r w:rsidRPr="008F119A">
        <w:rPr>
          <w:rFonts w:ascii="Arial" w:hAnsi="Arial" w:cs="Arial"/>
        </w:rPr>
        <w:t xml:space="preserve"> and Pereira, 2024). A UAE partner can bring property know-how, networks of contractors, recruitment abilities, know-how of the regulations, and local supplier connections, whereas The Home Depot brings its brand power, procurement size, technology, and merchandising systems, along with Pro know-how.</w:t>
      </w:r>
    </w:p>
    <w:p w:rsidR="00533DAA" w:rsidRPr="008F119A" w:rsidRDefault="00533DAA" w:rsidP="008F119A">
      <w:pPr>
        <w:pStyle w:val="NormalWeb"/>
        <w:spacing w:line="360" w:lineRule="auto"/>
        <w:jc w:val="both"/>
        <w:rPr>
          <w:rFonts w:ascii="Arial" w:hAnsi="Arial" w:cs="Arial"/>
        </w:rPr>
      </w:pPr>
      <w:r w:rsidRPr="008F119A">
        <w:rPr>
          <w:rFonts w:ascii="Arial" w:hAnsi="Arial" w:cs="Arial"/>
        </w:rPr>
        <w:t>Disadvantages of institutional distance cannot be overcome by financial strength. While organisational slack can help enable foreign expansion, it is necessary for firms to deploy their resources to the right place, but in an unfamiliar institutional setting (Donnelly et al., 2024). With a joint venture, initial exposure would be minimised and control would remain with those capabilities which are most closely associated with The Home Depot's competitive advantage.</w:t>
      </w:r>
    </w:p>
    <w:p w:rsidR="00533DAA" w:rsidRPr="008F119A" w:rsidRDefault="00533DAA" w:rsidP="008F119A">
      <w:pPr>
        <w:pStyle w:val="Heading3"/>
        <w:spacing w:line="360" w:lineRule="auto"/>
        <w:jc w:val="both"/>
        <w:rPr>
          <w:rFonts w:ascii="Arial" w:hAnsi="Arial" w:cs="Arial"/>
          <w:color w:val="auto"/>
          <w:sz w:val="24"/>
          <w:szCs w:val="24"/>
        </w:rPr>
      </w:pPr>
      <w:bookmarkStart w:id="12" w:name="_Toc237568126"/>
      <w:r w:rsidRPr="008F119A">
        <w:rPr>
          <w:rFonts w:ascii="Arial" w:hAnsi="Arial" w:cs="Arial"/>
          <w:color w:val="auto"/>
          <w:sz w:val="24"/>
          <w:szCs w:val="24"/>
        </w:rPr>
        <w:t>4.3 Recommendation and Conclusion</w:t>
      </w:r>
      <w:bookmarkEnd w:id="12"/>
    </w:p>
    <w:p w:rsidR="00533DAA" w:rsidRPr="008F119A" w:rsidRDefault="00533DAA" w:rsidP="008F119A">
      <w:pPr>
        <w:pStyle w:val="NormalWeb"/>
        <w:spacing w:line="360" w:lineRule="auto"/>
        <w:jc w:val="both"/>
        <w:rPr>
          <w:rFonts w:ascii="Arial" w:hAnsi="Arial" w:cs="Arial"/>
          <w:b/>
        </w:rPr>
      </w:pPr>
      <w:r w:rsidRPr="008F119A">
        <w:rPr>
          <w:rFonts w:ascii="Arial" w:hAnsi="Arial" w:cs="Arial"/>
          <w:b/>
        </w:rPr>
        <w:t>Recommendation</w:t>
      </w:r>
    </w:p>
    <w:p w:rsidR="00533DAA" w:rsidRPr="008F119A" w:rsidRDefault="003C276C" w:rsidP="008F119A">
      <w:pPr>
        <w:pStyle w:val="NormalWeb"/>
        <w:spacing w:line="360" w:lineRule="auto"/>
        <w:jc w:val="both"/>
        <w:rPr>
          <w:rFonts w:ascii="Arial" w:hAnsi="Arial" w:cs="Arial"/>
        </w:rPr>
      </w:pPr>
      <w:r w:rsidRPr="008F119A">
        <w:rPr>
          <w:rFonts w:ascii="Arial" w:hAnsi="Arial" w:cs="Arial"/>
        </w:rPr>
        <w:t xml:space="preserve">The Home Depot needs to implement a phased equity joint venture in UAE starting with limited physical presence, Pro-focused fulfilment capability and integration of e-commerce in Dubai. This strategy is a compromise among strategic control and local knowledge </w:t>
      </w:r>
      <w:r w:rsidR="008F119A" w:rsidRPr="008F119A">
        <w:rPr>
          <w:rFonts w:ascii="Arial" w:hAnsi="Arial" w:cs="Arial"/>
        </w:rPr>
        <w:t>and institutional uncertainty (</w:t>
      </w:r>
      <w:r w:rsidRPr="008F119A">
        <w:rPr>
          <w:rFonts w:ascii="Arial" w:hAnsi="Arial" w:cs="Arial"/>
        </w:rPr>
        <w:t xml:space="preserve">Zhang et al., 2023; Moreira da Silva, </w:t>
      </w:r>
      <w:proofErr w:type="spellStart"/>
      <w:r w:rsidRPr="008F119A">
        <w:rPr>
          <w:rFonts w:ascii="Arial" w:hAnsi="Arial" w:cs="Arial"/>
        </w:rPr>
        <w:t>Ogasavara</w:t>
      </w:r>
      <w:proofErr w:type="spellEnd"/>
      <w:r w:rsidRPr="008F119A">
        <w:rPr>
          <w:rFonts w:ascii="Arial" w:hAnsi="Arial" w:cs="Arial"/>
        </w:rPr>
        <w:t xml:space="preserve"> and Pereira, 2024). The Home Depot should retain overall decision-making power on brand standards, products procurement, technology, customers' information and merchandising core processes, while the UAE partner would bring in expertise in terms of property, contractor and regulatory affairs. Sales density, Pro-customer penetration, online conversion, fulfilment economics and ROIC must be taken into account as measures of success when expanding to other Dubai locations and Abu Dhabi. The agreement should also give The Home Depot the option to raise its shareholding after proving the demand and performance after the acquisition (Donnelly et al., 2024)</w:t>
      </w:r>
      <w:r w:rsidR="00533DAA" w:rsidRPr="008F119A">
        <w:rPr>
          <w:rFonts w:ascii="Arial" w:hAnsi="Arial" w:cs="Arial"/>
        </w:rPr>
        <w:t>.</w:t>
      </w:r>
    </w:p>
    <w:p w:rsidR="00533DAA" w:rsidRPr="008F119A" w:rsidRDefault="00533DAA" w:rsidP="008F119A">
      <w:pPr>
        <w:pStyle w:val="NormalWeb"/>
        <w:spacing w:line="360" w:lineRule="auto"/>
        <w:jc w:val="both"/>
        <w:rPr>
          <w:rFonts w:ascii="Arial" w:hAnsi="Arial" w:cs="Arial"/>
          <w:b/>
        </w:rPr>
      </w:pPr>
      <w:r w:rsidRPr="008F119A">
        <w:rPr>
          <w:rFonts w:ascii="Arial" w:hAnsi="Arial" w:cs="Arial"/>
          <w:b/>
        </w:rPr>
        <w:t xml:space="preserve"> Conclusion</w:t>
      </w:r>
    </w:p>
    <w:p w:rsidR="00533DAA" w:rsidRPr="008F119A" w:rsidRDefault="00533DAA" w:rsidP="008F119A">
      <w:pPr>
        <w:pStyle w:val="NormalWeb"/>
        <w:spacing w:line="360" w:lineRule="auto"/>
        <w:jc w:val="both"/>
        <w:rPr>
          <w:rFonts w:ascii="Arial" w:hAnsi="Arial" w:cs="Arial"/>
        </w:rPr>
      </w:pPr>
      <w:r w:rsidRPr="008F119A">
        <w:rPr>
          <w:rFonts w:ascii="Arial" w:hAnsi="Arial" w:cs="Arial"/>
        </w:rPr>
        <w:t>The Home Depot's track record underscores its focus on high-control equity investments, and Mexico is a good case in point for how acquisition can facilitate integration and long-term growth. But the UAE needs to be more careful in application of the experience. The risks of immediate full ownership are unnecessary as property costs are high and there is institutional distance and uncertainty about the transferability. In a phased joint venture, the best strategic fit is achieved because it allows The Home Depot to transfer its capabilities to the local market, provides local experts with the knowledge and know-how, and offers flexibility and a pathway to higher ownership.</w:t>
      </w:r>
    </w:p>
    <w:p w:rsidR="00533DAA" w:rsidRPr="008F119A" w:rsidRDefault="00533DAA" w:rsidP="008F119A">
      <w:pPr>
        <w:spacing w:line="360" w:lineRule="auto"/>
        <w:jc w:val="both"/>
        <w:rPr>
          <w:rFonts w:ascii="Arial" w:hAnsi="Arial" w:cs="Arial"/>
          <w:sz w:val="24"/>
          <w:szCs w:val="24"/>
        </w:rPr>
      </w:pP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p>
    <w:p w:rsidR="00FA323E" w:rsidRPr="008F119A" w:rsidRDefault="00FA323E" w:rsidP="008F119A">
      <w:pPr>
        <w:spacing w:before="100" w:beforeAutospacing="1" w:after="240" w:line="360" w:lineRule="auto"/>
        <w:jc w:val="both"/>
        <w:outlineLvl w:val="0"/>
        <w:rPr>
          <w:rFonts w:ascii="Arial" w:eastAsia="Times New Roman" w:hAnsi="Arial" w:cs="Arial"/>
          <w:b/>
          <w:bCs/>
          <w:kern w:val="36"/>
          <w:sz w:val="24"/>
          <w:szCs w:val="24"/>
          <w:lang w:eastAsia="en-GB"/>
        </w:rPr>
      </w:pPr>
      <w:bookmarkStart w:id="13" w:name="_Toc237568127"/>
      <w:r w:rsidRPr="008F119A">
        <w:rPr>
          <w:rFonts w:ascii="Arial" w:eastAsia="Times New Roman" w:hAnsi="Arial" w:cs="Arial"/>
          <w:b/>
          <w:bCs/>
          <w:kern w:val="36"/>
          <w:sz w:val="24"/>
          <w:szCs w:val="24"/>
          <w:lang w:eastAsia="en-GB"/>
        </w:rPr>
        <w:t>SECTION 2</w:t>
      </w:r>
      <w:bookmarkEnd w:id="13"/>
    </w:p>
    <w:p w:rsidR="00FA323E" w:rsidRPr="008F119A" w:rsidRDefault="00FA323E" w:rsidP="008F119A">
      <w:pPr>
        <w:pStyle w:val="Heading1"/>
        <w:spacing w:line="360" w:lineRule="auto"/>
        <w:rPr>
          <w:rFonts w:ascii="Arial" w:eastAsia="Times New Roman" w:hAnsi="Arial" w:cs="Arial"/>
          <w:sz w:val="24"/>
          <w:szCs w:val="24"/>
          <w:lang w:eastAsia="en-GB"/>
        </w:rPr>
      </w:pPr>
      <w:bookmarkStart w:id="14" w:name="_Toc237568128"/>
      <w:r w:rsidRPr="008F119A">
        <w:rPr>
          <w:rFonts w:ascii="Arial" w:eastAsia="Times New Roman" w:hAnsi="Arial" w:cs="Arial"/>
          <w:color w:val="auto"/>
          <w:sz w:val="24"/>
          <w:szCs w:val="24"/>
          <w:lang w:eastAsia="en-GB"/>
        </w:rPr>
        <w:t>5. Reflective Account</w:t>
      </w:r>
      <w:r w:rsidR="00F27F05" w:rsidRPr="008F119A">
        <w:rPr>
          <w:rFonts w:ascii="Arial" w:eastAsia="Times New Roman" w:hAnsi="Arial" w:cs="Arial"/>
          <w:color w:val="auto"/>
          <w:sz w:val="24"/>
          <w:szCs w:val="24"/>
          <w:lang w:eastAsia="en-GB"/>
        </w:rPr>
        <w:t xml:space="preserve"> (Gibbs' Reflective Cycle)</w:t>
      </w:r>
      <w:bookmarkEnd w:id="14"/>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This reflective writing is a reflection using Gibbs' Reflective Cycle to assess the evolution of my research process, the theories that I developed and my analytical judgement throughout my international market entry assessment.</w:t>
      </w:r>
    </w:p>
    <w:p w:rsidR="00F27F05" w:rsidRPr="008F119A" w:rsidRDefault="00F27F05" w:rsidP="008F119A">
      <w:pPr>
        <w:spacing w:before="100" w:beforeAutospacing="1" w:after="240" w:line="360" w:lineRule="auto"/>
        <w:jc w:val="center"/>
        <w:rPr>
          <w:rFonts w:ascii="Arial" w:eastAsia="Times New Roman" w:hAnsi="Arial" w:cs="Arial"/>
          <w:sz w:val="24"/>
          <w:szCs w:val="24"/>
          <w:lang w:eastAsia="en-GB"/>
        </w:rPr>
      </w:pPr>
      <w:r w:rsidRPr="008F119A">
        <w:rPr>
          <w:rFonts w:ascii="Arial" w:hAnsi="Arial" w:cs="Arial"/>
          <w:noProof/>
          <w:sz w:val="24"/>
          <w:szCs w:val="24"/>
          <w:lang w:eastAsia="en-GB"/>
        </w:rPr>
        <w:drawing>
          <wp:inline distT="0" distB="0" distL="0" distR="0" wp14:anchorId="2CE0F1E2" wp14:editId="4CAC2984">
            <wp:extent cx="2705100" cy="2705100"/>
            <wp:effectExtent l="0" t="0" r="0" b="0"/>
            <wp:docPr id="8" name="Picture 8"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ibbs Reflective Cycle - Free Template Download &amp; Guid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02406" cy="2702406"/>
                    </a:xfrm>
                    <a:prstGeom prst="rect">
                      <a:avLst/>
                    </a:prstGeom>
                    <a:noFill/>
                    <a:ln>
                      <a:noFill/>
                    </a:ln>
                  </pic:spPr>
                </pic:pic>
              </a:graphicData>
            </a:graphic>
          </wp:inline>
        </w:drawing>
      </w:r>
    </w:p>
    <w:p w:rsidR="00F27F05" w:rsidRPr="008F119A" w:rsidRDefault="00F27F05" w:rsidP="008F119A">
      <w:pPr>
        <w:spacing w:before="100" w:beforeAutospacing="1" w:after="240" w:line="360" w:lineRule="auto"/>
        <w:jc w:val="center"/>
        <w:rPr>
          <w:rFonts w:ascii="Arial" w:eastAsia="Times New Roman" w:hAnsi="Arial" w:cs="Arial"/>
          <w:i/>
          <w:sz w:val="24"/>
          <w:szCs w:val="24"/>
          <w:lang w:eastAsia="en-GB"/>
        </w:rPr>
      </w:pPr>
      <w:r w:rsidRPr="008F119A">
        <w:rPr>
          <w:rFonts w:ascii="Arial" w:eastAsia="Times New Roman" w:hAnsi="Arial" w:cs="Arial"/>
          <w:i/>
          <w:sz w:val="24"/>
          <w:szCs w:val="24"/>
          <w:lang w:eastAsia="en-GB"/>
        </w:rPr>
        <w:t xml:space="preserve">Figure </w:t>
      </w:r>
      <w:r w:rsidR="008F119A" w:rsidRPr="008F119A">
        <w:rPr>
          <w:rFonts w:ascii="Arial" w:eastAsia="Times New Roman" w:hAnsi="Arial" w:cs="Arial"/>
          <w:i/>
          <w:sz w:val="24"/>
          <w:szCs w:val="24"/>
          <w:lang w:eastAsia="en-GB"/>
        </w:rPr>
        <w:t>4</w:t>
      </w:r>
      <w:r w:rsidRPr="008F119A">
        <w:rPr>
          <w:rFonts w:ascii="Arial" w:eastAsia="Times New Roman" w:hAnsi="Arial" w:cs="Arial"/>
          <w:i/>
          <w:sz w:val="24"/>
          <w:szCs w:val="24"/>
          <w:lang w:eastAsia="en-GB"/>
        </w:rPr>
        <w:t>:</w:t>
      </w:r>
      <w:r w:rsidRPr="008F119A">
        <w:rPr>
          <w:rFonts w:ascii="Arial" w:hAnsi="Arial" w:cs="Arial"/>
          <w:i/>
          <w:sz w:val="24"/>
          <w:szCs w:val="24"/>
        </w:rPr>
        <w:t xml:space="preserve"> </w:t>
      </w:r>
      <w:r w:rsidRPr="008F119A">
        <w:rPr>
          <w:rFonts w:ascii="Arial" w:eastAsia="Times New Roman" w:hAnsi="Arial" w:cs="Arial"/>
          <w:i/>
          <w:sz w:val="24"/>
          <w:szCs w:val="24"/>
          <w:lang w:eastAsia="en-GB"/>
        </w:rPr>
        <w:t>Gibbs' Reflective Cycle</w:t>
      </w:r>
      <w:r w:rsidRPr="008F119A">
        <w:rPr>
          <w:rFonts w:ascii="Arial" w:hAnsi="Arial" w:cs="Arial"/>
          <w:i/>
          <w:sz w:val="24"/>
          <w:szCs w:val="24"/>
        </w:rPr>
        <w:t xml:space="preserve"> </w:t>
      </w:r>
      <w:r w:rsidRPr="008F119A">
        <w:rPr>
          <w:rFonts w:ascii="Arial" w:eastAsia="Times New Roman" w:hAnsi="Arial" w:cs="Arial"/>
          <w:i/>
          <w:sz w:val="24"/>
          <w:szCs w:val="24"/>
          <w:lang w:eastAsia="en-GB"/>
        </w:rPr>
        <w:t>(</w:t>
      </w:r>
      <w:proofErr w:type="spellStart"/>
      <w:r w:rsidRPr="008F119A">
        <w:rPr>
          <w:rFonts w:ascii="Arial" w:eastAsia="Times New Roman" w:hAnsi="Arial" w:cs="Arial"/>
          <w:i/>
          <w:sz w:val="24"/>
          <w:szCs w:val="24"/>
          <w:lang w:eastAsia="en-GB"/>
        </w:rPr>
        <w:t>Channell</w:t>
      </w:r>
      <w:proofErr w:type="spellEnd"/>
      <w:r w:rsidRPr="008F119A">
        <w:rPr>
          <w:rFonts w:ascii="Arial" w:eastAsia="Times New Roman" w:hAnsi="Arial" w:cs="Arial"/>
          <w:i/>
          <w:sz w:val="24"/>
          <w:szCs w:val="24"/>
          <w:lang w:eastAsia="en-GB"/>
        </w:rPr>
        <w:t>, 2023)</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Description </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This assignment was based on an evaluation of the possibility of an established multinational entering a new international market successfully. I chose The Home Depot because the business is still primarily based in North America, whilst the UAE was a locale of non-oil growth, property development and growing foreign investments. The sources used for my research were corporate reports, UAE government publications, international institutional data, academic publications and commercial marketplace evidence. I used the Bartlett and </w:t>
      </w:r>
      <w:proofErr w:type="spellStart"/>
      <w:r w:rsidRPr="008F119A">
        <w:rPr>
          <w:rFonts w:ascii="Arial" w:eastAsia="Times New Roman" w:hAnsi="Arial" w:cs="Arial"/>
          <w:sz w:val="24"/>
          <w:szCs w:val="24"/>
          <w:lang w:eastAsia="en-GB"/>
        </w:rPr>
        <w:t>Ghoshal's</w:t>
      </w:r>
      <w:proofErr w:type="spellEnd"/>
      <w:r w:rsidRPr="008F119A">
        <w:rPr>
          <w:rFonts w:ascii="Arial" w:eastAsia="Times New Roman" w:hAnsi="Arial" w:cs="Arial"/>
          <w:sz w:val="24"/>
          <w:szCs w:val="24"/>
          <w:lang w:eastAsia="en-GB"/>
        </w:rPr>
        <w:t xml:space="preserve"> framework, Dunning's OLI paradigm and entry mode analysis to link capabilities of the firm with the host country conditions (</w:t>
      </w:r>
      <w:proofErr w:type="spellStart"/>
      <w:r w:rsidRPr="008F119A">
        <w:rPr>
          <w:rFonts w:ascii="Arial" w:eastAsia="Times New Roman" w:hAnsi="Arial" w:cs="Arial"/>
          <w:sz w:val="24"/>
          <w:szCs w:val="24"/>
          <w:lang w:eastAsia="en-GB"/>
        </w:rPr>
        <w:t>Peng</w:t>
      </w:r>
      <w:proofErr w:type="spellEnd"/>
      <w:r w:rsidRPr="008F119A">
        <w:rPr>
          <w:rFonts w:ascii="Arial" w:eastAsia="Times New Roman" w:hAnsi="Arial" w:cs="Arial"/>
          <w:sz w:val="24"/>
          <w:szCs w:val="24"/>
          <w:lang w:eastAsia="en-GB"/>
        </w:rPr>
        <w:t xml:space="preserve"> and Meyer, 2023).</w:t>
      </w:r>
    </w:p>
    <w:p w:rsidR="00F27F05" w:rsidRPr="008F119A" w:rsidRDefault="00F27F05" w:rsidP="008F119A">
      <w:pPr>
        <w:spacing w:before="100" w:beforeAutospacing="1" w:after="240" w:line="360" w:lineRule="auto"/>
        <w:jc w:val="both"/>
        <w:rPr>
          <w:rFonts w:ascii="Arial" w:eastAsia="Times New Roman" w:hAnsi="Arial" w:cs="Arial"/>
          <w:sz w:val="24"/>
          <w:szCs w:val="24"/>
          <w:lang w:eastAsia="en-GB"/>
        </w:rPr>
      </w:pP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 Feelings </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The UAE at </w:t>
      </w:r>
      <w:r w:rsidR="008F119A" w:rsidRPr="008F119A">
        <w:rPr>
          <w:rFonts w:ascii="Arial" w:eastAsia="Times New Roman" w:hAnsi="Arial" w:cs="Arial"/>
          <w:sz w:val="24"/>
          <w:szCs w:val="24"/>
          <w:lang w:eastAsia="en-GB"/>
        </w:rPr>
        <w:t>first</w:t>
      </w:r>
      <w:r w:rsidRPr="008F119A">
        <w:rPr>
          <w:rFonts w:ascii="Arial" w:eastAsia="Times New Roman" w:hAnsi="Arial" w:cs="Arial"/>
          <w:sz w:val="24"/>
          <w:szCs w:val="24"/>
          <w:lang w:eastAsia="en-GB"/>
        </w:rPr>
        <w:t xml:space="preserve"> was perceived as a fairly simple expansion as a result of buying power, infrastructure and investment friendly environment. I also took it upon myself that it would be a good idea to transfer the size, brand and operation of Home Depot. But the study called into question those beliefs. I realised that the laws granting full foreign ownership do not automatically make wholly owned entry better: skills acquired in North America may need to be adapted a great deal. My point of view then changed from market optimist to more of an assessment of strategic alignment.</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Evaluation </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There are a number of elements of the research that were effective. Home Depot's corporate documents helped me understand how it operates, its international reach and resources, and the UAE government and institutional sources offered more solid evidence on the regulations, economic environment and investment policy. The academic literature allowed me to make interpretations of the evidence, rather than just descriptions. The use of triangulation proved very useful since the various sources coming from the corporations, government and commercial backgrounds had a different point of view.</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The biggest hurdle was data from home-improvement retail that is specific to the UAE. Construction and real estate growth was a potential source of demand, though it could not be considered direct sales for Home Depot. Measurement of cultural fit was also challenging as a question of making assumptions about DIY behaviour, which could not be supported. When comparing entry modes, the control, flexibility,</w:t>
      </w:r>
      <w:r w:rsidR="008F119A" w:rsidRPr="008F119A">
        <w:rPr>
          <w:rFonts w:ascii="Arial" w:eastAsia="Times New Roman" w:hAnsi="Arial" w:cs="Arial"/>
          <w:sz w:val="24"/>
          <w:szCs w:val="24"/>
          <w:lang w:eastAsia="en-GB"/>
        </w:rPr>
        <w:t xml:space="preserve"> local knowledge and </w:t>
      </w:r>
      <w:proofErr w:type="gramStart"/>
      <w:r w:rsidR="008F119A" w:rsidRPr="008F119A">
        <w:rPr>
          <w:rFonts w:ascii="Arial" w:eastAsia="Times New Roman" w:hAnsi="Arial" w:cs="Arial"/>
          <w:sz w:val="24"/>
          <w:szCs w:val="24"/>
          <w:lang w:eastAsia="en-GB"/>
        </w:rPr>
        <w:t xml:space="preserve">exposure </w:t>
      </w:r>
      <w:r w:rsidRPr="008F119A">
        <w:rPr>
          <w:rFonts w:ascii="Arial" w:eastAsia="Times New Roman" w:hAnsi="Arial" w:cs="Arial"/>
          <w:sz w:val="24"/>
          <w:szCs w:val="24"/>
          <w:lang w:eastAsia="en-GB"/>
        </w:rPr>
        <w:t xml:space="preserve"> were</w:t>
      </w:r>
      <w:proofErr w:type="gramEnd"/>
      <w:r w:rsidRPr="008F119A">
        <w:rPr>
          <w:rFonts w:ascii="Arial" w:eastAsia="Times New Roman" w:hAnsi="Arial" w:cs="Arial"/>
          <w:sz w:val="24"/>
          <w:szCs w:val="24"/>
          <w:lang w:eastAsia="en-GB"/>
        </w:rPr>
        <w:t xml:space="preserve"> balanced</w:t>
      </w:r>
      <w:r w:rsidR="008F119A" w:rsidRPr="008F119A">
        <w:rPr>
          <w:rFonts w:ascii="Arial" w:eastAsia="Times New Roman" w:hAnsi="Arial" w:cs="Arial"/>
          <w:sz w:val="24"/>
          <w:szCs w:val="24"/>
          <w:lang w:eastAsia="en-GB"/>
        </w:rPr>
        <w:t xml:space="preserve"> (Zhang et al., 2023)</w:t>
      </w:r>
      <w:r w:rsidRPr="008F119A">
        <w:rPr>
          <w:rFonts w:ascii="Arial" w:eastAsia="Times New Roman" w:hAnsi="Arial" w:cs="Arial"/>
          <w:sz w:val="24"/>
          <w:szCs w:val="24"/>
          <w:lang w:eastAsia="en-GB"/>
        </w:rPr>
        <w:t>.</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Analysis </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The critical learning was the shift from description of country analyses to strategic evaluations. The Bartlett and </w:t>
      </w:r>
      <w:proofErr w:type="spellStart"/>
      <w:r w:rsidRPr="008F119A">
        <w:rPr>
          <w:rFonts w:ascii="Arial" w:eastAsia="Times New Roman" w:hAnsi="Arial" w:cs="Arial"/>
          <w:sz w:val="24"/>
          <w:szCs w:val="24"/>
          <w:lang w:eastAsia="en-GB"/>
        </w:rPr>
        <w:t>Ghoshal</w:t>
      </w:r>
      <w:proofErr w:type="spellEnd"/>
      <w:r w:rsidRPr="008F119A">
        <w:rPr>
          <w:rFonts w:ascii="Arial" w:eastAsia="Times New Roman" w:hAnsi="Arial" w:cs="Arial"/>
          <w:sz w:val="24"/>
          <w:szCs w:val="24"/>
          <w:lang w:eastAsia="en-GB"/>
        </w:rPr>
        <w:t xml:space="preserve"> model showed that a balance between international integration and local responsiveness is necessary when developing an international strategy. While Home Depot has the potential to adapt the customer service, product mix and market positioning, procurement scale, supply-chain expertise and digital systems will be able to be transferred. So I learned that there must be a different value of strong global capabilities in different international markets.</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This idea was expanded upon by Dunning's OLI. I used to think that there was a strong rationalization for FDI for an attractive market. There is now </w:t>
      </w:r>
      <w:proofErr w:type="gramStart"/>
      <w:r w:rsidRPr="008F119A">
        <w:rPr>
          <w:rFonts w:ascii="Arial" w:eastAsia="Times New Roman" w:hAnsi="Arial" w:cs="Arial"/>
          <w:sz w:val="24"/>
          <w:szCs w:val="24"/>
          <w:lang w:eastAsia="en-GB"/>
        </w:rPr>
        <w:t>a clarity</w:t>
      </w:r>
      <w:proofErr w:type="gramEnd"/>
      <w:r w:rsidRPr="008F119A">
        <w:rPr>
          <w:rFonts w:ascii="Arial" w:eastAsia="Times New Roman" w:hAnsi="Arial" w:cs="Arial"/>
          <w:sz w:val="24"/>
          <w:szCs w:val="24"/>
          <w:lang w:eastAsia="en-GB"/>
        </w:rPr>
        <w:t xml:space="preserve"> for me that location is only a condition. Ownership advantages should be transferable and internalisation should generate a greater value than other options (partnerships). This prompted me to consider whether the benefits of being an '</w:t>
      </w:r>
      <w:proofErr w:type="spellStart"/>
      <w:r w:rsidRPr="008F119A">
        <w:rPr>
          <w:rFonts w:ascii="Arial" w:eastAsia="Times New Roman" w:hAnsi="Arial" w:cs="Arial"/>
          <w:sz w:val="24"/>
          <w:szCs w:val="24"/>
          <w:lang w:eastAsia="en-GB"/>
        </w:rPr>
        <w:t>oighty</w:t>
      </w:r>
      <w:proofErr w:type="spellEnd"/>
      <w:r w:rsidRPr="008F119A">
        <w:rPr>
          <w:rFonts w:ascii="Arial" w:eastAsia="Times New Roman" w:hAnsi="Arial" w:cs="Arial"/>
          <w:sz w:val="24"/>
          <w:szCs w:val="24"/>
          <w:lang w:eastAsia="en-GB"/>
        </w:rPr>
        <w:t xml:space="preserve">' outweighed the costs of being foreign in the UAE, not just that it is ‘financial and operational strong' (Beamish and </w:t>
      </w:r>
      <w:proofErr w:type="spellStart"/>
      <w:r w:rsidRPr="008F119A">
        <w:rPr>
          <w:rFonts w:ascii="Arial" w:eastAsia="Times New Roman" w:hAnsi="Arial" w:cs="Arial"/>
          <w:sz w:val="24"/>
          <w:szCs w:val="24"/>
          <w:lang w:eastAsia="en-GB"/>
        </w:rPr>
        <w:t>Chakravarty</w:t>
      </w:r>
      <w:proofErr w:type="spellEnd"/>
      <w:r w:rsidRPr="008F119A">
        <w:rPr>
          <w:rFonts w:ascii="Arial" w:eastAsia="Times New Roman" w:hAnsi="Arial" w:cs="Arial"/>
          <w:sz w:val="24"/>
          <w:szCs w:val="24"/>
          <w:lang w:eastAsia="en-GB"/>
        </w:rPr>
        <w:t>, 2021).</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 xml:space="preserve">Entry-mode analysis also helped me to rethink my grasp of control. First, I thought that higher levels of ownership would be better as they would convey greater strategic control and brand integrity. But, more control equals more financial and operational risk. </w:t>
      </w:r>
      <w:proofErr w:type="gramStart"/>
      <w:r w:rsidRPr="008F119A">
        <w:rPr>
          <w:rFonts w:ascii="Arial" w:eastAsia="Times New Roman" w:hAnsi="Arial" w:cs="Arial"/>
          <w:sz w:val="24"/>
          <w:szCs w:val="24"/>
          <w:lang w:eastAsia="en-GB"/>
        </w:rPr>
        <w:t>Loss of autonomy, but gain of institutional knowledge, property networks and market awareness from local partner.</w:t>
      </w:r>
      <w:proofErr w:type="gramEnd"/>
      <w:r w:rsidRPr="008F119A">
        <w:rPr>
          <w:rFonts w:ascii="Arial" w:eastAsia="Times New Roman" w:hAnsi="Arial" w:cs="Arial"/>
          <w:sz w:val="24"/>
          <w:szCs w:val="24"/>
          <w:lang w:eastAsia="en-GB"/>
        </w:rPr>
        <w:t xml:space="preserve"> Distance of institutions may thus have an impact on the effectiveness of multinational companies in their deployments abroad (Donnelly et al., 2024).</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This research process also helped to build my academic judgement. I became more careful with the credibility of the source, conflicting evidence and the difference between corporate and independent evidence. More than anything else, I learned how to write a specific discussion about the meaning of each piece of evidence for Home Depot and not a descriptive PEST style discussion.</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 Conclusion </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In general, the assignment has helped me to have an understanding of internationalisation beyond growth of market to alignment. My view was that fast-growing and prosperous economies were always good opportunities for multinational companies. I now see that internationalisation requires alignment between the capabilities of the firm, institutions in the host countries, culture, internalisation benefits and risk associated with the entry-mode. While the UAE could be a lucrative business opportunity, Home Depot's success would rely on the ability to transfer, adapt and manage its current capabilities.</w:t>
      </w:r>
    </w:p>
    <w:p w:rsidR="00FA323E" w:rsidRPr="008F119A" w:rsidRDefault="00FA323E" w:rsidP="008F119A">
      <w:pPr>
        <w:spacing w:before="100" w:beforeAutospacing="1" w:after="240" w:line="360" w:lineRule="auto"/>
        <w:jc w:val="both"/>
        <w:rPr>
          <w:rFonts w:ascii="Arial" w:eastAsia="Times New Roman" w:hAnsi="Arial" w:cs="Arial"/>
          <w:b/>
          <w:sz w:val="24"/>
          <w:szCs w:val="24"/>
          <w:lang w:eastAsia="en-GB"/>
        </w:rPr>
      </w:pPr>
      <w:r w:rsidRPr="008F119A">
        <w:rPr>
          <w:rFonts w:ascii="Arial" w:eastAsia="Times New Roman" w:hAnsi="Arial" w:cs="Arial"/>
          <w:b/>
          <w:sz w:val="24"/>
          <w:szCs w:val="24"/>
          <w:lang w:eastAsia="en-GB"/>
        </w:rPr>
        <w:t xml:space="preserve">Action Plan </w:t>
      </w:r>
    </w:p>
    <w:p w:rsidR="00FA323E" w:rsidRPr="008F119A" w:rsidRDefault="00FA323E" w:rsidP="008F119A">
      <w:pPr>
        <w:spacing w:before="100" w:beforeAutospacing="1" w:after="240" w:line="360" w:lineRule="auto"/>
        <w:jc w:val="both"/>
        <w:rPr>
          <w:rFonts w:ascii="Arial" w:eastAsia="Times New Roman" w:hAnsi="Arial" w:cs="Arial"/>
          <w:sz w:val="24"/>
          <w:szCs w:val="24"/>
          <w:lang w:eastAsia="en-GB"/>
        </w:rPr>
      </w:pPr>
      <w:r w:rsidRPr="008F119A">
        <w:rPr>
          <w:rFonts w:ascii="Arial" w:eastAsia="Times New Roman" w:hAnsi="Arial" w:cs="Arial"/>
          <w:sz w:val="24"/>
          <w:szCs w:val="24"/>
          <w:lang w:eastAsia="en-GB"/>
        </w:rPr>
        <w:t>In future international-business research I would start earlier, and would develop an evidence matrix that would connect each source to a theoretical concept, analytical question and counterargument. Instead, I would make sure to use official and primary evidence for statistics and triangulate commercial evidence prior to using it in recommendation. I would also set up standards for evaluating the entry mode with the parameters of control, capital commitment, flexibility, institutional distance and operational risk before determining which mode is most powerful. Lastly, I would blend theory and evidence from the outset, rather than afterwards. This should help to limit descriptive writing, reduce confirmation bias and make more coherent, transparent and evidence-based strategic recommendations.</w:t>
      </w:r>
    </w:p>
    <w:p w:rsidR="00FA323E" w:rsidRPr="008F119A" w:rsidRDefault="00A27333" w:rsidP="008F119A">
      <w:pPr>
        <w:pStyle w:val="Heading1"/>
        <w:spacing w:after="240" w:line="360" w:lineRule="auto"/>
        <w:rPr>
          <w:rFonts w:ascii="Arial" w:hAnsi="Arial" w:cs="Arial"/>
          <w:color w:val="auto"/>
          <w:sz w:val="24"/>
          <w:szCs w:val="24"/>
        </w:rPr>
      </w:pPr>
      <w:bookmarkStart w:id="15" w:name="_Toc237568129"/>
      <w:r>
        <w:rPr>
          <w:rFonts w:ascii="Arial" w:hAnsi="Arial" w:cs="Arial"/>
          <w:color w:val="auto"/>
          <w:sz w:val="24"/>
          <w:szCs w:val="24"/>
        </w:rPr>
        <w:t>6</w:t>
      </w:r>
      <w:r w:rsidR="00FA323E" w:rsidRPr="008F119A">
        <w:rPr>
          <w:rFonts w:ascii="Arial" w:hAnsi="Arial" w:cs="Arial"/>
          <w:color w:val="auto"/>
          <w:sz w:val="24"/>
          <w:szCs w:val="24"/>
        </w:rPr>
        <w:t>. Conclusion</w:t>
      </w:r>
      <w:bookmarkEnd w:id="15"/>
    </w:p>
    <w:p w:rsidR="00FA323E" w:rsidRPr="008F119A" w:rsidRDefault="00FA323E" w:rsidP="008F119A">
      <w:pPr>
        <w:spacing w:after="240" w:line="360" w:lineRule="auto"/>
        <w:jc w:val="both"/>
        <w:rPr>
          <w:rFonts w:ascii="Arial" w:hAnsi="Arial" w:cs="Arial"/>
          <w:sz w:val="24"/>
          <w:szCs w:val="24"/>
        </w:rPr>
      </w:pPr>
      <w:r w:rsidRPr="008F119A">
        <w:rPr>
          <w:rFonts w:ascii="Arial" w:hAnsi="Arial" w:cs="Arial"/>
          <w:sz w:val="24"/>
          <w:szCs w:val="24"/>
        </w:rPr>
        <w:t xml:space="preserve">The analysis suggests the UAE as a viable but limited international expansion option for Home Depot. Market attractiveness is boosted by strong non-oil growth, construction and property activity, investment openness, infrastructure and digital adoption, but market size is limited, operating costs are high, and import reliance is strong, creating risk. The home depot has some transferable ownership advantages in procurement, logistics, </w:t>
      </w:r>
      <w:proofErr w:type="spellStart"/>
      <w:r w:rsidRPr="008F119A">
        <w:rPr>
          <w:rFonts w:ascii="Arial" w:hAnsi="Arial" w:cs="Arial"/>
          <w:sz w:val="24"/>
          <w:szCs w:val="24"/>
        </w:rPr>
        <w:t>omnichannel</w:t>
      </w:r>
      <w:proofErr w:type="spellEnd"/>
      <w:r w:rsidRPr="008F119A">
        <w:rPr>
          <w:rFonts w:ascii="Arial" w:hAnsi="Arial" w:cs="Arial"/>
          <w:sz w:val="24"/>
          <w:szCs w:val="24"/>
        </w:rPr>
        <w:t xml:space="preserve"> systems and Pro expertise, which do need to be adapted locally. The evidence thus indicates a phased joint-venture or strategic partnership entry, starting with Dubai and then expanding nationwide, as opposed to a straight shot for a full-blown nation-wide entry. The best balance of control, flexibility, local knowledge, financial exposure and long-term value creation is this approach.</w:t>
      </w:r>
    </w:p>
    <w:p w:rsidR="00B45F1F" w:rsidRPr="008F119A" w:rsidRDefault="00B45F1F" w:rsidP="008F119A">
      <w:pPr>
        <w:spacing w:after="240" w:line="360" w:lineRule="auto"/>
        <w:jc w:val="both"/>
        <w:rPr>
          <w:rFonts w:ascii="Arial" w:hAnsi="Arial" w:cs="Arial"/>
          <w:sz w:val="24"/>
          <w:szCs w:val="24"/>
        </w:rPr>
      </w:pPr>
    </w:p>
    <w:p w:rsidR="00B45F1F" w:rsidRPr="008F119A" w:rsidRDefault="00B45F1F" w:rsidP="008F119A">
      <w:pPr>
        <w:spacing w:after="240" w:line="360" w:lineRule="auto"/>
        <w:jc w:val="both"/>
        <w:rPr>
          <w:rFonts w:ascii="Arial" w:hAnsi="Arial" w:cs="Arial"/>
          <w:sz w:val="24"/>
          <w:szCs w:val="24"/>
        </w:rPr>
      </w:pPr>
    </w:p>
    <w:p w:rsidR="00FA323E" w:rsidRPr="00FA323E" w:rsidRDefault="00A27333" w:rsidP="00EF5B28">
      <w:pPr>
        <w:pStyle w:val="Heading1"/>
        <w:spacing w:after="240" w:line="360" w:lineRule="auto"/>
        <w:rPr>
          <w:rFonts w:ascii="Arial" w:hAnsi="Arial" w:cs="Arial"/>
          <w:color w:val="auto"/>
          <w:sz w:val="24"/>
          <w:szCs w:val="24"/>
        </w:rPr>
      </w:pPr>
      <w:bookmarkStart w:id="16" w:name="_Toc237568130"/>
      <w:r>
        <w:rPr>
          <w:rFonts w:ascii="Arial" w:hAnsi="Arial" w:cs="Arial"/>
          <w:color w:val="auto"/>
          <w:sz w:val="24"/>
          <w:szCs w:val="24"/>
        </w:rPr>
        <w:t>7</w:t>
      </w:r>
      <w:r w:rsidR="00FA323E" w:rsidRPr="00FA323E">
        <w:rPr>
          <w:rFonts w:ascii="Arial" w:hAnsi="Arial" w:cs="Arial"/>
          <w:color w:val="auto"/>
          <w:sz w:val="24"/>
          <w:szCs w:val="24"/>
        </w:rPr>
        <w:t>. References</w:t>
      </w:r>
      <w:bookmarkEnd w:id="16"/>
    </w:p>
    <w:p w:rsidR="008F119A" w:rsidRPr="000103F1" w:rsidRDefault="008F119A" w:rsidP="008F119A">
      <w:pPr>
        <w:pStyle w:val="NormalWeb"/>
        <w:spacing w:before="0" w:beforeAutospacing="0" w:after="240" w:afterAutospacing="0" w:line="360" w:lineRule="auto"/>
        <w:jc w:val="both"/>
        <w:rPr>
          <w:rFonts w:ascii="Arial" w:hAnsi="Arial" w:cs="Arial"/>
        </w:rPr>
      </w:pPr>
      <w:proofErr w:type="spellStart"/>
      <w:r w:rsidRPr="000103F1">
        <w:rPr>
          <w:rFonts w:ascii="Arial" w:hAnsi="Arial" w:cs="Arial"/>
        </w:rPr>
        <w:t>Ailani</w:t>
      </w:r>
      <w:proofErr w:type="spellEnd"/>
      <w:r w:rsidRPr="000103F1">
        <w:rPr>
          <w:rFonts w:ascii="Arial" w:hAnsi="Arial" w:cs="Arial"/>
        </w:rPr>
        <w:t xml:space="preserve">, G. (2024). </w:t>
      </w:r>
      <w:proofErr w:type="gramStart"/>
      <w:r w:rsidRPr="000103F1">
        <w:rPr>
          <w:rFonts w:ascii="Arial" w:hAnsi="Arial" w:cs="Arial"/>
          <w:i/>
          <w:iCs/>
        </w:rPr>
        <w:t>Eclectic paradigm</w:t>
      </w:r>
      <w:r w:rsidRPr="000103F1">
        <w:rPr>
          <w:rFonts w:ascii="Arial" w:hAnsi="Arial" w:cs="Arial"/>
        </w:rPr>
        <w:t>.</w:t>
      </w:r>
      <w:proofErr w:type="gramEnd"/>
      <w:r w:rsidRPr="000103F1">
        <w:rPr>
          <w:rFonts w:ascii="Arial" w:hAnsi="Arial" w:cs="Arial"/>
        </w:rPr>
        <w:t xml:space="preserve"> [</w:t>
      </w:r>
      <w:proofErr w:type="gramStart"/>
      <w:r w:rsidRPr="000103F1">
        <w:rPr>
          <w:rFonts w:ascii="Arial" w:hAnsi="Arial" w:cs="Arial"/>
        </w:rPr>
        <w:t>online</w:t>
      </w:r>
      <w:proofErr w:type="gramEnd"/>
      <w:r w:rsidRPr="000103F1">
        <w:rPr>
          <w:rFonts w:ascii="Arial" w:hAnsi="Arial" w:cs="Arial"/>
        </w:rPr>
        <w:t xml:space="preserve">] </w:t>
      </w:r>
      <w:r w:rsidRPr="000103F1">
        <w:rPr>
          <w:rFonts w:ascii="Arial" w:hAnsi="Arial" w:cs="Arial"/>
          <w:i/>
          <w:iCs/>
        </w:rPr>
        <w:t>Wallstreetmojo.com</w:t>
      </w:r>
      <w:r w:rsidRPr="000103F1">
        <w:rPr>
          <w:rFonts w:ascii="Arial" w:hAnsi="Arial" w:cs="Arial"/>
        </w:rPr>
        <w:t xml:space="preserve">. </w:t>
      </w:r>
      <w:proofErr w:type="spellStart"/>
      <w:r w:rsidRPr="000103F1">
        <w:rPr>
          <w:rFonts w:ascii="Arial" w:hAnsi="Arial" w:cs="Arial"/>
        </w:rPr>
        <w:t>WallStreetMojo</w:t>
      </w:r>
      <w:proofErr w:type="spellEnd"/>
      <w:r w:rsidRPr="000103F1">
        <w:rPr>
          <w:rFonts w:ascii="Arial" w:hAnsi="Arial" w:cs="Arial"/>
        </w:rPr>
        <w:t xml:space="preserve">. Available at: https://www.wallstreetmojo.com/eclectic-paradigm/ (Accessed: </w:t>
      </w:r>
      <w:r w:rsidR="00E1791B">
        <w:rPr>
          <w:rFonts w:ascii="Arial" w:hAnsi="Arial" w:cs="Arial"/>
        </w:rPr>
        <w:t>9</w:t>
      </w:r>
      <w:r w:rsidRPr="000103F1">
        <w:rPr>
          <w:rFonts w:ascii="Arial" w:hAnsi="Arial" w:cs="Arial"/>
        </w:rPr>
        <w:t xml:space="preserve"> August 2026).</w:t>
      </w:r>
    </w:p>
    <w:p w:rsidR="008F119A" w:rsidRPr="000103F1" w:rsidRDefault="008F119A" w:rsidP="008F119A">
      <w:pPr>
        <w:spacing w:line="360" w:lineRule="auto"/>
        <w:jc w:val="both"/>
        <w:rPr>
          <w:rFonts w:ascii="Arial" w:hAnsi="Arial" w:cs="Arial"/>
          <w:sz w:val="24"/>
          <w:szCs w:val="24"/>
        </w:rPr>
      </w:pPr>
      <w:r w:rsidRPr="000103F1">
        <w:rPr>
          <w:rFonts w:ascii="Arial" w:hAnsi="Arial" w:cs="Arial"/>
          <w:sz w:val="24"/>
          <w:szCs w:val="24"/>
        </w:rPr>
        <w:t xml:space="preserve">Bartlett, C.A. and </w:t>
      </w:r>
      <w:proofErr w:type="spellStart"/>
      <w:r w:rsidRPr="000103F1">
        <w:rPr>
          <w:rFonts w:ascii="Arial" w:hAnsi="Arial" w:cs="Arial"/>
          <w:sz w:val="24"/>
          <w:szCs w:val="24"/>
        </w:rPr>
        <w:t>Ghoshal</w:t>
      </w:r>
      <w:proofErr w:type="spellEnd"/>
      <w:r w:rsidRPr="000103F1">
        <w:rPr>
          <w:rFonts w:ascii="Arial" w:hAnsi="Arial" w:cs="Arial"/>
          <w:sz w:val="24"/>
          <w:szCs w:val="24"/>
        </w:rPr>
        <w:t xml:space="preserve">, S. (1989) </w:t>
      </w:r>
      <w:r w:rsidRPr="000103F1">
        <w:rPr>
          <w:rStyle w:val="Emphasis"/>
          <w:rFonts w:ascii="Arial" w:hAnsi="Arial" w:cs="Arial"/>
          <w:sz w:val="24"/>
          <w:szCs w:val="24"/>
        </w:rPr>
        <w:t>Managing Across Borders: The Transnational Solution</w:t>
      </w:r>
      <w:r w:rsidRPr="000103F1">
        <w:rPr>
          <w:rFonts w:ascii="Arial" w:hAnsi="Arial" w:cs="Arial"/>
          <w:sz w:val="24"/>
          <w:szCs w:val="24"/>
        </w:rPr>
        <w:t>. Boston, MA: Harvard Business School Press.</w:t>
      </w:r>
    </w:p>
    <w:p w:rsidR="008F119A" w:rsidRPr="000103F1" w:rsidRDefault="008F119A" w:rsidP="008F119A">
      <w:pPr>
        <w:pStyle w:val="pdq2pgselectionanchorcontainer"/>
        <w:spacing w:line="360" w:lineRule="auto"/>
        <w:jc w:val="both"/>
        <w:rPr>
          <w:rFonts w:ascii="Arial" w:hAnsi="Arial" w:cs="Arial"/>
        </w:rPr>
      </w:pPr>
      <w:proofErr w:type="gramStart"/>
      <w:r w:rsidRPr="000103F1">
        <w:rPr>
          <w:rFonts w:ascii="Arial" w:hAnsi="Arial" w:cs="Arial"/>
        </w:rPr>
        <w:t xml:space="preserve">Beamish, P.W. and </w:t>
      </w:r>
      <w:proofErr w:type="spellStart"/>
      <w:r w:rsidRPr="000103F1">
        <w:rPr>
          <w:rFonts w:ascii="Arial" w:hAnsi="Arial" w:cs="Arial"/>
        </w:rPr>
        <w:t>Chakravarty</w:t>
      </w:r>
      <w:proofErr w:type="spellEnd"/>
      <w:r w:rsidRPr="000103F1">
        <w:rPr>
          <w:rFonts w:ascii="Arial" w:hAnsi="Arial" w:cs="Arial"/>
        </w:rPr>
        <w:t xml:space="preserve">, D. (2021) ‘Using the resource-based view in multinational enterprise research’, </w:t>
      </w:r>
      <w:r w:rsidRPr="000103F1">
        <w:rPr>
          <w:rStyle w:val="Emphasis"/>
          <w:rFonts w:ascii="Arial" w:eastAsiaTheme="majorEastAsia" w:hAnsi="Arial" w:cs="Arial"/>
        </w:rPr>
        <w:t>Journal of Management</w:t>
      </w:r>
      <w:r w:rsidRPr="000103F1">
        <w:rPr>
          <w:rFonts w:ascii="Arial" w:hAnsi="Arial" w:cs="Arial"/>
        </w:rPr>
        <w:t>, 47(7), pp. 1861–1877.</w:t>
      </w:r>
      <w:proofErr w:type="gramEnd"/>
      <w:r w:rsidRPr="000103F1">
        <w:rPr>
          <w:rFonts w:ascii="Arial" w:hAnsi="Arial" w:cs="Arial"/>
        </w:rPr>
        <w:t xml:space="preserve">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CBRE (2024) ‘UAE Retail and Industrial Market Review: Rising demand levels despite the limited availability of quality stock’, 27 May. Available at: </w:t>
      </w:r>
      <w:hyperlink r:id="rId20" w:tgtFrame="_new" w:history="1">
        <w:r w:rsidRPr="000103F1">
          <w:rPr>
            <w:rStyle w:val="Hyperlink"/>
            <w:rFonts w:ascii="Arial" w:hAnsi="Arial" w:cs="Arial"/>
          </w:rPr>
          <w:t>https://www.cbre.ae/press-releases/uae-retail-and-industrial-market-review-q1-2024</w:t>
        </w:r>
      </w:hyperlink>
      <w:r w:rsidR="00E1791B">
        <w:rPr>
          <w:rFonts w:ascii="Arial" w:hAnsi="Arial" w:cs="Arial"/>
        </w:rPr>
        <w:t xml:space="preserve"> (Accessed: 9</w:t>
      </w:r>
      <w:r w:rsidRPr="000103F1">
        <w:rPr>
          <w:rFonts w:ascii="Arial" w:hAnsi="Arial" w:cs="Arial"/>
        </w:rPr>
        <w:t xml:space="preserve"> August 2026). </w:t>
      </w:r>
    </w:p>
    <w:p w:rsidR="008F119A" w:rsidRPr="000103F1" w:rsidRDefault="008F119A" w:rsidP="008F119A">
      <w:pPr>
        <w:pStyle w:val="NormalWeb"/>
        <w:spacing w:before="0" w:beforeAutospacing="0" w:after="240" w:afterAutospacing="0" w:line="360" w:lineRule="auto"/>
        <w:jc w:val="both"/>
        <w:rPr>
          <w:rFonts w:ascii="Arial" w:hAnsi="Arial" w:cs="Arial"/>
        </w:rPr>
      </w:pPr>
      <w:proofErr w:type="spellStart"/>
      <w:proofErr w:type="gramStart"/>
      <w:r w:rsidRPr="000103F1">
        <w:rPr>
          <w:rFonts w:ascii="Arial" w:hAnsi="Arial" w:cs="Arial"/>
        </w:rPr>
        <w:t>Channell</w:t>
      </w:r>
      <w:proofErr w:type="spellEnd"/>
      <w:r w:rsidRPr="000103F1">
        <w:rPr>
          <w:rFonts w:ascii="Arial" w:hAnsi="Arial" w:cs="Arial"/>
        </w:rPr>
        <w:t>, M. (2023).</w:t>
      </w:r>
      <w:proofErr w:type="gramEnd"/>
      <w:r w:rsidRPr="000103F1">
        <w:rPr>
          <w:rFonts w:ascii="Arial" w:hAnsi="Arial" w:cs="Arial"/>
        </w:rPr>
        <w:t xml:space="preserve"> </w:t>
      </w:r>
      <w:proofErr w:type="gramStart"/>
      <w:r w:rsidRPr="000103F1">
        <w:rPr>
          <w:rFonts w:ascii="Arial" w:hAnsi="Arial" w:cs="Arial"/>
          <w:i/>
          <w:iCs/>
        </w:rPr>
        <w:t>Gibbs reflective cycle – A practical guide</w:t>
      </w:r>
      <w:r w:rsidRPr="000103F1">
        <w:rPr>
          <w:rFonts w:ascii="Arial" w:hAnsi="Arial" w:cs="Arial"/>
        </w:rPr>
        <w:t>.</w:t>
      </w:r>
      <w:proofErr w:type="gramEnd"/>
      <w:r w:rsidRPr="000103F1">
        <w:rPr>
          <w:rFonts w:ascii="Arial" w:hAnsi="Arial" w:cs="Arial"/>
        </w:rPr>
        <w:t xml:space="preserve"> [</w:t>
      </w:r>
      <w:proofErr w:type="gramStart"/>
      <w:r w:rsidRPr="000103F1">
        <w:rPr>
          <w:rFonts w:ascii="Arial" w:hAnsi="Arial" w:cs="Arial"/>
        </w:rPr>
        <w:t>online</w:t>
      </w:r>
      <w:proofErr w:type="gramEnd"/>
      <w:r w:rsidRPr="000103F1">
        <w:rPr>
          <w:rFonts w:ascii="Arial" w:hAnsi="Arial" w:cs="Arial"/>
        </w:rPr>
        <w:t xml:space="preserve">] </w:t>
      </w:r>
      <w:proofErr w:type="gramStart"/>
      <w:r w:rsidRPr="000103F1">
        <w:rPr>
          <w:rFonts w:ascii="Arial" w:hAnsi="Arial" w:cs="Arial"/>
          <w:i/>
          <w:iCs/>
        </w:rPr>
        <w:t>TSW Training</w:t>
      </w:r>
      <w:r w:rsidRPr="000103F1">
        <w:rPr>
          <w:rFonts w:ascii="Arial" w:hAnsi="Arial" w:cs="Arial"/>
        </w:rPr>
        <w:t>.</w:t>
      </w:r>
      <w:proofErr w:type="gramEnd"/>
      <w:r w:rsidRPr="000103F1">
        <w:rPr>
          <w:rFonts w:ascii="Arial" w:hAnsi="Arial" w:cs="Arial"/>
        </w:rPr>
        <w:t xml:space="preserve"> Available at: https://www.tsw.co.uk/insights/gibb</w:t>
      </w:r>
      <w:r w:rsidR="00E1791B">
        <w:rPr>
          <w:rFonts w:ascii="Arial" w:hAnsi="Arial" w:cs="Arial"/>
        </w:rPr>
        <w:t>s-reflective-cycle/ (Accessed: 9</w:t>
      </w:r>
      <w:r w:rsidRPr="000103F1">
        <w:rPr>
          <w:rFonts w:ascii="Arial" w:hAnsi="Arial" w:cs="Arial"/>
        </w:rPr>
        <w:t xml:space="preserve"> August 2026).</w:t>
      </w:r>
    </w:p>
    <w:p w:rsidR="008F119A" w:rsidRPr="000103F1" w:rsidRDefault="008F119A" w:rsidP="008F119A">
      <w:pPr>
        <w:pStyle w:val="NormalWeb"/>
        <w:spacing w:before="0" w:beforeAutospacing="0" w:after="240" w:afterAutospacing="0" w:line="360" w:lineRule="auto"/>
        <w:jc w:val="both"/>
        <w:rPr>
          <w:rFonts w:ascii="Arial" w:hAnsi="Arial" w:cs="Arial"/>
        </w:rPr>
      </w:pPr>
      <w:proofErr w:type="gramStart"/>
      <w:r w:rsidRPr="000103F1">
        <w:rPr>
          <w:rFonts w:ascii="Arial" w:hAnsi="Arial" w:cs="Arial"/>
        </w:rPr>
        <w:t xml:space="preserve">Donnelly, R., </w:t>
      </w:r>
      <w:proofErr w:type="spellStart"/>
      <w:r w:rsidRPr="000103F1">
        <w:rPr>
          <w:rFonts w:ascii="Arial" w:hAnsi="Arial" w:cs="Arial"/>
        </w:rPr>
        <w:t>Purkayastha</w:t>
      </w:r>
      <w:proofErr w:type="spellEnd"/>
      <w:r w:rsidRPr="000103F1">
        <w:rPr>
          <w:rFonts w:ascii="Arial" w:hAnsi="Arial" w:cs="Arial"/>
        </w:rPr>
        <w:t xml:space="preserve">, S., </w:t>
      </w:r>
      <w:proofErr w:type="spellStart"/>
      <w:r w:rsidRPr="000103F1">
        <w:rPr>
          <w:rFonts w:ascii="Arial" w:hAnsi="Arial" w:cs="Arial"/>
        </w:rPr>
        <w:t>Manolova</w:t>
      </w:r>
      <w:proofErr w:type="spellEnd"/>
      <w:r w:rsidRPr="000103F1">
        <w:rPr>
          <w:rFonts w:ascii="Arial" w:hAnsi="Arial" w:cs="Arial"/>
        </w:rPr>
        <w:t xml:space="preserve">, T.S. and Edelman, L.F. (2024) ‘Institutional distance, slack resources, and foreign market entry’, </w:t>
      </w:r>
      <w:r w:rsidRPr="000103F1">
        <w:rPr>
          <w:rStyle w:val="Emphasis"/>
          <w:rFonts w:ascii="Arial" w:eastAsiaTheme="majorEastAsia" w:hAnsi="Arial" w:cs="Arial"/>
        </w:rPr>
        <w:t>Journal of International Business Studies</w:t>
      </w:r>
      <w:r w:rsidRPr="000103F1">
        <w:rPr>
          <w:rFonts w:ascii="Arial" w:hAnsi="Arial" w:cs="Arial"/>
        </w:rPr>
        <w:t>, 55(2), pp. 194–211.</w:t>
      </w:r>
      <w:proofErr w:type="gramEnd"/>
      <w:r w:rsidRPr="000103F1">
        <w:rPr>
          <w:rFonts w:ascii="Arial" w:hAnsi="Arial" w:cs="Arial"/>
        </w:rPr>
        <w:t xml:space="preserve"> </w:t>
      </w:r>
    </w:p>
    <w:p w:rsidR="008F119A" w:rsidRPr="000103F1" w:rsidRDefault="008F119A" w:rsidP="008F119A">
      <w:pPr>
        <w:pStyle w:val="pdq2pgselectionanchorcontainer"/>
        <w:spacing w:line="360" w:lineRule="auto"/>
        <w:jc w:val="both"/>
        <w:rPr>
          <w:rFonts w:ascii="Arial" w:hAnsi="Arial" w:cs="Arial"/>
        </w:rPr>
      </w:pPr>
      <w:r w:rsidRPr="000103F1">
        <w:rPr>
          <w:rFonts w:ascii="Arial" w:hAnsi="Arial" w:cs="Arial"/>
        </w:rPr>
        <w:t xml:space="preserve">Dubai Customs (2025) ‘Frequently Asked Questions: Customs Duty’. Available at: </w:t>
      </w:r>
      <w:hyperlink r:id="rId21" w:tgtFrame="_new" w:history="1">
        <w:r w:rsidRPr="000103F1">
          <w:rPr>
            <w:rStyle w:val="Hyperlink"/>
            <w:rFonts w:ascii="Arial" w:eastAsiaTheme="majorEastAsia" w:hAnsi="Arial" w:cs="Arial"/>
          </w:rPr>
          <w:t>https://www.dubaicustoms.gov.ae/en/mobile/pages/faq.aspx</w:t>
        </w:r>
      </w:hyperlink>
      <w:r w:rsidR="00E1791B">
        <w:rPr>
          <w:rFonts w:ascii="Arial" w:hAnsi="Arial" w:cs="Arial"/>
        </w:rPr>
        <w:t xml:space="preserve"> (Accessed: 9</w:t>
      </w:r>
      <w:r w:rsidRPr="000103F1">
        <w:rPr>
          <w:rFonts w:ascii="Arial" w:hAnsi="Arial" w:cs="Arial"/>
        </w:rPr>
        <w:t xml:space="preserve">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Dubai Land Department (2022) ‘DLD: 2021 achieved exceptional results that will contribute to enabling the real estate sector’s journey towards the next 50 years’. Available at: </w:t>
      </w:r>
      <w:hyperlink r:id="rId22" w:tgtFrame="_new" w:history="1">
        <w:r w:rsidRPr="000103F1">
          <w:rPr>
            <w:rStyle w:val="Hyperlink"/>
            <w:rFonts w:ascii="Arial" w:eastAsiaTheme="majorEastAsia" w:hAnsi="Arial" w:cs="Arial"/>
          </w:rPr>
          <w:t>https://dubailand.gov.ae/en/news-media/dld-2021-achieved-exceptional-results-that-will-contribute-to-enabling-the-real-estate-sector-s-journey-towards-the-next-50-years/</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proofErr w:type="gramStart"/>
      <w:r w:rsidRPr="000103F1">
        <w:rPr>
          <w:rFonts w:ascii="Arial" w:hAnsi="Arial" w:cs="Arial"/>
        </w:rPr>
        <w:t>Dubai Land Department (2025) ‘Dubai’s real estate sector records AED761 billion in transactions in 2024’.</w:t>
      </w:r>
      <w:proofErr w:type="gramEnd"/>
      <w:r w:rsidRPr="000103F1">
        <w:rPr>
          <w:rFonts w:ascii="Arial" w:hAnsi="Arial" w:cs="Arial"/>
        </w:rPr>
        <w:t xml:space="preserve"> Available at: </w:t>
      </w:r>
      <w:hyperlink r:id="rId23" w:tgtFrame="_new" w:history="1">
        <w:r w:rsidRPr="000103F1">
          <w:rPr>
            <w:rStyle w:val="Hyperlink"/>
            <w:rFonts w:ascii="Arial" w:eastAsiaTheme="majorEastAsia" w:hAnsi="Arial" w:cs="Arial"/>
          </w:rPr>
          <w:t>https://dubailand.gov.ae/en/news-media/dubai-s-real-estate-sector-records-aed761-billion-in-transactions-in-2024</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Dubai South (2025) ‘UAE e-commerce market continues to grow, reaches AED32.3 billion in 2024’. Available at: </w:t>
      </w:r>
      <w:hyperlink r:id="rId24" w:tgtFrame="_new" w:history="1">
        <w:r w:rsidRPr="000103F1">
          <w:rPr>
            <w:rStyle w:val="Hyperlink"/>
            <w:rFonts w:ascii="Arial" w:eastAsiaTheme="majorEastAsia" w:hAnsi="Arial" w:cs="Arial"/>
          </w:rPr>
          <w:t>https://www.dubaisouth.ae/en/newsroom/ezdubai-uae-e-commerce-market-continues-to-grow-reaches-aed-323-billion-in-2024</w:t>
        </w:r>
      </w:hyperlink>
      <w:r w:rsidRPr="000103F1">
        <w:rPr>
          <w:rFonts w:ascii="Arial" w:hAnsi="Arial" w:cs="Arial"/>
        </w:rPr>
        <w:t xml:space="preserve"> (Accessed: 9 August 2026).</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Federal Competitiveness and Statistics Centre (FCSC) (2025) ‘UAE’s GDP reaches AED 1.776 trillion in 2024, with 4% growth’, 15 June. Available at: </w:t>
      </w:r>
      <w:hyperlink r:id="rId25" w:tgtFrame="_new" w:history="1">
        <w:r w:rsidRPr="000103F1">
          <w:rPr>
            <w:rStyle w:val="Hyperlink"/>
            <w:rFonts w:ascii="Arial" w:eastAsiaTheme="majorEastAsia" w:hAnsi="Arial" w:cs="Arial"/>
          </w:rPr>
          <w:t>https://fcsc.gov.ae/press-release/?e-page-1e9848e=23&amp;e-page-e8b0ff1=6</w:t>
        </w:r>
      </w:hyperlink>
      <w:r w:rsidRPr="000103F1">
        <w:rPr>
          <w:rFonts w:ascii="Arial" w:hAnsi="Arial" w:cs="Arial"/>
        </w:rPr>
        <w:t xml:space="preserve"> (Accessed: </w:t>
      </w:r>
      <w:r w:rsidR="00E1791B">
        <w:rPr>
          <w:rFonts w:ascii="Arial" w:hAnsi="Arial" w:cs="Arial"/>
        </w:rPr>
        <w:t>9</w:t>
      </w:r>
      <w:r w:rsidRPr="000103F1">
        <w:rPr>
          <w:rFonts w:ascii="Arial" w:hAnsi="Arial" w:cs="Arial"/>
        </w:rPr>
        <w:t xml:space="preserve"> August 2026).</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Federal Tax Authority (2024) ‘Corporate Tax: Frequently Asked Questions’. Available at: </w:t>
      </w:r>
      <w:hyperlink r:id="rId26" w:tgtFrame="_new" w:history="1">
        <w:r w:rsidRPr="000103F1">
          <w:rPr>
            <w:rStyle w:val="Hyperlink"/>
            <w:rFonts w:ascii="Arial" w:eastAsiaTheme="majorEastAsia" w:hAnsi="Arial" w:cs="Arial"/>
          </w:rPr>
          <w:t>https://tax.gov.ae/en/faq.aspx?keyword=If+a+business+has+earned+taxable+income+of+AED+1+million%2C+what+will+be+the+UAE+CT+amount+payable%3F</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Government of Dubai Media Office (2024) ‘Dubai Land Department marks strongest performance ever with 1.6 million transactions’. Available at: </w:t>
      </w:r>
      <w:hyperlink r:id="rId27" w:tgtFrame="_new" w:history="1">
        <w:r w:rsidRPr="000103F1">
          <w:rPr>
            <w:rStyle w:val="Hyperlink"/>
            <w:rFonts w:ascii="Arial" w:eastAsiaTheme="majorEastAsia" w:hAnsi="Arial" w:cs="Arial"/>
          </w:rPr>
          <w:t>https://mediaoffice.ae/en/news/2024/February/07-02/Dubai-Land-Department-marks-strongest-performance</w:t>
        </w:r>
      </w:hyperlink>
      <w:r w:rsidRPr="000103F1">
        <w:rPr>
          <w:rFonts w:ascii="Arial" w:hAnsi="Arial" w:cs="Arial"/>
        </w:rPr>
        <w:t xml:space="preserve"> (Accessed: 9 August 2026). </w:t>
      </w:r>
    </w:p>
    <w:p w:rsidR="008F119A" w:rsidRPr="000103F1" w:rsidRDefault="008F119A" w:rsidP="008F119A">
      <w:pPr>
        <w:pStyle w:val="pdq2pgselectionanchorcontainer"/>
        <w:spacing w:line="360" w:lineRule="auto"/>
        <w:jc w:val="both"/>
        <w:rPr>
          <w:rFonts w:ascii="Arial" w:hAnsi="Arial" w:cs="Arial"/>
        </w:rPr>
      </w:pPr>
      <w:r w:rsidRPr="000103F1">
        <w:rPr>
          <w:rFonts w:ascii="Arial" w:hAnsi="Arial" w:cs="Arial"/>
        </w:rPr>
        <w:t xml:space="preserve">Hill, C.W.L. (2023) </w:t>
      </w:r>
      <w:r w:rsidRPr="000103F1">
        <w:rPr>
          <w:rStyle w:val="Emphasis"/>
          <w:rFonts w:ascii="Arial" w:eastAsiaTheme="majorEastAsia" w:hAnsi="Arial" w:cs="Arial"/>
        </w:rPr>
        <w:t>International Business: Competing in the Global Marketplace</w:t>
      </w:r>
      <w:r w:rsidRPr="000103F1">
        <w:rPr>
          <w:rFonts w:ascii="Arial" w:hAnsi="Arial" w:cs="Arial"/>
        </w:rPr>
        <w:t xml:space="preserve">. </w:t>
      </w:r>
      <w:proofErr w:type="gramStart"/>
      <w:r w:rsidRPr="000103F1">
        <w:rPr>
          <w:rFonts w:ascii="Arial" w:hAnsi="Arial" w:cs="Arial"/>
        </w:rPr>
        <w:t xml:space="preserve">14th </w:t>
      </w:r>
      <w:proofErr w:type="spellStart"/>
      <w:r w:rsidRPr="000103F1">
        <w:rPr>
          <w:rFonts w:ascii="Arial" w:hAnsi="Arial" w:cs="Arial"/>
        </w:rPr>
        <w:t>edn</w:t>
      </w:r>
      <w:proofErr w:type="spellEnd"/>
      <w:r w:rsidRPr="000103F1">
        <w:rPr>
          <w:rFonts w:ascii="Arial" w:hAnsi="Arial" w:cs="Arial"/>
        </w:rPr>
        <w:t>.</w:t>
      </w:r>
      <w:proofErr w:type="gramEnd"/>
      <w:r w:rsidRPr="000103F1">
        <w:rPr>
          <w:rFonts w:ascii="Arial" w:hAnsi="Arial" w:cs="Arial"/>
        </w:rPr>
        <w:t xml:space="preserve"> New York: McGraw-Hill Education.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International Monetary Fund (IMF) (2024) </w:t>
      </w:r>
      <w:r w:rsidRPr="000103F1">
        <w:rPr>
          <w:rStyle w:val="Emphasis"/>
          <w:rFonts w:ascii="Arial" w:eastAsiaTheme="majorEastAsia" w:hAnsi="Arial" w:cs="Arial"/>
        </w:rPr>
        <w:t>United Arab Emirates: 2024 Article IV Consultation—Press Release and Staff Report</w:t>
      </w:r>
      <w:r w:rsidRPr="000103F1">
        <w:rPr>
          <w:rFonts w:ascii="Arial" w:hAnsi="Arial" w:cs="Arial"/>
        </w:rPr>
        <w:t xml:space="preserve">. IMF Staff Country Report No. 24/325. Washington, DC: International Monetary Fund. Available at: </w:t>
      </w:r>
      <w:hyperlink r:id="rId28" w:tgtFrame="_new" w:history="1">
        <w:r w:rsidRPr="000103F1">
          <w:rPr>
            <w:rStyle w:val="Hyperlink"/>
            <w:rFonts w:ascii="Arial" w:hAnsi="Arial" w:cs="Arial"/>
          </w:rPr>
          <w:t>https://www.imf.org/en/publications/cr/issues/2024/12/05/united-arab-emirates-2024-article-iv-consultation-press-release-and-staff-report-558835</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proofErr w:type="gramStart"/>
      <w:r w:rsidRPr="000103F1">
        <w:rPr>
          <w:rFonts w:ascii="Arial" w:hAnsi="Arial" w:cs="Arial"/>
        </w:rPr>
        <w:t xml:space="preserve">Ministry of Human Resources and </w:t>
      </w:r>
      <w:proofErr w:type="spellStart"/>
      <w:r w:rsidRPr="000103F1">
        <w:rPr>
          <w:rFonts w:ascii="Arial" w:hAnsi="Arial" w:cs="Arial"/>
        </w:rPr>
        <w:t>Emiratisation</w:t>
      </w:r>
      <w:proofErr w:type="spellEnd"/>
      <w:r w:rsidRPr="000103F1">
        <w:rPr>
          <w:rFonts w:ascii="Arial" w:hAnsi="Arial" w:cs="Arial"/>
        </w:rPr>
        <w:t xml:space="preserve"> (</w:t>
      </w:r>
      <w:proofErr w:type="spellStart"/>
      <w:r w:rsidRPr="000103F1">
        <w:rPr>
          <w:rFonts w:ascii="Arial" w:hAnsi="Arial" w:cs="Arial"/>
        </w:rPr>
        <w:t>MoHRE</w:t>
      </w:r>
      <w:proofErr w:type="spellEnd"/>
      <w:r w:rsidRPr="000103F1">
        <w:rPr>
          <w:rFonts w:ascii="Arial" w:hAnsi="Arial" w:cs="Arial"/>
        </w:rPr>
        <w:t>) (2025) ‘</w:t>
      </w:r>
      <w:proofErr w:type="spellStart"/>
      <w:r w:rsidRPr="000103F1">
        <w:rPr>
          <w:rFonts w:ascii="Arial" w:hAnsi="Arial" w:cs="Arial"/>
        </w:rPr>
        <w:t>Emiratisation</w:t>
      </w:r>
      <w:proofErr w:type="spellEnd"/>
      <w:r w:rsidRPr="000103F1">
        <w:rPr>
          <w:rFonts w:ascii="Arial" w:hAnsi="Arial" w:cs="Arial"/>
        </w:rPr>
        <w:t xml:space="preserve"> targets’.</w:t>
      </w:r>
      <w:proofErr w:type="gramEnd"/>
      <w:r w:rsidRPr="000103F1">
        <w:rPr>
          <w:rFonts w:ascii="Arial" w:hAnsi="Arial" w:cs="Arial"/>
        </w:rPr>
        <w:t xml:space="preserve"> Available at: </w:t>
      </w:r>
      <w:hyperlink r:id="rId29" w:tgtFrame="_new" w:history="1">
        <w:r w:rsidRPr="000103F1">
          <w:rPr>
            <w:rStyle w:val="Hyperlink"/>
            <w:rFonts w:ascii="Arial" w:eastAsiaTheme="majorEastAsia" w:hAnsi="Arial" w:cs="Arial"/>
          </w:rPr>
          <w:t>https://mohre.gov.ae/en/guidance-and-awareness-portal-new/emiratisation-targets</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Moreira da Silva, F., </w:t>
      </w:r>
      <w:proofErr w:type="spellStart"/>
      <w:r w:rsidRPr="000103F1">
        <w:rPr>
          <w:rFonts w:ascii="Arial" w:hAnsi="Arial" w:cs="Arial"/>
        </w:rPr>
        <w:t>Ogasavara</w:t>
      </w:r>
      <w:proofErr w:type="spellEnd"/>
      <w:r w:rsidRPr="000103F1">
        <w:rPr>
          <w:rFonts w:ascii="Arial" w:hAnsi="Arial" w:cs="Arial"/>
        </w:rPr>
        <w:t xml:space="preserve">, M.H. and Pereira, R. (2024) ‘Institutional distances and equity-based entry modes: A systematic literature review’, </w:t>
      </w:r>
      <w:r w:rsidRPr="000103F1">
        <w:rPr>
          <w:rStyle w:val="Emphasis"/>
          <w:rFonts w:ascii="Arial" w:eastAsiaTheme="majorEastAsia" w:hAnsi="Arial" w:cs="Arial"/>
        </w:rPr>
        <w:t>Management Review Quarterly</w:t>
      </w:r>
      <w:r w:rsidRPr="000103F1">
        <w:rPr>
          <w:rFonts w:ascii="Arial" w:hAnsi="Arial" w:cs="Arial"/>
        </w:rPr>
        <w:t xml:space="preserve">, 74, pp. 1723–1790. </w:t>
      </w:r>
    </w:p>
    <w:p w:rsidR="008F119A" w:rsidRPr="000103F1" w:rsidRDefault="008F119A" w:rsidP="008F119A">
      <w:pPr>
        <w:pStyle w:val="NormalWeb"/>
        <w:spacing w:line="360" w:lineRule="auto"/>
        <w:jc w:val="both"/>
        <w:rPr>
          <w:rFonts w:ascii="Arial" w:hAnsi="Arial" w:cs="Arial"/>
        </w:rPr>
      </w:pPr>
      <w:proofErr w:type="spellStart"/>
      <w:r w:rsidRPr="000103F1">
        <w:rPr>
          <w:rFonts w:ascii="Arial" w:hAnsi="Arial" w:cs="Arial"/>
        </w:rPr>
        <w:t>Peng</w:t>
      </w:r>
      <w:proofErr w:type="spellEnd"/>
      <w:r w:rsidRPr="000103F1">
        <w:rPr>
          <w:rFonts w:ascii="Arial" w:hAnsi="Arial" w:cs="Arial"/>
        </w:rPr>
        <w:t xml:space="preserve">, M.W. and Meyer, K.E. (2023) </w:t>
      </w:r>
      <w:r w:rsidRPr="000103F1">
        <w:rPr>
          <w:rStyle w:val="Emphasis"/>
          <w:rFonts w:ascii="Arial" w:eastAsiaTheme="majorEastAsia" w:hAnsi="Arial" w:cs="Arial"/>
        </w:rPr>
        <w:t>International Business</w:t>
      </w:r>
      <w:r w:rsidRPr="000103F1">
        <w:rPr>
          <w:rFonts w:ascii="Arial" w:hAnsi="Arial" w:cs="Arial"/>
        </w:rPr>
        <w:t xml:space="preserve">. </w:t>
      </w:r>
      <w:proofErr w:type="gramStart"/>
      <w:r w:rsidRPr="000103F1">
        <w:rPr>
          <w:rFonts w:ascii="Arial" w:hAnsi="Arial" w:cs="Arial"/>
        </w:rPr>
        <w:t xml:space="preserve">4th </w:t>
      </w:r>
      <w:proofErr w:type="spellStart"/>
      <w:r w:rsidRPr="000103F1">
        <w:rPr>
          <w:rFonts w:ascii="Arial" w:hAnsi="Arial" w:cs="Arial"/>
        </w:rPr>
        <w:t>edn</w:t>
      </w:r>
      <w:proofErr w:type="spellEnd"/>
      <w:r w:rsidRPr="000103F1">
        <w:rPr>
          <w:rFonts w:ascii="Arial" w:hAnsi="Arial" w:cs="Arial"/>
        </w:rPr>
        <w:t>.</w:t>
      </w:r>
      <w:proofErr w:type="gramEnd"/>
      <w:r w:rsidRPr="000103F1">
        <w:rPr>
          <w:rFonts w:ascii="Arial" w:hAnsi="Arial" w:cs="Arial"/>
        </w:rPr>
        <w:t xml:space="preserve"> Andover: </w:t>
      </w:r>
      <w:proofErr w:type="spellStart"/>
      <w:r w:rsidRPr="000103F1">
        <w:rPr>
          <w:rFonts w:ascii="Arial" w:hAnsi="Arial" w:cs="Arial"/>
        </w:rPr>
        <w:t>Cengage</w:t>
      </w:r>
      <w:proofErr w:type="spellEnd"/>
      <w:r w:rsidRPr="000103F1">
        <w:rPr>
          <w:rFonts w:ascii="Arial" w:hAnsi="Arial" w:cs="Arial"/>
        </w:rPr>
        <w:t xml:space="preserve"> Learning. </w:t>
      </w:r>
    </w:p>
    <w:p w:rsidR="008F119A" w:rsidRPr="000103F1" w:rsidRDefault="008F119A" w:rsidP="008F119A">
      <w:pPr>
        <w:pStyle w:val="NormalWeb"/>
        <w:spacing w:line="360" w:lineRule="auto"/>
        <w:jc w:val="both"/>
        <w:rPr>
          <w:rFonts w:ascii="Arial" w:hAnsi="Arial" w:cs="Arial"/>
        </w:rPr>
      </w:pPr>
      <w:proofErr w:type="gramStart"/>
      <w:r w:rsidRPr="000103F1">
        <w:rPr>
          <w:rFonts w:ascii="Arial" w:hAnsi="Arial" w:cs="Arial"/>
        </w:rPr>
        <w:t xml:space="preserve">Reuters (2024) ‘In expansion push, Home Depot to spend $172 </w:t>
      </w:r>
      <w:proofErr w:type="spellStart"/>
      <w:r w:rsidRPr="000103F1">
        <w:rPr>
          <w:rFonts w:ascii="Arial" w:hAnsi="Arial" w:cs="Arial"/>
        </w:rPr>
        <w:t>mln</w:t>
      </w:r>
      <w:proofErr w:type="spellEnd"/>
      <w:r w:rsidRPr="000103F1">
        <w:rPr>
          <w:rFonts w:ascii="Arial" w:hAnsi="Arial" w:cs="Arial"/>
        </w:rPr>
        <w:t xml:space="preserve"> in Mexico this year’, 1 April.</w:t>
      </w:r>
      <w:proofErr w:type="gramEnd"/>
      <w:r w:rsidRPr="000103F1">
        <w:rPr>
          <w:rFonts w:ascii="Arial" w:hAnsi="Arial" w:cs="Arial"/>
        </w:rPr>
        <w:t xml:space="preserve"> Available at: </w:t>
      </w:r>
      <w:hyperlink r:id="rId30" w:tgtFrame="_new" w:history="1">
        <w:r w:rsidRPr="000103F1">
          <w:rPr>
            <w:rStyle w:val="Hyperlink"/>
            <w:rFonts w:ascii="Arial" w:hAnsi="Arial" w:cs="Arial"/>
          </w:rPr>
          <w:t>https://www.reuters.com/business/retail-consumer/expansion-push-home-depot-spend-172-mln-mexico-this-year-2024-04-01/</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The Home Depot (2021) ‘Home Depot Mexico celebrates 20 years of growth and success’. Available at: </w:t>
      </w:r>
      <w:hyperlink r:id="rId31" w:tgtFrame="_new" w:history="1">
        <w:r w:rsidRPr="000103F1">
          <w:rPr>
            <w:rStyle w:val="Hyperlink"/>
            <w:rFonts w:ascii="Arial" w:hAnsi="Arial" w:cs="Arial"/>
          </w:rPr>
          <w:t>https://corporate.homedepot.com/news/company/home-depot-mexico-celebrates-20-years-growth-and-success</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The Home Depot, Inc. (2025) ‘The Home Depot provides a strategic update; reaffirms fiscal 2025 guidance; establishes a preliminary fiscal 2026 outlook and a market recovery case’. Available at: </w:t>
      </w:r>
      <w:hyperlink r:id="rId32" w:tgtFrame="_new" w:history="1">
        <w:r w:rsidRPr="000103F1">
          <w:rPr>
            <w:rStyle w:val="Hyperlink"/>
            <w:rFonts w:ascii="Arial" w:hAnsi="Arial" w:cs="Arial"/>
          </w:rPr>
          <w:t>https://corporate.homedepot.com/news/company/home-depot-provides-strategic-update-reaffirms-fiscal-2025-guidance-establishes</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The Home Depot, Inc. (2025) </w:t>
      </w:r>
      <w:r w:rsidRPr="000103F1">
        <w:rPr>
          <w:rStyle w:val="Emphasis"/>
          <w:rFonts w:ascii="Arial" w:hAnsi="Arial" w:cs="Arial"/>
        </w:rPr>
        <w:t>Fiscal 2024 Form 10-K</w:t>
      </w:r>
      <w:r w:rsidRPr="000103F1">
        <w:rPr>
          <w:rFonts w:ascii="Arial" w:hAnsi="Arial" w:cs="Arial"/>
        </w:rPr>
        <w:t xml:space="preserve">. Atlanta, GA: The Home Depot, Inc. Available at: </w:t>
      </w:r>
      <w:hyperlink r:id="rId33" w:tgtFrame="_new" w:history="1">
        <w:r w:rsidRPr="000103F1">
          <w:rPr>
            <w:rStyle w:val="Hyperlink"/>
            <w:rFonts w:ascii="Arial" w:eastAsiaTheme="majorEastAsia" w:hAnsi="Arial" w:cs="Arial"/>
          </w:rPr>
          <w:t>https://www.sec.gov/Archives/edgar/data/354950/000035495025000085/hd-20250202.htm</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The Home Depot, Inc. (2026) </w:t>
      </w:r>
      <w:r w:rsidRPr="000103F1">
        <w:rPr>
          <w:rStyle w:val="Emphasis"/>
          <w:rFonts w:ascii="Arial" w:eastAsiaTheme="majorEastAsia" w:hAnsi="Arial" w:cs="Arial"/>
        </w:rPr>
        <w:t>Annual Report 2025: Form 10-K for the fiscal year ended 1 February 2026</w:t>
      </w:r>
      <w:r w:rsidRPr="000103F1">
        <w:rPr>
          <w:rFonts w:ascii="Arial" w:hAnsi="Arial" w:cs="Arial"/>
        </w:rPr>
        <w:t xml:space="preserve">. Atlanta, GA: The Home Depot, Inc. Available at: </w:t>
      </w:r>
      <w:hyperlink r:id="rId34" w:tgtFrame="_new" w:history="1">
        <w:r w:rsidRPr="000103F1">
          <w:rPr>
            <w:rStyle w:val="Hyperlink"/>
            <w:rFonts w:ascii="Arial" w:hAnsi="Arial" w:cs="Arial"/>
          </w:rPr>
          <w:t>https://www.sec.gov/Archives/edgar/data/354950/000162828026019436/hd-20260201.htm</w:t>
        </w:r>
      </w:hyperlink>
      <w:r w:rsidRPr="000103F1">
        <w:rPr>
          <w:rFonts w:ascii="Arial" w:hAnsi="Arial" w:cs="Arial"/>
        </w:rPr>
        <w:t xml:space="preserve"> (Accessed: 9 August 2026).</w:t>
      </w:r>
    </w:p>
    <w:p w:rsidR="008F119A" w:rsidRPr="000103F1" w:rsidRDefault="008F119A" w:rsidP="008F119A">
      <w:pPr>
        <w:pStyle w:val="NormalWeb"/>
        <w:spacing w:line="360" w:lineRule="auto"/>
        <w:jc w:val="both"/>
        <w:rPr>
          <w:rFonts w:ascii="Arial" w:hAnsi="Arial" w:cs="Arial"/>
        </w:rPr>
      </w:pPr>
      <w:proofErr w:type="gramStart"/>
      <w:r w:rsidRPr="000103F1">
        <w:rPr>
          <w:rFonts w:ascii="Arial" w:hAnsi="Arial" w:cs="Arial"/>
        </w:rPr>
        <w:t xml:space="preserve">UAE Government (2021) </w:t>
      </w:r>
      <w:r w:rsidRPr="000103F1">
        <w:rPr>
          <w:rStyle w:val="Emphasis"/>
          <w:rFonts w:ascii="Arial" w:hAnsi="Arial" w:cs="Arial"/>
        </w:rPr>
        <w:t>Federal Decree-Law No. 32 of 2021 on Commercial Companies</w:t>
      </w:r>
      <w:r w:rsidRPr="000103F1">
        <w:rPr>
          <w:rFonts w:ascii="Arial" w:hAnsi="Arial" w:cs="Arial"/>
        </w:rPr>
        <w:t>.</w:t>
      </w:r>
      <w:proofErr w:type="gramEnd"/>
      <w:r w:rsidRPr="000103F1">
        <w:rPr>
          <w:rFonts w:ascii="Arial" w:hAnsi="Arial" w:cs="Arial"/>
        </w:rPr>
        <w:t xml:space="preserve"> Available at: </w:t>
      </w:r>
      <w:hyperlink r:id="rId35" w:tgtFrame="_new" w:history="1">
        <w:r w:rsidRPr="000103F1">
          <w:rPr>
            <w:rStyle w:val="Hyperlink"/>
            <w:rFonts w:ascii="Arial" w:eastAsiaTheme="majorEastAsia" w:hAnsi="Arial" w:cs="Arial"/>
          </w:rPr>
          <w:t>https://uaelegislation.gov.ae/en/legislations/1542</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proofErr w:type="gramStart"/>
      <w:r w:rsidRPr="000103F1">
        <w:rPr>
          <w:rFonts w:ascii="Arial" w:hAnsi="Arial" w:cs="Arial"/>
        </w:rPr>
        <w:t>UAE Government (2024) ‘National Climate Adaptation Action Plan’.</w:t>
      </w:r>
      <w:proofErr w:type="gramEnd"/>
      <w:r w:rsidRPr="000103F1">
        <w:rPr>
          <w:rFonts w:ascii="Arial" w:hAnsi="Arial" w:cs="Arial"/>
        </w:rPr>
        <w:t xml:space="preserve"> Available at: </w:t>
      </w:r>
      <w:hyperlink r:id="rId36" w:tgtFrame="_new" w:history="1">
        <w:r w:rsidRPr="000103F1">
          <w:rPr>
            <w:rStyle w:val="Hyperlink"/>
            <w:rFonts w:ascii="Arial" w:eastAsiaTheme="majorEastAsia" w:hAnsi="Arial" w:cs="Arial"/>
          </w:rPr>
          <w:t>https://u.ae/en/about-the-uae/strategies-initiatives-and-awards/strategies-plans-and-visions/environment-and-energy/national-climate-adaptation-action-plan</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UAE Government (2025) ‘UAE cements its position as global destination for attracting FDI with total inflows of AED167.6 billion in 2024’. Available at: </w:t>
      </w:r>
      <w:hyperlink r:id="rId37" w:tgtFrame="_new" w:history="1">
        <w:r w:rsidRPr="000103F1">
          <w:rPr>
            <w:rStyle w:val="Hyperlink"/>
            <w:rFonts w:ascii="Arial" w:eastAsiaTheme="majorEastAsia" w:hAnsi="Arial" w:cs="Arial"/>
          </w:rPr>
          <w:t>https://www.protocol.dubai.ae/en/media-listing/news-events/uae-cements-its-position-as-global-destination-for-attracting-fdi-with-total-inflows-of-aed-1676-billion-in-2024</w:t>
        </w:r>
      </w:hyperlink>
      <w:r w:rsidRPr="000103F1">
        <w:rPr>
          <w:rFonts w:ascii="Arial" w:hAnsi="Arial" w:cs="Arial"/>
        </w:rPr>
        <w:t xml:space="preserve"> (Accessed: 9 August 2026). </w:t>
      </w:r>
    </w:p>
    <w:p w:rsidR="008F119A" w:rsidRPr="000103F1" w:rsidRDefault="008F119A" w:rsidP="008F119A">
      <w:pPr>
        <w:pStyle w:val="NormalWeb"/>
        <w:spacing w:line="360" w:lineRule="auto"/>
        <w:jc w:val="both"/>
        <w:rPr>
          <w:rFonts w:ascii="Arial" w:hAnsi="Arial" w:cs="Arial"/>
        </w:rPr>
      </w:pPr>
      <w:r w:rsidRPr="000103F1">
        <w:rPr>
          <w:rStyle w:val="Strong"/>
          <w:rFonts w:ascii="Arial" w:eastAsiaTheme="majorEastAsia" w:hAnsi="Arial" w:cs="Arial"/>
          <w:b w:val="0"/>
        </w:rPr>
        <w:t>UAE Ministry of Economy and Tourism (2025)</w:t>
      </w:r>
      <w:r w:rsidRPr="000103F1">
        <w:rPr>
          <w:rFonts w:ascii="Arial" w:hAnsi="Arial" w:cs="Arial"/>
          <w:b/>
        </w:rPr>
        <w:t xml:space="preserve"> ‘</w:t>
      </w:r>
      <w:r w:rsidRPr="000103F1">
        <w:rPr>
          <w:rFonts w:ascii="Arial" w:hAnsi="Arial" w:cs="Arial"/>
        </w:rPr>
        <w:t>UAE’s GDP reaches AED1</w:t>
      </w:r>
      <w:proofErr w:type="gramStart"/>
      <w:r w:rsidRPr="000103F1">
        <w:rPr>
          <w:rFonts w:ascii="Arial" w:hAnsi="Arial" w:cs="Arial"/>
        </w:rPr>
        <w:t>,776</w:t>
      </w:r>
      <w:proofErr w:type="gramEnd"/>
      <w:r w:rsidRPr="000103F1">
        <w:rPr>
          <w:rFonts w:ascii="Arial" w:hAnsi="Arial" w:cs="Arial"/>
        </w:rPr>
        <w:t xml:space="preserve"> billion in 2024 with 4% growth’, 15 June. Available at: </w:t>
      </w:r>
      <w:hyperlink r:id="rId38" w:tgtFrame="_new" w:history="1">
        <w:r w:rsidRPr="000103F1">
          <w:rPr>
            <w:rStyle w:val="Hyperlink"/>
            <w:rFonts w:ascii="Arial" w:eastAsiaTheme="majorEastAsia" w:hAnsi="Arial" w:cs="Arial"/>
          </w:rPr>
          <w:t>https://www.moet.gov.ae/en/-/1-776-%D9%85%D9%84%D9%8A%D8%A7%D8%B1-%D8%AF%D8%B1%D9%87%D9%85-%D8%A7%D9%84%D9%86%D8%A7%D8%AA%D8%AC-%D8%A7%D9%84%D9%85%D8%AD%D9%84%D9%8A-%D8%A7%D9%84%D8%A5%D8%AC%D9%85%D8%A7%D9%84%D9%8A-%D9%84%D9%84%D8%A5%D9%85%D8%A7%D8%B1%D8%A7%D8%AA-%D9%84%D8%B9%D8%A7</w:t>
        </w:r>
      </w:hyperlink>
      <w:r w:rsidRPr="000103F1">
        <w:rPr>
          <w:rFonts w:ascii="Arial" w:hAnsi="Arial" w:cs="Arial"/>
        </w:rPr>
        <w:t xml:space="preserve"> (Accessed: 9 August 2026).</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World Bank (2025) </w:t>
      </w:r>
      <w:r w:rsidRPr="000103F1">
        <w:rPr>
          <w:rStyle w:val="Emphasis"/>
          <w:rFonts w:ascii="Arial" w:eastAsiaTheme="majorEastAsia" w:hAnsi="Arial" w:cs="Arial"/>
        </w:rPr>
        <w:t>United Arab Emirates: Data</w:t>
      </w:r>
      <w:r w:rsidRPr="000103F1">
        <w:rPr>
          <w:rFonts w:ascii="Arial" w:hAnsi="Arial" w:cs="Arial"/>
        </w:rPr>
        <w:t xml:space="preserve">. Washington, DC: World Bank. Available at: </w:t>
      </w:r>
      <w:hyperlink r:id="rId39" w:tgtFrame="_new" w:history="1">
        <w:r w:rsidRPr="000103F1">
          <w:rPr>
            <w:rStyle w:val="Hyperlink"/>
            <w:rFonts w:ascii="Arial" w:hAnsi="Arial" w:cs="Arial"/>
          </w:rPr>
          <w:t>https://data.worldbank.org/country/united-arab-emirates</w:t>
        </w:r>
      </w:hyperlink>
      <w:r w:rsidRPr="000103F1">
        <w:rPr>
          <w:rFonts w:ascii="Arial" w:hAnsi="Arial" w:cs="Arial"/>
        </w:rPr>
        <w:t xml:space="preserve"> (Accessed: 9 August 2026).</w:t>
      </w:r>
    </w:p>
    <w:p w:rsidR="008F119A" w:rsidRPr="000103F1" w:rsidRDefault="008F119A" w:rsidP="008F119A">
      <w:pPr>
        <w:pStyle w:val="NormalWeb"/>
        <w:spacing w:line="360" w:lineRule="auto"/>
        <w:jc w:val="both"/>
        <w:rPr>
          <w:rFonts w:ascii="Arial" w:hAnsi="Arial" w:cs="Arial"/>
        </w:rPr>
      </w:pPr>
      <w:r w:rsidRPr="000103F1">
        <w:rPr>
          <w:rFonts w:ascii="Arial" w:hAnsi="Arial" w:cs="Arial"/>
        </w:rPr>
        <w:t xml:space="preserve">Zhang, W., He, X., Wang, T. and Wang, K. (2023) ‘Institutional distance and the international market entry mode: A meta-analysis’, </w:t>
      </w:r>
      <w:r w:rsidRPr="000103F1">
        <w:rPr>
          <w:rStyle w:val="Emphasis"/>
          <w:rFonts w:ascii="Arial" w:eastAsiaTheme="majorEastAsia" w:hAnsi="Arial" w:cs="Arial"/>
        </w:rPr>
        <w:t>Journal of International Management</w:t>
      </w:r>
      <w:r w:rsidRPr="000103F1">
        <w:rPr>
          <w:rFonts w:ascii="Arial" w:hAnsi="Arial" w:cs="Arial"/>
        </w:rPr>
        <w:t xml:space="preserve">, 29(1), 100990. </w:t>
      </w:r>
    </w:p>
    <w:p w:rsidR="00EF5B28" w:rsidRPr="00EF5B28" w:rsidRDefault="00EF5B28" w:rsidP="00EF5B28">
      <w:pPr>
        <w:pStyle w:val="NormalWeb"/>
        <w:spacing w:line="360" w:lineRule="auto"/>
        <w:jc w:val="both"/>
        <w:rPr>
          <w:rFonts w:ascii="Arial" w:hAnsi="Arial" w:cs="Arial"/>
        </w:rPr>
      </w:pPr>
      <w:r w:rsidRPr="00EF5B28">
        <w:rPr>
          <w:rFonts w:ascii="Arial" w:hAnsi="Arial" w:cs="Arial"/>
        </w:rPr>
        <w:t xml:space="preserve"> </w:t>
      </w:r>
    </w:p>
    <w:sectPr w:rsidR="00EF5B28" w:rsidRPr="00EF5B28" w:rsidSect="00EF262C">
      <w:footerReference w:type="default" r:id="rId40"/>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13F4E" w:rsidRDefault="00D13F4E" w:rsidP="00EF262C">
      <w:pPr>
        <w:spacing w:after="0" w:line="240" w:lineRule="auto"/>
      </w:pPr>
      <w:r>
        <w:separator/>
      </w:r>
    </w:p>
  </w:endnote>
  <w:endnote w:type="continuationSeparator" w:id="0">
    <w:p w:rsidR="00D13F4E" w:rsidRDefault="00D13F4E" w:rsidP="00EF2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1A40" w:rsidRDefault="00D01A4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1A40" w:rsidRDefault="00D01A40">
    <w:pPr>
      <w:pStyle w:val="Footer"/>
      <w:jc w:val="center"/>
    </w:pPr>
  </w:p>
  <w:p w:rsidR="00D01A40" w:rsidRDefault="00D01A4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1A40" w:rsidRDefault="00D01A4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1A40" w:rsidRDefault="00D01A40">
    <w:pPr>
      <w:pStyle w:val="Footer"/>
      <w:jc w:val="center"/>
    </w:pPr>
  </w:p>
  <w:p w:rsidR="00D01A40" w:rsidRDefault="00D01A40">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92292207"/>
      <w:docPartObj>
        <w:docPartGallery w:val="Page Numbers (Bottom of Page)"/>
        <w:docPartUnique/>
      </w:docPartObj>
    </w:sdtPr>
    <w:sdtEndPr>
      <w:rPr>
        <w:noProof/>
      </w:rPr>
    </w:sdtEndPr>
    <w:sdtContent>
      <w:p w:rsidR="00D01A40" w:rsidRDefault="00D01A40">
        <w:pPr>
          <w:pStyle w:val="Footer"/>
          <w:jc w:val="center"/>
        </w:pPr>
        <w:r>
          <w:fldChar w:fldCharType="begin"/>
        </w:r>
        <w:r>
          <w:instrText xml:space="preserve"> PAGE   \* MERGEFORMAT </w:instrText>
        </w:r>
        <w:r>
          <w:fldChar w:fldCharType="separate"/>
        </w:r>
        <w:r w:rsidR="002059FB">
          <w:rPr>
            <w:noProof/>
          </w:rPr>
          <w:t>1</w:t>
        </w:r>
        <w:r>
          <w:rPr>
            <w:noProof/>
          </w:rPr>
          <w:fldChar w:fldCharType="end"/>
        </w:r>
      </w:p>
    </w:sdtContent>
  </w:sdt>
  <w:p w:rsidR="00D01A40" w:rsidRDefault="00D01A4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13F4E" w:rsidRDefault="00D13F4E" w:rsidP="00EF262C">
      <w:pPr>
        <w:spacing w:after="0" w:line="240" w:lineRule="auto"/>
      </w:pPr>
      <w:r>
        <w:separator/>
      </w:r>
    </w:p>
  </w:footnote>
  <w:footnote w:type="continuationSeparator" w:id="0">
    <w:p w:rsidR="00D13F4E" w:rsidRDefault="00D13F4E" w:rsidP="00EF262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1A40" w:rsidRDefault="00D01A4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1A40" w:rsidRDefault="00D01A4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01A40" w:rsidRDefault="00D01A4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D5527A"/>
    <w:multiLevelType w:val="hybridMultilevel"/>
    <w:tmpl w:val="CD7218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323E"/>
    <w:rsid w:val="00005CB0"/>
    <w:rsid w:val="00081AF7"/>
    <w:rsid w:val="001A24C7"/>
    <w:rsid w:val="001C7F2D"/>
    <w:rsid w:val="002059FB"/>
    <w:rsid w:val="002324C4"/>
    <w:rsid w:val="003C276C"/>
    <w:rsid w:val="00436EB4"/>
    <w:rsid w:val="004B3F0C"/>
    <w:rsid w:val="004D2435"/>
    <w:rsid w:val="00533DAA"/>
    <w:rsid w:val="005B3988"/>
    <w:rsid w:val="005E4ED5"/>
    <w:rsid w:val="00601628"/>
    <w:rsid w:val="007A7CB6"/>
    <w:rsid w:val="007D61D6"/>
    <w:rsid w:val="00856B06"/>
    <w:rsid w:val="008E1FA6"/>
    <w:rsid w:val="008F119A"/>
    <w:rsid w:val="009B3ECF"/>
    <w:rsid w:val="009C1C17"/>
    <w:rsid w:val="00A27333"/>
    <w:rsid w:val="00A66B91"/>
    <w:rsid w:val="00B45F1F"/>
    <w:rsid w:val="00D01A40"/>
    <w:rsid w:val="00D13F4E"/>
    <w:rsid w:val="00DD08A9"/>
    <w:rsid w:val="00E1791B"/>
    <w:rsid w:val="00EC5298"/>
    <w:rsid w:val="00EF262C"/>
    <w:rsid w:val="00EF5B28"/>
    <w:rsid w:val="00F27F05"/>
    <w:rsid w:val="00F74B3D"/>
    <w:rsid w:val="00FA323E"/>
    <w:rsid w:val="00FC4BC0"/>
    <w:rsid w:val="00FD3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32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A323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B3F0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23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FA323E"/>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FA32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FA323E"/>
    <w:pPr>
      <w:outlineLvl w:val="9"/>
    </w:pPr>
    <w:rPr>
      <w:lang w:val="en-US" w:eastAsia="ja-JP"/>
    </w:rPr>
  </w:style>
  <w:style w:type="paragraph" w:styleId="TOC1">
    <w:name w:val="toc 1"/>
    <w:basedOn w:val="Normal"/>
    <w:next w:val="Normal"/>
    <w:autoRedefine/>
    <w:uiPriority w:val="39"/>
    <w:unhideWhenUsed/>
    <w:rsid w:val="00FA323E"/>
    <w:pPr>
      <w:spacing w:after="100"/>
    </w:pPr>
  </w:style>
  <w:style w:type="paragraph" w:styleId="TOC2">
    <w:name w:val="toc 2"/>
    <w:basedOn w:val="Normal"/>
    <w:next w:val="Normal"/>
    <w:autoRedefine/>
    <w:uiPriority w:val="39"/>
    <w:unhideWhenUsed/>
    <w:rsid w:val="00FA323E"/>
    <w:pPr>
      <w:spacing w:after="100"/>
      <w:ind w:left="220"/>
    </w:pPr>
  </w:style>
  <w:style w:type="character" w:styleId="Hyperlink">
    <w:name w:val="Hyperlink"/>
    <w:basedOn w:val="DefaultParagraphFont"/>
    <w:uiPriority w:val="99"/>
    <w:unhideWhenUsed/>
    <w:rsid w:val="00FA323E"/>
    <w:rPr>
      <w:color w:val="0000FF" w:themeColor="hyperlink"/>
      <w:u w:val="single"/>
    </w:rPr>
  </w:style>
  <w:style w:type="paragraph" w:styleId="BalloonText">
    <w:name w:val="Balloon Text"/>
    <w:basedOn w:val="Normal"/>
    <w:link w:val="BalloonTextChar"/>
    <w:uiPriority w:val="99"/>
    <w:semiHidden/>
    <w:unhideWhenUsed/>
    <w:rsid w:val="00FA32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23E"/>
    <w:rPr>
      <w:rFonts w:ascii="Tahoma" w:hAnsi="Tahoma" w:cs="Tahoma"/>
      <w:sz w:val="16"/>
      <w:szCs w:val="16"/>
    </w:rPr>
  </w:style>
  <w:style w:type="paragraph" w:customStyle="1" w:styleId="pdq2pgselectionanchorcontainer">
    <w:name w:val="pdq2pg_selectionanchorcontainer"/>
    <w:basedOn w:val="Normal"/>
    <w:rsid w:val="009B3E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B3ECF"/>
    <w:rPr>
      <w:i/>
      <w:iCs/>
    </w:rPr>
  </w:style>
  <w:style w:type="character" w:styleId="Strong">
    <w:name w:val="Strong"/>
    <w:basedOn w:val="DefaultParagraphFont"/>
    <w:uiPriority w:val="22"/>
    <w:qFormat/>
    <w:rsid w:val="00601628"/>
    <w:rPr>
      <w:b/>
      <w:bCs/>
    </w:rPr>
  </w:style>
  <w:style w:type="paragraph" w:styleId="Header">
    <w:name w:val="header"/>
    <w:basedOn w:val="Normal"/>
    <w:link w:val="HeaderChar"/>
    <w:uiPriority w:val="99"/>
    <w:unhideWhenUsed/>
    <w:rsid w:val="00EF26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262C"/>
  </w:style>
  <w:style w:type="paragraph" w:styleId="Footer">
    <w:name w:val="footer"/>
    <w:basedOn w:val="Normal"/>
    <w:link w:val="FooterChar"/>
    <w:uiPriority w:val="99"/>
    <w:unhideWhenUsed/>
    <w:rsid w:val="00EF26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262C"/>
  </w:style>
  <w:style w:type="table" w:styleId="TableGrid">
    <w:name w:val="Table Grid"/>
    <w:basedOn w:val="TableNormal"/>
    <w:uiPriority w:val="59"/>
    <w:rsid w:val="00D01A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sid w:val="004B3F0C"/>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8F119A"/>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32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A323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B3F0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23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FA323E"/>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FA32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FA323E"/>
    <w:pPr>
      <w:outlineLvl w:val="9"/>
    </w:pPr>
    <w:rPr>
      <w:lang w:val="en-US" w:eastAsia="ja-JP"/>
    </w:rPr>
  </w:style>
  <w:style w:type="paragraph" w:styleId="TOC1">
    <w:name w:val="toc 1"/>
    <w:basedOn w:val="Normal"/>
    <w:next w:val="Normal"/>
    <w:autoRedefine/>
    <w:uiPriority w:val="39"/>
    <w:unhideWhenUsed/>
    <w:rsid w:val="00FA323E"/>
    <w:pPr>
      <w:spacing w:after="100"/>
    </w:pPr>
  </w:style>
  <w:style w:type="paragraph" w:styleId="TOC2">
    <w:name w:val="toc 2"/>
    <w:basedOn w:val="Normal"/>
    <w:next w:val="Normal"/>
    <w:autoRedefine/>
    <w:uiPriority w:val="39"/>
    <w:unhideWhenUsed/>
    <w:rsid w:val="00FA323E"/>
    <w:pPr>
      <w:spacing w:after="100"/>
      <w:ind w:left="220"/>
    </w:pPr>
  </w:style>
  <w:style w:type="character" w:styleId="Hyperlink">
    <w:name w:val="Hyperlink"/>
    <w:basedOn w:val="DefaultParagraphFont"/>
    <w:uiPriority w:val="99"/>
    <w:unhideWhenUsed/>
    <w:rsid w:val="00FA323E"/>
    <w:rPr>
      <w:color w:val="0000FF" w:themeColor="hyperlink"/>
      <w:u w:val="single"/>
    </w:rPr>
  </w:style>
  <w:style w:type="paragraph" w:styleId="BalloonText">
    <w:name w:val="Balloon Text"/>
    <w:basedOn w:val="Normal"/>
    <w:link w:val="BalloonTextChar"/>
    <w:uiPriority w:val="99"/>
    <w:semiHidden/>
    <w:unhideWhenUsed/>
    <w:rsid w:val="00FA32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23E"/>
    <w:rPr>
      <w:rFonts w:ascii="Tahoma" w:hAnsi="Tahoma" w:cs="Tahoma"/>
      <w:sz w:val="16"/>
      <w:szCs w:val="16"/>
    </w:rPr>
  </w:style>
  <w:style w:type="paragraph" w:customStyle="1" w:styleId="pdq2pgselectionanchorcontainer">
    <w:name w:val="pdq2pg_selectionanchorcontainer"/>
    <w:basedOn w:val="Normal"/>
    <w:rsid w:val="009B3E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B3ECF"/>
    <w:rPr>
      <w:i/>
      <w:iCs/>
    </w:rPr>
  </w:style>
  <w:style w:type="character" w:styleId="Strong">
    <w:name w:val="Strong"/>
    <w:basedOn w:val="DefaultParagraphFont"/>
    <w:uiPriority w:val="22"/>
    <w:qFormat/>
    <w:rsid w:val="00601628"/>
    <w:rPr>
      <w:b/>
      <w:bCs/>
    </w:rPr>
  </w:style>
  <w:style w:type="paragraph" w:styleId="Header">
    <w:name w:val="header"/>
    <w:basedOn w:val="Normal"/>
    <w:link w:val="HeaderChar"/>
    <w:uiPriority w:val="99"/>
    <w:unhideWhenUsed/>
    <w:rsid w:val="00EF26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262C"/>
  </w:style>
  <w:style w:type="paragraph" w:styleId="Footer">
    <w:name w:val="footer"/>
    <w:basedOn w:val="Normal"/>
    <w:link w:val="FooterChar"/>
    <w:uiPriority w:val="99"/>
    <w:unhideWhenUsed/>
    <w:rsid w:val="00EF26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262C"/>
  </w:style>
  <w:style w:type="table" w:styleId="TableGrid">
    <w:name w:val="Table Grid"/>
    <w:basedOn w:val="TableNormal"/>
    <w:uiPriority w:val="59"/>
    <w:rsid w:val="00D01A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semiHidden/>
    <w:rsid w:val="004B3F0C"/>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8F119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8167464">
      <w:bodyDiv w:val="1"/>
      <w:marLeft w:val="0"/>
      <w:marRight w:val="0"/>
      <w:marTop w:val="0"/>
      <w:marBottom w:val="0"/>
      <w:divBdr>
        <w:top w:val="none" w:sz="0" w:space="0" w:color="auto"/>
        <w:left w:val="none" w:sz="0" w:space="0" w:color="auto"/>
        <w:bottom w:val="none" w:sz="0" w:space="0" w:color="auto"/>
        <w:right w:val="none" w:sz="0" w:space="0" w:color="auto"/>
      </w:divBdr>
      <w:divsChild>
        <w:div w:id="60645394">
          <w:marLeft w:val="0"/>
          <w:marRight w:val="0"/>
          <w:marTop w:val="0"/>
          <w:marBottom w:val="0"/>
          <w:divBdr>
            <w:top w:val="none" w:sz="0" w:space="0" w:color="auto"/>
            <w:left w:val="none" w:sz="0" w:space="0" w:color="auto"/>
            <w:bottom w:val="none" w:sz="0" w:space="0" w:color="auto"/>
            <w:right w:val="none" w:sz="0" w:space="0" w:color="auto"/>
          </w:divBdr>
        </w:div>
      </w:divsChild>
    </w:div>
    <w:div w:id="1159615243">
      <w:bodyDiv w:val="1"/>
      <w:marLeft w:val="0"/>
      <w:marRight w:val="0"/>
      <w:marTop w:val="0"/>
      <w:marBottom w:val="0"/>
      <w:divBdr>
        <w:top w:val="none" w:sz="0" w:space="0" w:color="auto"/>
        <w:left w:val="none" w:sz="0" w:space="0" w:color="auto"/>
        <w:bottom w:val="none" w:sz="0" w:space="0" w:color="auto"/>
        <w:right w:val="none" w:sz="0" w:space="0" w:color="auto"/>
      </w:divBdr>
      <w:divsChild>
        <w:div w:id="284390600">
          <w:marLeft w:val="0"/>
          <w:marRight w:val="0"/>
          <w:marTop w:val="0"/>
          <w:marBottom w:val="0"/>
          <w:divBdr>
            <w:top w:val="none" w:sz="0" w:space="0" w:color="auto"/>
            <w:left w:val="none" w:sz="0" w:space="0" w:color="auto"/>
            <w:bottom w:val="none" w:sz="0" w:space="0" w:color="auto"/>
            <w:right w:val="none" w:sz="0" w:space="0" w:color="auto"/>
          </w:divBdr>
          <w:divsChild>
            <w:div w:id="85677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693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4.png"/><Relationship Id="rId26" Type="http://schemas.openxmlformats.org/officeDocument/2006/relationships/hyperlink" Target="https://tax.gov.ae/en/faq.aspx?keyword=If+a+business+has+earned+taxable+income+of+AED+1+million%2C+what+will+be+the+UAE+CT+amount+payable%3F" TargetMode="External"/><Relationship Id="rId39" Type="http://schemas.openxmlformats.org/officeDocument/2006/relationships/hyperlink" Target="https://data.worldbank.org/country/united-arab-emirates?utm_source=chat5.toolnestit.com" TargetMode="External"/><Relationship Id="rId3" Type="http://schemas.microsoft.com/office/2007/relationships/stylesWithEffects" Target="stylesWithEffects.xml"/><Relationship Id="rId21" Type="http://schemas.openxmlformats.org/officeDocument/2006/relationships/hyperlink" Target="https://www.dubaicustoms.gov.ae/en/mobile/pages/faq.aspx?utm_source=chat5.toolnestit.com" TargetMode="External"/><Relationship Id="rId34" Type="http://schemas.openxmlformats.org/officeDocument/2006/relationships/hyperlink" Target="https://www.sec.gov/Archives/edgar/data/354950/000162828026019436/hd-20260201.htm?utm_source=chat5.toolnestit.com"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hyperlink" Target="https://fcsc.gov.ae/press-release/?e-page-1e9848e=23&amp;e-page-e8b0ff1=6&amp;utm_source=chat5.toolnestit.com" TargetMode="External"/><Relationship Id="rId33" Type="http://schemas.openxmlformats.org/officeDocument/2006/relationships/hyperlink" Target="https://www.sec.gov/Archives/edgar/data/354950/000035495025000085/hd-20250202.htm?utm_source=chat5.toolnestit.com" TargetMode="External"/><Relationship Id="rId38" Type="http://schemas.openxmlformats.org/officeDocument/2006/relationships/hyperlink" Target="https://www.moet.gov.ae/en/-/1-776-%D9%85%D9%84%D9%8A%D8%A7%D8%B1-%D8%AF%D8%B1%D9%87%D9%85-%D8%A7%D9%84%D9%86%D8%A7%D8%AA%D8%AC-%D8%A7%D9%84%D9%85%D8%AD%D9%84%D9%8A-%D8%A7%D9%84%D8%A5%D8%AC%D9%85%D8%A7%D9%84%D9%8A-%D9%84%D9%84%D8%A5%D9%85%D8%A7%D8%B1%D8%A7%D8%AA-%D9%84%D8%B9%D8%A7"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yperlink" Target="https://www.cbre.ae/press-releases/uae-retail-and-industrial-market-review-q1-2024?utm_source=chat5.toolnestit.com" TargetMode="External"/><Relationship Id="rId29" Type="http://schemas.openxmlformats.org/officeDocument/2006/relationships/hyperlink" Target="https://mohre.gov.ae/en/guidance-and-awareness-portal-new/emiratisation-targets?utm_source=chat5.toolnestit.com"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dubaisouth.ae/en/newsroom/ezdubai-uae-e-commerce-market-continues-to-grow-reaches-aed-323-billion-in-2024?utm_source=chat5.toolnestit.com" TargetMode="External"/><Relationship Id="rId32" Type="http://schemas.openxmlformats.org/officeDocument/2006/relationships/hyperlink" Target="https://corporate.homedepot.com/news/company/home-depot-provides-strategic-update-reaffirms-fiscal-2025-guidance-establishes?utm_source=chat5.toolnestit.com" TargetMode="External"/><Relationship Id="rId37" Type="http://schemas.openxmlformats.org/officeDocument/2006/relationships/hyperlink" Target="https://www.protocol.dubai.ae/en/media-listing/news-events/uae-cements-its-position-as-global-destination-for-attracting-fdi-with-total-inflows-of-aed-1676-billion-in-2024" TargetMode="External"/><Relationship Id="rId40"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hyperlink" Target="https://dubailand.gov.ae/en/news-media/dubai-s-real-estate-sector-records-aed761-billion-in-transactions-in-2024" TargetMode="External"/><Relationship Id="rId28" Type="http://schemas.openxmlformats.org/officeDocument/2006/relationships/hyperlink" Target="https://www.imf.org/en/publications/cr/issues/2024/12/05/united-arab-emirates-2024-article-iv-consultation-press-release-and-staff-report-558835?utm_source=chat5.toolnestit.com" TargetMode="External"/><Relationship Id="rId36" Type="http://schemas.openxmlformats.org/officeDocument/2006/relationships/hyperlink" Target="https://u.ae/en/about-the-uae/strategies-initiatives-and-awards/strategies-plans-and-visions/environment-and-energy/national-climate-adaptation-action-plan" TargetMode="External"/><Relationship Id="rId10" Type="http://schemas.openxmlformats.org/officeDocument/2006/relationships/header" Target="header2.xml"/><Relationship Id="rId19" Type="http://schemas.openxmlformats.org/officeDocument/2006/relationships/image" Target="media/image5.jpeg"/><Relationship Id="rId31" Type="http://schemas.openxmlformats.org/officeDocument/2006/relationships/hyperlink" Target="https://corporate.homedepot.com/news/company/home-depot-mexico-celebrates-20-years-growth-and-success"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dubailand.gov.ae/en/news-media/dld-2021-achieved-exceptional-results-that-will-contribute-to-enabling-the-real-estate-sector-s-journey-towards-the-next-50-years/" TargetMode="External"/><Relationship Id="rId27" Type="http://schemas.openxmlformats.org/officeDocument/2006/relationships/hyperlink" Target="https://mediaoffice.ae/en/news/2024/February/07-02/Dubai-Land-Department-marks-strongest-performance?utm_source=chat5.toolnestit.com" TargetMode="External"/><Relationship Id="rId30" Type="http://schemas.openxmlformats.org/officeDocument/2006/relationships/hyperlink" Target="https://www.reuters.com/business/retail-consumer/expansion-push-home-depot-spend-172-mln-mexico-this-year-2024-04-01/?utm_source=chat5.toolnestit.com" TargetMode="External"/><Relationship Id="rId35" Type="http://schemas.openxmlformats.org/officeDocument/2006/relationships/hyperlink" Target="https://uaelegislation.gov.ae/en/legislations/15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6850</Words>
  <Characters>39051</Characters>
  <Application>Microsoft Office Word</Application>
  <DocSecurity>0</DocSecurity>
  <Lines>325</Lines>
  <Paragraphs>91</Paragraphs>
  <ScaleCrop>false</ScaleCrop>
  <Company/>
  <LinksUpToDate>false</LinksUpToDate>
  <CharactersWithSpaces>45810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2026-08-14T00:30:00Z</dcterms:created>
  <dcterms:modified xsi:type="dcterms:W3CDTF">2026-08-14T00:30:00Z</dcterms:modified>
</cp:coreProperties>
</file>