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4472C4" w:themeColor="accent1"/>
          <w:sz w:val="24"/>
          <w:szCs w:val="24"/>
          <w:lang w:val="en-GB"/>
          <w14:ligatures w14:val="standardContextual"/>
        </w:rPr>
        <w:id w:val="-956717991"/>
        <w:docPartObj>
          <w:docPartGallery w:val="Cover Pages"/>
          <w:docPartUnique/>
        </w:docPartObj>
      </w:sdtPr>
      <w:sdtEndPr>
        <w:rPr>
          <w:color w:val="auto"/>
        </w:rPr>
      </w:sdtEndPr>
      <w:sdtContent>
        <w:p w14:paraId="407C28D0" w14:textId="060E0908" w:rsidR="00A01B86" w:rsidRDefault="00A01B86">
          <w:pPr>
            <w:pStyle w:val="NoSpacing"/>
            <w:spacing w:before="1540" w:after="240"/>
            <w:jc w:val="center"/>
            <w:rPr>
              <w:color w:val="4472C4" w:themeColor="accent1"/>
            </w:rPr>
          </w:pPr>
          <w:r>
            <w:rPr>
              <w:noProof/>
              <w:color w:val="4472C4" w:themeColor="accent1"/>
            </w:rPr>
            <w:drawing>
              <wp:inline distT="0" distB="0" distL="0" distR="0" wp14:anchorId="7E16746F" wp14:editId="3E7DBAD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63686BB" w14:textId="6D806038" w:rsidR="00A01B86" w:rsidRDefault="00A01B86" w:rsidP="00A01B8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01B86">
            <w:rPr>
              <w:rFonts w:asciiTheme="majorHAnsi" w:eastAsiaTheme="majorEastAsia" w:hAnsiTheme="majorHAnsi" w:cstheme="majorBidi"/>
              <w:caps/>
              <w:color w:val="4472C4" w:themeColor="accent1"/>
              <w:sz w:val="72"/>
              <w:szCs w:val="72"/>
            </w:rPr>
            <w:t>BMIH5006</w:t>
          </w:r>
          <w:r>
            <w:rPr>
              <w:rFonts w:asciiTheme="majorHAnsi" w:eastAsiaTheme="majorEastAsia" w:hAnsiTheme="majorHAnsi" w:cstheme="majorBidi"/>
              <w:caps/>
              <w:color w:val="4472C4" w:themeColor="accent1"/>
              <w:sz w:val="72"/>
              <w:szCs w:val="72"/>
            </w:rPr>
            <w:t xml:space="preserve">: </w:t>
          </w:r>
          <w:r w:rsidRPr="00A01B86">
            <w:rPr>
              <w:rFonts w:asciiTheme="majorHAnsi" w:eastAsiaTheme="majorEastAsia" w:hAnsiTheme="majorHAnsi" w:cstheme="majorBidi"/>
              <w:caps/>
              <w:color w:val="4472C4" w:themeColor="accent1"/>
              <w:sz w:val="72"/>
              <w:szCs w:val="72"/>
            </w:rPr>
            <w:t>Sustainable Hospitality &amp; TourismManagement</w:t>
          </w:r>
        </w:p>
        <w:p w14:paraId="24DBA59A" w14:textId="31D7BAF1" w:rsidR="00A01B86" w:rsidRDefault="00A01B86">
          <w:pPr>
            <w:pStyle w:val="NoSpacing"/>
            <w:jc w:val="center"/>
            <w:rPr>
              <w:color w:val="4472C4" w:themeColor="accent1"/>
              <w:sz w:val="28"/>
              <w:szCs w:val="28"/>
            </w:rPr>
          </w:pPr>
          <w:r w:rsidRPr="00A01B86">
            <w:rPr>
              <w:color w:val="4472C4" w:themeColor="accent1"/>
              <w:sz w:val="28"/>
              <w:szCs w:val="28"/>
            </w:rPr>
            <w:t>BA (Hons) International Hotel Management</w:t>
          </w:r>
        </w:p>
        <w:p w14:paraId="196CCD8E" w14:textId="1EB3D837" w:rsidR="00A01B86" w:rsidRDefault="00A01B86">
          <w:pPr>
            <w:pStyle w:val="NoSpacing"/>
            <w:spacing w:before="480"/>
            <w:jc w:val="center"/>
            <w:rPr>
              <w:color w:val="4472C4" w:themeColor="accent1"/>
            </w:rPr>
          </w:pPr>
          <w:r>
            <w:rPr>
              <w:noProof/>
              <w:color w:val="4472C4" w:themeColor="accent1"/>
            </w:rPr>
            <w:drawing>
              <wp:inline distT="0" distB="0" distL="0" distR="0" wp14:anchorId="32C61EA6" wp14:editId="4654EDF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C0F449" w14:textId="77777777" w:rsidR="00A01B86" w:rsidRDefault="00A01B86" w:rsidP="00A01B86">
          <w:pPr>
            <w:spacing w:line="259" w:lineRule="auto"/>
            <w:jc w:val="center"/>
          </w:pPr>
        </w:p>
        <w:p w14:paraId="02EB13E4" w14:textId="77777777" w:rsidR="00A01B86" w:rsidRDefault="00A01B86" w:rsidP="00A01B86">
          <w:pPr>
            <w:spacing w:line="259" w:lineRule="auto"/>
            <w:jc w:val="center"/>
          </w:pPr>
        </w:p>
        <w:p w14:paraId="05C78F58" w14:textId="4B687F5E" w:rsidR="00A01B86" w:rsidRDefault="00A01B86" w:rsidP="00A01B86">
          <w:pPr>
            <w:spacing w:line="259" w:lineRule="auto"/>
            <w:jc w:val="center"/>
          </w:pPr>
          <w:r w:rsidRPr="00A01B86">
            <w:rPr>
              <w:b/>
              <w:bCs/>
              <w:noProof/>
              <w:color w:val="4472C4" w:themeColor="accent1"/>
              <w:sz w:val="36"/>
              <w:szCs w:val="36"/>
            </w:rPr>
            <mc:AlternateContent>
              <mc:Choice Requires="wps">
                <w:drawing>
                  <wp:anchor distT="0" distB="0" distL="114300" distR="114300" simplePos="0" relativeHeight="251658240" behindDoc="0" locked="0" layoutInCell="1" allowOverlap="1" wp14:anchorId="78758EF6" wp14:editId="185FB55E">
                    <wp:simplePos x="0" y="0"/>
                    <wp:positionH relativeFrom="margin">
                      <wp:align>right</wp:align>
                    </wp:positionH>
                    <wp:positionV relativeFrom="page">
                      <wp:posOffset>8630920</wp:posOffset>
                    </wp:positionV>
                    <wp:extent cx="6553200" cy="557784"/>
                    <wp:effectExtent l="0" t="0" r="2540" b="1905"/>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C3E64" w14:textId="77777777" w:rsidR="00A01B86" w:rsidRPr="00A01B86" w:rsidRDefault="00A01B86">
                                <w:pPr>
                                  <w:pStyle w:val="NoSpacing"/>
                                  <w:jc w:val="center"/>
                                  <w:rPr>
                                    <w:color w:val="4472C4" w:themeColor="accent1"/>
                                    <w:sz w:val="28"/>
                                    <w:szCs w:val="28"/>
                                  </w:rPr>
                                </w:pPr>
                              </w:p>
                              <w:p w14:paraId="1B74B467" w14:textId="77777777"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Mohammod Suhel Miah</w:t>
                                </w:r>
                              </w:p>
                              <w:p w14:paraId="46E5545E" w14:textId="2D89B73B"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Student ID: 2126980</w:t>
                                </w:r>
                              </w:p>
                              <w:p w14:paraId="79DA7BFC" w14:textId="55DD352F"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Lecturer: Kathryn Roberts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758EF6" id="_x0000_t202" coordsize="21600,21600" o:spt="202" path="m,l,21600r21600,l21600,xe">
                    <v:stroke joinstyle="miter"/>
                    <v:path gradientshapeok="t" o:connecttype="rect"/>
                  </v:shapetype>
                  <v:shape id="Text Box 44" o:spid="_x0000_s1026" type="#_x0000_t202" style="position:absolute;left:0;text-align:left;margin-left:464.8pt;margin-top:679.6pt;width:516pt;height:43.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" filled="f" stroked="f" strokeweight=".5pt">
                    <v:textbox style="mso-fit-shape-to-text:t" inset="0,0,0,0">
                      <w:txbxContent>
                        <w:p w14:paraId="3A2C3E64" w14:textId="77777777" w:rsidR="00A01B86" w:rsidRPr="00A01B86" w:rsidRDefault="00A01B86">
                          <w:pPr>
                            <w:pStyle w:val="NoSpacing"/>
                            <w:jc w:val="center"/>
                            <w:rPr>
                              <w:color w:val="4472C4" w:themeColor="accent1"/>
                              <w:sz w:val="28"/>
                              <w:szCs w:val="28"/>
                            </w:rPr>
                          </w:pPr>
                        </w:p>
                        <w:p w14:paraId="1B74B467" w14:textId="77777777"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Mohammod Suhel Miah</w:t>
                          </w:r>
                        </w:p>
                        <w:p w14:paraId="46E5545E" w14:textId="2D89B73B"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Student ID: 2126980</w:t>
                          </w:r>
                        </w:p>
                        <w:p w14:paraId="79DA7BFC" w14:textId="55DD352F" w:rsidR="00A01B86" w:rsidRPr="00A01B86" w:rsidRDefault="00A01B86" w:rsidP="00A01B86">
                          <w:pPr>
                            <w:pStyle w:val="NoSpacing"/>
                            <w:jc w:val="center"/>
                            <w:rPr>
                              <w:color w:val="4472C4" w:themeColor="accent1"/>
                              <w:sz w:val="28"/>
                              <w:szCs w:val="28"/>
                            </w:rPr>
                          </w:pPr>
                          <w:r w:rsidRPr="00A01B86">
                            <w:rPr>
                              <w:color w:val="4472C4" w:themeColor="accent1"/>
                              <w:sz w:val="28"/>
                              <w:szCs w:val="28"/>
                            </w:rPr>
                            <w:t>Lecturer: Kathryn Roberts</w:t>
                          </w:r>
                        </w:p>
                      </w:txbxContent>
                    </v:textbox>
                    <w10:wrap anchorx="margin" anchory="page"/>
                  </v:shape>
                </w:pict>
              </mc:Fallback>
            </mc:AlternateContent>
          </w:r>
          <w:r w:rsidRPr="00A01B86">
            <w:rPr>
              <w:b/>
              <w:bCs/>
              <w:color w:val="4472C4" w:themeColor="accent1"/>
              <w:sz w:val="36"/>
              <w:szCs w:val="36"/>
            </w:rPr>
            <w:t>Assignment 1: Essay</w:t>
          </w:r>
          <w:r>
            <w:br w:type="page"/>
          </w:r>
        </w:p>
      </w:sdtContent>
    </w:sdt>
    <w:p w14:paraId="0EBDEBD6" w14:textId="3722E3B7" w:rsidR="0059179D" w:rsidRDefault="0059179D" w:rsidP="0059179D"/>
    <w:sdt>
      <w:sdtPr>
        <w:rPr>
          <w:b w:val="0"/>
          <w:bCs w:val="0"/>
          <w:sz w:val="24"/>
          <w:szCs w:val="24"/>
          <w:lang w:val="en-GB"/>
          <w14:ligatures w14:val="standardContextual"/>
        </w:rPr>
        <w:id w:val="-571657656"/>
        <w:docPartObj>
          <w:docPartGallery w:val="Table of Contents"/>
          <w:docPartUnique/>
        </w:docPartObj>
      </w:sdtPr>
      <w:sdtEndPr>
        <w:rPr>
          <w:noProof/>
        </w:rPr>
      </w:sdtEndPr>
      <w:sdtContent>
        <w:p w14:paraId="22198966" w14:textId="1D49924E" w:rsidR="0059179D" w:rsidRDefault="0059179D" w:rsidP="0059179D">
          <w:pPr>
            <w:pStyle w:val="TOCHeading"/>
          </w:pPr>
          <w:r>
            <w:t>Table of Contents</w:t>
          </w:r>
        </w:p>
        <w:p w14:paraId="20991D20" w14:textId="165FA887" w:rsidR="00A01B86" w:rsidRDefault="0059179D">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57679114" w:history="1">
            <w:r w:rsidR="00A01B86" w:rsidRPr="00985830">
              <w:rPr>
                <w:rStyle w:val="Hyperlink"/>
                <w:noProof/>
              </w:rPr>
              <w:t>Introduction</w:t>
            </w:r>
            <w:r w:rsidR="00A01B86">
              <w:rPr>
                <w:noProof/>
                <w:webHidden/>
              </w:rPr>
              <w:tab/>
            </w:r>
            <w:r w:rsidR="00A01B86">
              <w:rPr>
                <w:noProof/>
                <w:webHidden/>
              </w:rPr>
              <w:fldChar w:fldCharType="begin"/>
            </w:r>
            <w:r w:rsidR="00A01B86">
              <w:rPr>
                <w:noProof/>
                <w:webHidden/>
              </w:rPr>
              <w:instrText xml:space="preserve"> PAGEREF _Toc157679114 \h </w:instrText>
            </w:r>
            <w:r w:rsidR="00A01B86">
              <w:rPr>
                <w:noProof/>
                <w:webHidden/>
              </w:rPr>
            </w:r>
            <w:r w:rsidR="00A01B86">
              <w:rPr>
                <w:noProof/>
                <w:webHidden/>
              </w:rPr>
              <w:fldChar w:fldCharType="separate"/>
            </w:r>
            <w:r w:rsidR="00A01B86">
              <w:rPr>
                <w:noProof/>
                <w:webHidden/>
              </w:rPr>
              <w:t>3</w:t>
            </w:r>
            <w:r w:rsidR="00A01B86">
              <w:rPr>
                <w:noProof/>
                <w:webHidden/>
              </w:rPr>
              <w:fldChar w:fldCharType="end"/>
            </w:r>
          </w:hyperlink>
        </w:p>
        <w:p w14:paraId="2CFF29AC" w14:textId="6CEE88F3" w:rsidR="00A01B86" w:rsidRDefault="00FA425F">
          <w:pPr>
            <w:pStyle w:val="TOC1"/>
            <w:tabs>
              <w:tab w:val="right" w:leader="dot" w:pos="9016"/>
            </w:tabs>
            <w:rPr>
              <w:rFonts w:asciiTheme="minorHAnsi" w:eastAsiaTheme="minorEastAsia" w:hAnsiTheme="minorHAnsi" w:cstheme="minorBidi"/>
              <w:noProof/>
              <w:kern w:val="2"/>
              <w:sz w:val="22"/>
              <w:szCs w:val="22"/>
              <w:lang w:eastAsia="en-GB"/>
            </w:rPr>
          </w:pPr>
          <w:hyperlink w:anchor="_Toc157679115" w:history="1">
            <w:r w:rsidR="00A01B86" w:rsidRPr="00985830">
              <w:rPr>
                <w:rStyle w:val="Hyperlink"/>
                <w:noProof/>
              </w:rPr>
              <w:t>Circular Economy and CSR</w:t>
            </w:r>
            <w:r w:rsidR="00A01B86">
              <w:rPr>
                <w:noProof/>
                <w:webHidden/>
              </w:rPr>
              <w:tab/>
            </w:r>
            <w:r w:rsidR="00A01B86">
              <w:rPr>
                <w:noProof/>
                <w:webHidden/>
              </w:rPr>
              <w:fldChar w:fldCharType="begin"/>
            </w:r>
            <w:r w:rsidR="00A01B86">
              <w:rPr>
                <w:noProof/>
                <w:webHidden/>
              </w:rPr>
              <w:instrText xml:space="preserve"> PAGEREF _Toc157679115 \h </w:instrText>
            </w:r>
            <w:r w:rsidR="00A01B86">
              <w:rPr>
                <w:noProof/>
                <w:webHidden/>
              </w:rPr>
            </w:r>
            <w:r w:rsidR="00A01B86">
              <w:rPr>
                <w:noProof/>
                <w:webHidden/>
              </w:rPr>
              <w:fldChar w:fldCharType="separate"/>
            </w:r>
            <w:r w:rsidR="00A01B86">
              <w:rPr>
                <w:noProof/>
                <w:webHidden/>
              </w:rPr>
              <w:t>3</w:t>
            </w:r>
            <w:r w:rsidR="00A01B86">
              <w:rPr>
                <w:noProof/>
                <w:webHidden/>
              </w:rPr>
              <w:fldChar w:fldCharType="end"/>
            </w:r>
          </w:hyperlink>
        </w:p>
        <w:p w14:paraId="53EE652E" w14:textId="50A69749" w:rsidR="00A01B86" w:rsidRDefault="00FA425F">
          <w:pPr>
            <w:pStyle w:val="TOC1"/>
            <w:tabs>
              <w:tab w:val="right" w:leader="dot" w:pos="9016"/>
            </w:tabs>
            <w:rPr>
              <w:rFonts w:asciiTheme="minorHAnsi" w:eastAsiaTheme="minorEastAsia" w:hAnsiTheme="minorHAnsi" w:cstheme="minorBidi"/>
              <w:noProof/>
              <w:kern w:val="2"/>
              <w:sz w:val="22"/>
              <w:szCs w:val="22"/>
              <w:lang w:eastAsia="en-GB"/>
            </w:rPr>
          </w:pPr>
          <w:hyperlink w:anchor="_Toc157679116" w:history="1">
            <w:r w:rsidR="00A01B86" w:rsidRPr="00985830">
              <w:rPr>
                <w:rStyle w:val="Hyperlink"/>
                <w:noProof/>
              </w:rPr>
              <w:t>Review of Marriott International’s CSR Policy</w:t>
            </w:r>
            <w:r w:rsidR="00A01B86">
              <w:rPr>
                <w:noProof/>
                <w:webHidden/>
              </w:rPr>
              <w:tab/>
            </w:r>
            <w:r w:rsidR="00A01B86">
              <w:rPr>
                <w:noProof/>
                <w:webHidden/>
              </w:rPr>
              <w:fldChar w:fldCharType="begin"/>
            </w:r>
            <w:r w:rsidR="00A01B86">
              <w:rPr>
                <w:noProof/>
                <w:webHidden/>
              </w:rPr>
              <w:instrText xml:space="preserve"> PAGEREF _Toc157679116 \h </w:instrText>
            </w:r>
            <w:r w:rsidR="00A01B86">
              <w:rPr>
                <w:noProof/>
                <w:webHidden/>
              </w:rPr>
            </w:r>
            <w:r w:rsidR="00A01B86">
              <w:rPr>
                <w:noProof/>
                <w:webHidden/>
              </w:rPr>
              <w:fldChar w:fldCharType="separate"/>
            </w:r>
            <w:r w:rsidR="00A01B86">
              <w:rPr>
                <w:noProof/>
                <w:webHidden/>
              </w:rPr>
              <w:t>5</w:t>
            </w:r>
            <w:r w:rsidR="00A01B86">
              <w:rPr>
                <w:noProof/>
                <w:webHidden/>
              </w:rPr>
              <w:fldChar w:fldCharType="end"/>
            </w:r>
          </w:hyperlink>
        </w:p>
        <w:p w14:paraId="7BAC6A4D" w14:textId="4DBAEEA5" w:rsidR="00A01B86" w:rsidRDefault="00FA425F">
          <w:pPr>
            <w:pStyle w:val="TOC2"/>
            <w:tabs>
              <w:tab w:val="right" w:leader="dot" w:pos="9016"/>
            </w:tabs>
            <w:rPr>
              <w:rFonts w:asciiTheme="minorHAnsi" w:eastAsiaTheme="minorEastAsia" w:hAnsiTheme="minorHAnsi" w:cstheme="minorBidi"/>
              <w:noProof/>
              <w:kern w:val="2"/>
              <w:sz w:val="22"/>
              <w:szCs w:val="22"/>
              <w:lang w:eastAsia="en-GB"/>
            </w:rPr>
          </w:pPr>
          <w:hyperlink w:anchor="_Toc157679117" w:history="1">
            <w:r w:rsidR="00A01B86" w:rsidRPr="00985830">
              <w:rPr>
                <w:rStyle w:val="Hyperlink"/>
                <w:noProof/>
              </w:rPr>
              <w:t>Circular Economy Practices</w:t>
            </w:r>
            <w:r w:rsidR="00A01B86">
              <w:rPr>
                <w:noProof/>
                <w:webHidden/>
              </w:rPr>
              <w:tab/>
            </w:r>
            <w:r w:rsidR="00A01B86">
              <w:rPr>
                <w:noProof/>
                <w:webHidden/>
              </w:rPr>
              <w:fldChar w:fldCharType="begin"/>
            </w:r>
            <w:r w:rsidR="00A01B86">
              <w:rPr>
                <w:noProof/>
                <w:webHidden/>
              </w:rPr>
              <w:instrText xml:space="preserve"> PAGEREF _Toc157679117 \h </w:instrText>
            </w:r>
            <w:r w:rsidR="00A01B86">
              <w:rPr>
                <w:noProof/>
                <w:webHidden/>
              </w:rPr>
            </w:r>
            <w:r w:rsidR="00A01B86">
              <w:rPr>
                <w:noProof/>
                <w:webHidden/>
              </w:rPr>
              <w:fldChar w:fldCharType="separate"/>
            </w:r>
            <w:r w:rsidR="00A01B86">
              <w:rPr>
                <w:noProof/>
                <w:webHidden/>
              </w:rPr>
              <w:t>5</w:t>
            </w:r>
            <w:r w:rsidR="00A01B86">
              <w:rPr>
                <w:noProof/>
                <w:webHidden/>
              </w:rPr>
              <w:fldChar w:fldCharType="end"/>
            </w:r>
          </w:hyperlink>
        </w:p>
        <w:p w14:paraId="20770EF3" w14:textId="44DB8A6A" w:rsidR="00A01B86" w:rsidRDefault="00FA425F">
          <w:pPr>
            <w:pStyle w:val="TOC2"/>
            <w:tabs>
              <w:tab w:val="right" w:leader="dot" w:pos="9016"/>
            </w:tabs>
            <w:rPr>
              <w:rFonts w:asciiTheme="minorHAnsi" w:eastAsiaTheme="minorEastAsia" w:hAnsiTheme="minorHAnsi" w:cstheme="minorBidi"/>
              <w:noProof/>
              <w:kern w:val="2"/>
              <w:sz w:val="22"/>
              <w:szCs w:val="22"/>
              <w:lang w:eastAsia="en-GB"/>
            </w:rPr>
          </w:pPr>
          <w:hyperlink w:anchor="_Toc157679118" w:history="1">
            <w:r w:rsidR="00A01B86" w:rsidRPr="00985830">
              <w:rPr>
                <w:rStyle w:val="Hyperlink"/>
                <w:noProof/>
              </w:rPr>
              <w:t>Impact and Challenges</w:t>
            </w:r>
            <w:r w:rsidR="00A01B86">
              <w:rPr>
                <w:noProof/>
                <w:webHidden/>
              </w:rPr>
              <w:tab/>
            </w:r>
            <w:r w:rsidR="00A01B86">
              <w:rPr>
                <w:noProof/>
                <w:webHidden/>
              </w:rPr>
              <w:fldChar w:fldCharType="begin"/>
            </w:r>
            <w:r w:rsidR="00A01B86">
              <w:rPr>
                <w:noProof/>
                <w:webHidden/>
              </w:rPr>
              <w:instrText xml:space="preserve"> PAGEREF _Toc157679118 \h </w:instrText>
            </w:r>
            <w:r w:rsidR="00A01B86">
              <w:rPr>
                <w:noProof/>
                <w:webHidden/>
              </w:rPr>
            </w:r>
            <w:r w:rsidR="00A01B86">
              <w:rPr>
                <w:noProof/>
                <w:webHidden/>
              </w:rPr>
              <w:fldChar w:fldCharType="separate"/>
            </w:r>
            <w:r w:rsidR="00A01B86">
              <w:rPr>
                <w:noProof/>
                <w:webHidden/>
              </w:rPr>
              <w:t>6</w:t>
            </w:r>
            <w:r w:rsidR="00A01B86">
              <w:rPr>
                <w:noProof/>
                <w:webHidden/>
              </w:rPr>
              <w:fldChar w:fldCharType="end"/>
            </w:r>
          </w:hyperlink>
        </w:p>
        <w:p w14:paraId="1285473D" w14:textId="49B86E34" w:rsidR="00A01B86" w:rsidRDefault="00FA425F">
          <w:pPr>
            <w:pStyle w:val="TOC1"/>
            <w:tabs>
              <w:tab w:val="right" w:leader="dot" w:pos="9016"/>
            </w:tabs>
            <w:rPr>
              <w:rFonts w:asciiTheme="minorHAnsi" w:eastAsiaTheme="minorEastAsia" w:hAnsiTheme="minorHAnsi" w:cstheme="minorBidi"/>
              <w:noProof/>
              <w:kern w:val="2"/>
              <w:sz w:val="22"/>
              <w:szCs w:val="22"/>
              <w:lang w:eastAsia="en-GB"/>
            </w:rPr>
          </w:pPr>
          <w:hyperlink w:anchor="_Toc157679119" w:history="1">
            <w:r w:rsidR="00A01B86" w:rsidRPr="00985830">
              <w:rPr>
                <w:rStyle w:val="Hyperlink"/>
                <w:noProof/>
              </w:rPr>
              <w:t>Industry Examples</w:t>
            </w:r>
            <w:r w:rsidR="00A01B86">
              <w:rPr>
                <w:noProof/>
                <w:webHidden/>
              </w:rPr>
              <w:tab/>
            </w:r>
            <w:r w:rsidR="00A01B86">
              <w:rPr>
                <w:noProof/>
                <w:webHidden/>
              </w:rPr>
              <w:fldChar w:fldCharType="begin"/>
            </w:r>
            <w:r w:rsidR="00A01B86">
              <w:rPr>
                <w:noProof/>
                <w:webHidden/>
              </w:rPr>
              <w:instrText xml:space="preserve"> PAGEREF _Toc157679119 \h </w:instrText>
            </w:r>
            <w:r w:rsidR="00A01B86">
              <w:rPr>
                <w:noProof/>
                <w:webHidden/>
              </w:rPr>
            </w:r>
            <w:r w:rsidR="00A01B86">
              <w:rPr>
                <w:noProof/>
                <w:webHidden/>
              </w:rPr>
              <w:fldChar w:fldCharType="separate"/>
            </w:r>
            <w:r w:rsidR="00A01B86">
              <w:rPr>
                <w:noProof/>
                <w:webHidden/>
              </w:rPr>
              <w:t>7</w:t>
            </w:r>
            <w:r w:rsidR="00A01B86">
              <w:rPr>
                <w:noProof/>
                <w:webHidden/>
              </w:rPr>
              <w:fldChar w:fldCharType="end"/>
            </w:r>
          </w:hyperlink>
        </w:p>
        <w:p w14:paraId="1E0AA32A" w14:textId="4AC4BDEB" w:rsidR="00A01B86" w:rsidRDefault="00FA425F">
          <w:pPr>
            <w:pStyle w:val="TOC1"/>
            <w:tabs>
              <w:tab w:val="right" w:leader="dot" w:pos="9016"/>
            </w:tabs>
            <w:rPr>
              <w:rFonts w:asciiTheme="minorHAnsi" w:eastAsiaTheme="minorEastAsia" w:hAnsiTheme="minorHAnsi" w:cstheme="minorBidi"/>
              <w:noProof/>
              <w:kern w:val="2"/>
              <w:sz w:val="22"/>
              <w:szCs w:val="22"/>
              <w:lang w:eastAsia="en-GB"/>
            </w:rPr>
          </w:pPr>
          <w:hyperlink w:anchor="_Toc157679120" w:history="1">
            <w:r w:rsidR="00A01B86" w:rsidRPr="00985830">
              <w:rPr>
                <w:rStyle w:val="Hyperlink"/>
                <w:noProof/>
              </w:rPr>
              <w:t>Conclusion</w:t>
            </w:r>
            <w:r w:rsidR="00A01B86">
              <w:rPr>
                <w:noProof/>
                <w:webHidden/>
              </w:rPr>
              <w:tab/>
            </w:r>
            <w:r w:rsidR="00A01B86">
              <w:rPr>
                <w:noProof/>
                <w:webHidden/>
              </w:rPr>
              <w:fldChar w:fldCharType="begin"/>
            </w:r>
            <w:r w:rsidR="00A01B86">
              <w:rPr>
                <w:noProof/>
                <w:webHidden/>
              </w:rPr>
              <w:instrText xml:space="preserve"> PAGEREF _Toc157679120 \h </w:instrText>
            </w:r>
            <w:r w:rsidR="00A01B86">
              <w:rPr>
                <w:noProof/>
                <w:webHidden/>
              </w:rPr>
            </w:r>
            <w:r w:rsidR="00A01B86">
              <w:rPr>
                <w:noProof/>
                <w:webHidden/>
              </w:rPr>
              <w:fldChar w:fldCharType="separate"/>
            </w:r>
            <w:r w:rsidR="00A01B86">
              <w:rPr>
                <w:noProof/>
                <w:webHidden/>
              </w:rPr>
              <w:t>8</w:t>
            </w:r>
            <w:r w:rsidR="00A01B86">
              <w:rPr>
                <w:noProof/>
                <w:webHidden/>
              </w:rPr>
              <w:fldChar w:fldCharType="end"/>
            </w:r>
          </w:hyperlink>
        </w:p>
        <w:p w14:paraId="192237FC" w14:textId="45B2BC66" w:rsidR="00A01B86" w:rsidRDefault="00FA425F">
          <w:pPr>
            <w:pStyle w:val="TOC1"/>
            <w:tabs>
              <w:tab w:val="right" w:leader="dot" w:pos="9016"/>
            </w:tabs>
            <w:rPr>
              <w:rFonts w:asciiTheme="minorHAnsi" w:eastAsiaTheme="minorEastAsia" w:hAnsiTheme="minorHAnsi" w:cstheme="minorBidi"/>
              <w:noProof/>
              <w:kern w:val="2"/>
              <w:sz w:val="22"/>
              <w:szCs w:val="22"/>
              <w:lang w:eastAsia="en-GB"/>
            </w:rPr>
          </w:pPr>
          <w:hyperlink w:anchor="_Toc157679121" w:history="1">
            <w:r w:rsidR="00A01B86" w:rsidRPr="00985830">
              <w:rPr>
                <w:rStyle w:val="Hyperlink"/>
                <w:noProof/>
              </w:rPr>
              <w:t>References</w:t>
            </w:r>
            <w:r w:rsidR="00A01B86">
              <w:rPr>
                <w:noProof/>
                <w:webHidden/>
              </w:rPr>
              <w:tab/>
            </w:r>
            <w:r w:rsidR="00A01B86">
              <w:rPr>
                <w:noProof/>
                <w:webHidden/>
              </w:rPr>
              <w:fldChar w:fldCharType="begin"/>
            </w:r>
            <w:r w:rsidR="00A01B86">
              <w:rPr>
                <w:noProof/>
                <w:webHidden/>
              </w:rPr>
              <w:instrText xml:space="preserve"> PAGEREF _Toc157679121 \h </w:instrText>
            </w:r>
            <w:r w:rsidR="00A01B86">
              <w:rPr>
                <w:noProof/>
                <w:webHidden/>
              </w:rPr>
            </w:r>
            <w:r w:rsidR="00A01B86">
              <w:rPr>
                <w:noProof/>
                <w:webHidden/>
              </w:rPr>
              <w:fldChar w:fldCharType="separate"/>
            </w:r>
            <w:r w:rsidR="00A01B86">
              <w:rPr>
                <w:noProof/>
                <w:webHidden/>
              </w:rPr>
              <w:t>10</w:t>
            </w:r>
            <w:r w:rsidR="00A01B86">
              <w:rPr>
                <w:noProof/>
                <w:webHidden/>
              </w:rPr>
              <w:fldChar w:fldCharType="end"/>
            </w:r>
          </w:hyperlink>
        </w:p>
        <w:p w14:paraId="48B8D6A9" w14:textId="50CA7B17" w:rsidR="0059179D" w:rsidRDefault="0059179D" w:rsidP="0059179D">
          <w:r>
            <w:rPr>
              <w:noProof/>
            </w:rPr>
            <w:fldChar w:fldCharType="end"/>
          </w:r>
        </w:p>
      </w:sdtContent>
    </w:sdt>
    <w:p w14:paraId="10640D3A" w14:textId="21A7F6D1" w:rsidR="0059179D" w:rsidRDefault="0059179D" w:rsidP="0059179D">
      <w:r>
        <w:br w:type="page"/>
      </w:r>
    </w:p>
    <w:p w14:paraId="43B4686C" w14:textId="7F7D6723" w:rsidR="008748AE" w:rsidRPr="0059179D" w:rsidRDefault="0059179D" w:rsidP="0059179D">
      <w:pPr>
        <w:pStyle w:val="Heading1"/>
      </w:pPr>
      <w:bookmarkStart w:id="0" w:name="_Toc157679114"/>
      <w:r w:rsidRPr="0059179D">
        <w:t>Introduction</w:t>
      </w:r>
      <w:bookmarkEnd w:id="0"/>
    </w:p>
    <w:p w14:paraId="03B30120" w14:textId="5E13F0EB" w:rsidR="0059179D" w:rsidRPr="0059179D" w:rsidRDefault="0059179D" w:rsidP="0059179D">
      <w:r>
        <w:t>This essay examines the convergence of circular economy techniques and Corporate Social Responsibility (CSR) in the hotel business, with a specific emphasis on Marriott International as a case study. The circular economy, an economically sustainable framework founded on the tenets of waste reduction, resource reuse, and material recycling, offers a paradigm shift in the realms of resource efficiency and environmental stewardship. CSR, conversely, pertains to the endeavours undertaken by an organization to evaluate and assume accountability for the impact it has on the environment and society at large. The applicability of these principles to the hotel sector is critical, considering the considerable ecological footprint and capacity for societal influence that the business possesses. Marriott International's CSR strategy incorporates circular economy ideas into its Serve 360 platform, with the ultimate goal of attaining sustainability and social impact objectives by 2025 (</w:t>
      </w:r>
      <w:r>
        <w:rPr>
          <w:i/>
          <w:iCs/>
        </w:rPr>
        <w:t>Marriott International Reports on environmental, social, and governance progress</w:t>
      </w:r>
      <w:r>
        <w:t xml:space="preserve"> 2021). This article will examine the ways in which Marriott's waste management, energy saving, sustainable sourcing, and recycling efforts demonstrate the hotel's dedication to environmental sustainability and social responsibility, while also being consistent with circular economy principles. This examination aims to demonstrate the significant impact that circular economy practices have on bolstering corporate social responsibility (CSR) initiatives in the hospitality industry. It will provide valuable perspectives on the obstacles and prospects associated with the implementation of sustainable practices within a multinational hotel chain.</w:t>
      </w:r>
    </w:p>
    <w:p w14:paraId="48579265" w14:textId="048C05E7" w:rsidR="0059179D" w:rsidRDefault="0059179D" w:rsidP="0059179D"/>
    <w:p w14:paraId="7B95F437" w14:textId="4397B286" w:rsidR="0059179D" w:rsidRPr="0059179D" w:rsidRDefault="0059179D" w:rsidP="0059179D">
      <w:pPr>
        <w:pStyle w:val="Heading1"/>
      </w:pPr>
      <w:bookmarkStart w:id="1" w:name="_Toc157679115"/>
      <w:r w:rsidRPr="0059179D">
        <w:t>Circular Economy and CSR</w:t>
      </w:r>
      <w:bookmarkEnd w:id="1"/>
    </w:p>
    <w:p w14:paraId="7D362569" w14:textId="59F7EBCA" w:rsidR="0059179D" w:rsidRDefault="0059179D" w:rsidP="0059179D">
      <w:r>
        <w:t>Marriott International has demonstrated notable progress in the incorporation of circular economy principles into its corporate social responsibility (CSR) programs, with a particular focus on responsible resource management and sustainability. Marriott demonstrates its dedication to social and environmental stewardship by aligning its operations with the United Nations' Sustainable Development Goals via the Serve 360: Doing Good in Every Direction platform (Yadav et al., 2020).</w:t>
      </w:r>
    </w:p>
    <w:p w14:paraId="48FF390D" w14:textId="684055D2" w:rsidR="0059179D" w:rsidRDefault="0059179D" w:rsidP="0059179D">
      <w:r>
        <w:t>An essential component of Marriott's strategy is its emphasis on promoting environmental sustainability (Yadav et al., 2020). Setting net-zero emissions reduction targets by 2050, the organization has pledged to adhere to scientifically supported objectives. This ambitious objective is supported by pragmatic measures, like the implementation of more than 5,500 electric vehicle (EV) charging stations throughout its global properties and the adoption of residential-sized bath amenities as a waste reduction strategy</w:t>
      </w:r>
      <w:r w:rsidR="00DA1FBB">
        <w:t xml:space="preserve"> (</w:t>
      </w:r>
      <w:r w:rsidR="00DA1FBB">
        <w:rPr>
          <w:i/>
          <w:iCs/>
        </w:rPr>
        <w:t>Net zero coalition</w:t>
      </w:r>
      <w:r w:rsidR="00DA1FBB">
        <w:t xml:space="preserve"> 2023)</w:t>
      </w:r>
      <w:r>
        <w:t>. Furthermore, Marriott has participated in substantial environmental restoration initiatives, like as reforestation in the United States and mangrove restoration in Mexico and the United Arab Emirates, with the aim of safeguarding biodiversity and enhancing ecosystem resilience</w:t>
      </w:r>
      <w:r w:rsidR="00DA1FBB">
        <w:t xml:space="preserve"> (Ellison et al., 2020)</w:t>
      </w:r>
      <w:r>
        <w:t>.</w:t>
      </w:r>
    </w:p>
    <w:p w14:paraId="1DBAE904" w14:textId="7EAC6128" w:rsidR="0059179D" w:rsidRDefault="0059179D" w:rsidP="0059179D">
      <w:r>
        <w:t>Marriott's dedication to fostering positive social change is also noteworthy. By means of its "Bridging the Gap" initiative, the organization has earmarked $50 million to expand hotel ownership among historically underrepresented communities</w:t>
      </w:r>
      <w:r w:rsidR="00DA1FBB">
        <w:t xml:space="preserve"> (</w:t>
      </w:r>
      <w:r w:rsidR="00DA1FBB">
        <w:rPr>
          <w:i/>
          <w:iCs/>
        </w:rPr>
        <w:t>Marriott International</w:t>
      </w:r>
      <w:r w:rsidR="00DA1FBB">
        <w:t xml:space="preserve"> 2023)</w:t>
      </w:r>
      <w:r>
        <w:t>. Furthermore, since 2016, Marriott has extensively educated more than one million employees on how to identify and address indicators of human trafficking, therefore showcasing its unwavering dedication to the protection of human rights throughout its worldwide activities</w:t>
      </w:r>
      <w:r w:rsidR="00DA1FBB">
        <w:t xml:space="preserve"> (Howard et al., 2023)</w:t>
      </w:r>
      <w:r>
        <w:t>. Additionally, the organization is proud of its diverse leadership, as 47 percent of its worldwide executives are female and it aims to attain executive gender parity by 2023's end.</w:t>
      </w:r>
    </w:p>
    <w:p w14:paraId="2F7B09A3" w14:textId="5ED92BAD" w:rsidR="0059179D" w:rsidRDefault="0059179D" w:rsidP="0059179D">
      <w:r>
        <w:t>Marriott has established lofty objectives pertaining to the promotion of sustainable sourcing and the assistance of local communities. By committing to get fifty percent of its products locally by 2025, the hotel chain will have made a substantial economic contribution to the surrounding communities while also mitigating the environmental consequences linked to food transportation</w:t>
      </w:r>
      <w:r w:rsidR="00DA1FBB">
        <w:t xml:space="preserve"> (Ronzoni et al., 2022)</w:t>
      </w:r>
      <w:r>
        <w:t>. Additionally, throughout its hotels, the organization has initiated energy conservation initiatives with the aim of decreasing carbon emissions per square meter of conditioned space by 30 percent by 2025, relative to a 2016 baseline</w:t>
      </w:r>
      <w:r w:rsidR="00DA1FBB">
        <w:t xml:space="preserve"> (Yang et al., 2016)</w:t>
      </w:r>
      <w:r>
        <w:t>. Complementing these endeavours are measures aimed at diminishing water usage and waste, such as a target to cut food waste by 50 percent and waste-to-landfill by 45 percent, respectively, relative to a 2016 baseline by the conclusion of 2025.</w:t>
      </w:r>
    </w:p>
    <w:p w14:paraId="36AB269A" w14:textId="1AFBF98B" w:rsidR="0059179D" w:rsidRDefault="0059179D" w:rsidP="0059179D">
      <w:r>
        <w:t>Marriott International's all-encompassing corporate social responsibility (CSR) strategy exemplifies the seamless integration of circular economy methods into business operations, resulting in substantial environmental, social, and economic advantages</w:t>
      </w:r>
      <w:r w:rsidR="00DA1FBB">
        <w:t xml:space="preserve"> (Agudelo et al., 2019)</w:t>
      </w:r>
      <w:r>
        <w:t>. Through the implementation of sustainable practices throughout its operations, Marriott not only bolsters its corporate image but also establishes an exemplary standard for ethical business conduct within the hospitality sector.</w:t>
      </w:r>
    </w:p>
    <w:p w14:paraId="2B55C080" w14:textId="77777777" w:rsidR="0059179D" w:rsidRDefault="0059179D" w:rsidP="0059179D"/>
    <w:p w14:paraId="4BC9E5BC" w14:textId="0CE27313" w:rsidR="0059179D" w:rsidRPr="0059179D" w:rsidRDefault="0059179D" w:rsidP="0059179D">
      <w:pPr>
        <w:pStyle w:val="Heading1"/>
      </w:pPr>
      <w:bookmarkStart w:id="2" w:name="_Toc157679116"/>
      <w:r w:rsidRPr="0059179D">
        <w:t>Review of Marriott International’s CSR Policy</w:t>
      </w:r>
      <w:bookmarkEnd w:id="2"/>
    </w:p>
    <w:p w14:paraId="73737722" w14:textId="7A09905E" w:rsidR="00A01B86" w:rsidRDefault="0059179D" w:rsidP="0059179D">
      <w:r>
        <w:t>The Serve 360 platform, which houses Marriott International's CSR strategy, demonstrates the organization's all-encompassing stance on sustainability and the circular economy. This policy serves as evidence of Marriott's dedication to "Doing Good in Every Direction," a commitment that promotes an enterprise-wide culture of environmental stewardship and social responsibility in line with the Sustainable Development Goals of the United Nations</w:t>
      </w:r>
      <w:r w:rsidR="00DA1FBB">
        <w:t xml:space="preserve"> (</w:t>
      </w:r>
      <w:r w:rsidR="00DA1FBB">
        <w:rPr>
          <w:i/>
          <w:iCs/>
        </w:rPr>
        <w:t>Marriott's sustainability and Social Impact Program aims for large-scale change</w:t>
      </w:r>
      <w:r w:rsidR="00DA1FBB">
        <w:t xml:space="preserve"> 2023)</w:t>
      </w:r>
      <w:r>
        <w:t>.</w:t>
      </w:r>
    </w:p>
    <w:p w14:paraId="59E7D46C" w14:textId="3D6FC6FF" w:rsidR="0059179D" w:rsidRPr="0059179D" w:rsidRDefault="0059179D" w:rsidP="0059179D">
      <w:pPr>
        <w:pStyle w:val="Heading2"/>
      </w:pPr>
      <w:bookmarkStart w:id="3" w:name="_Toc157679117"/>
      <w:r w:rsidRPr="0059179D">
        <w:t>Circular Economy Practices</w:t>
      </w:r>
      <w:bookmarkEnd w:id="3"/>
    </w:p>
    <w:p w14:paraId="2E6D0439" w14:textId="4831E6CB" w:rsidR="0059179D" w:rsidRDefault="0059179D" w:rsidP="0059179D">
      <w:r>
        <w:t>Marriott has adopted several innovative practices to promote a circular economy within its operations:</w:t>
      </w:r>
    </w:p>
    <w:p w14:paraId="0790C3F6" w14:textId="20260E61" w:rsidR="0059179D" w:rsidRDefault="0059179D" w:rsidP="0059179D">
      <w:pPr>
        <w:pStyle w:val="ListParagraph"/>
        <w:numPr>
          <w:ilvl w:val="0"/>
          <w:numId w:val="1"/>
        </w:numPr>
      </w:pPr>
      <w:r w:rsidRPr="0059179D">
        <w:rPr>
          <w:b/>
          <w:bCs/>
        </w:rPr>
        <w:t xml:space="preserve">Waste Management and Recycling: </w:t>
      </w:r>
      <w:r>
        <w:t>According to Marriott, the implementation of residential-sized bath amenities can significantly reduce waste by around 500 million miniature bath amenity bottles being disposed of in landfills annually</w:t>
      </w:r>
      <w:r w:rsidR="00DA1FBB">
        <w:t xml:space="preserve"> (Kilburn &amp; Brettell, 2022)</w:t>
      </w:r>
      <w:r>
        <w:t>. This endeavour is a constituent part of a broader waste reduction strategy aimed at minimizing the ecological footprint of the firm through enhanced waste management processes and recycling programs.</w:t>
      </w:r>
    </w:p>
    <w:p w14:paraId="25B5B510" w14:textId="03EC11C8" w:rsidR="0059179D" w:rsidRDefault="0059179D" w:rsidP="0059179D">
      <w:pPr>
        <w:pStyle w:val="ListParagraph"/>
        <w:numPr>
          <w:ilvl w:val="0"/>
          <w:numId w:val="1"/>
        </w:numPr>
      </w:pPr>
      <w:r w:rsidRPr="0059179D">
        <w:rPr>
          <w:b/>
          <w:bCs/>
        </w:rPr>
        <w:t>Water Conservation:</w:t>
      </w:r>
      <w:r>
        <w:t xml:space="preserve"> Through the implementation of water conservation measures throughout its properties, Marriott is actively engaged in the promotion and preservation of water resources</w:t>
      </w:r>
      <w:r w:rsidR="00DA1FBB">
        <w:t xml:space="preserve"> (Chan, 2021)</w:t>
      </w:r>
      <w:r>
        <w:t>. These initiatives are in accordance with the organization's objective of decreasing water usage per occupied space by 15 percent from its 2016 foundation by 2025, so demonstrating a dedication to conserving this crucial resource.​​.</w:t>
      </w:r>
    </w:p>
    <w:p w14:paraId="7FFCBC58" w14:textId="74931867" w:rsidR="0059179D" w:rsidRDefault="0059179D" w:rsidP="0059179D">
      <w:pPr>
        <w:pStyle w:val="ListParagraph"/>
        <w:numPr>
          <w:ilvl w:val="0"/>
          <w:numId w:val="1"/>
        </w:numPr>
      </w:pPr>
      <w:r w:rsidRPr="0059179D">
        <w:rPr>
          <w:b/>
          <w:bCs/>
        </w:rPr>
        <w:t>Sustainable Sourcing:</w:t>
      </w:r>
      <w:r>
        <w:t xml:space="preserve"> Marriott's aspiration to get fifty percent of its product locally by 2025 highlights the company's commitment to sustainable sourcing techniques</w:t>
      </w:r>
      <w:r w:rsidR="00DA1FBB">
        <w:t xml:space="preserve"> (</w:t>
      </w:r>
      <w:r w:rsidR="00DA1FBB">
        <w:rPr>
          <w:i/>
          <w:iCs/>
        </w:rPr>
        <w:t>Marriott International publishes latest report on environmental, social, and governance progress</w:t>
      </w:r>
      <w:r w:rsidR="00DA1FBB">
        <w:t xml:space="preserve"> 2022)</w:t>
      </w:r>
      <w:r>
        <w:t>. This endeavour not only provides assistance to regional agriculture but also mitigates the environmental impact of long-distance food transportation by reducing carbon emissions.</w:t>
      </w:r>
    </w:p>
    <w:p w14:paraId="30C700BA" w14:textId="75E0AEB9" w:rsidR="0059179D" w:rsidRDefault="0059179D" w:rsidP="0059179D">
      <w:pPr>
        <w:pStyle w:val="ListParagraph"/>
        <w:numPr>
          <w:ilvl w:val="0"/>
          <w:numId w:val="1"/>
        </w:numPr>
      </w:pPr>
      <w:r w:rsidRPr="0059179D">
        <w:rPr>
          <w:b/>
          <w:bCs/>
        </w:rPr>
        <w:t>Energy Efficiency and Renewable Energy:</w:t>
      </w:r>
      <w:r>
        <w:t xml:space="preserve"> With the construction of more than 5,500 electric vehicle (EV) charging stations worldwide, Marriott demonstrates its dedication to decreasing energy usage and boosting renewable energy</w:t>
      </w:r>
      <w:r w:rsidR="00DA1FBB">
        <w:t xml:space="preserve"> (Russell, 2021)</w:t>
      </w:r>
      <w:r>
        <w:t>. Complementing these endeavours is the organization's overarching strategy objective to decrease carbon emissions per square meter of conditioned space by 30 percent by 2025, relative to a baseline set in 2016</w:t>
      </w:r>
      <w:r w:rsidR="00DA1FBB">
        <w:t xml:space="preserve"> (Russell, 2021)</w:t>
      </w:r>
      <w:r>
        <w:t>.</w:t>
      </w:r>
    </w:p>
    <w:p w14:paraId="35D9C595" w14:textId="77777777" w:rsidR="00A01B86" w:rsidRDefault="00A01B86" w:rsidP="00A01B86">
      <w:pPr>
        <w:ind w:left="360"/>
      </w:pPr>
    </w:p>
    <w:p w14:paraId="3AB3ED4B" w14:textId="60C1A6FD" w:rsidR="0059179D" w:rsidRPr="0059179D" w:rsidRDefault="0059179D" w:rsidP="0059179D">
      <w:pPr>
        <w:pStyle w:val="Heading2"/>
      </w:pPr>
      <w:bookmarkStart w:id="4" w:name="_Toc157679118"/>
      <w:r w:rsidRPr="0059179D">
        <w:t>Impact and Challenges</w:t>
      </w:r>
      <w:bookmarkEnd w:id="4"/>
    </w:p>
    <w:p w14:paraId="46C0F95B" w14:textId="496161C5" w:rsidR="0059179D" w:rsidRDefault="0059179D" w:rsidP="0059179D">
      <w:r>
        <w:t>Marriott's significant advancements towards its sustainability objectives by 2025 provide as clear evidence of the efficacy of its circular economy initiatives. The implementation of electric vehicle (EV) charging stations, the elimination of single-use plastic, and the allocation of resources towards renewable energy initiatives serve as concrete examples of how the organization has diminished its environmental footprint</w:t>
      </w:r>
      <w:r w:rsidR="00DA1FBB">
        <w:t xml:space="preserve"> (Jayachandran et al., 2022)</w:t>
      </w:r>
      <w:r>
        <w:t>. Furthermore, the expansion of diversity in leadership roles and the provision of training for associates to identify indicators of human trafficking exemplify how Marriott's commitment to social impact underscores the wider societal advantages of its corporate social responsibility (CSR) approach.</w:t>
      </w:r>
    </w:p>
    <w:p w14:paraId="5AE00384" w14:textId="3EA6B3D4" w:rsidR="0059179D" w:rsidRDefault="0059179D" w:rsidP="0059179D">
      <w:r>
        <w:t>Nonetheless, obstacles persist in the endeavour to achieve these lofty objectives. The persistent challenges lie in the scalability of sustainable practices over an international portfolio of properties, compliance with diverse local requirements, and the continuous requirement to reconcile economic feasibility with environmental and social obligations</w:t>
      </w:r>
      <w:r w:rsidR="00DA1FBB">
        <w:t xml:space="preserve"> (Basak &amp; Mitra, 2021)</w:t>
      </w:r>
      <w:r>
        <w:t>. Additionally, as a result of its operating characteristics, the hospitality sector encounters inherent difficulties with energy consumption and waste management, necessitating ongoing adaptation and innovation in sustainable practices.</w:t>
      </w:r>
    </w:p>
    <w:p w14:paraId="18E86105" w14:textId="77777777" w:rsidR="0059179D" w:rsidRDefault="0059179D" w:rsidP="0059179D"/>
    <w:p w14:paraId="6B1DFEEA" w14:textId="55FD37AD" w:rsidR="0059179D" w:rsidRDefault="0059179D" w:rsidP="0059179D">
      <w:pPr>
        <w:pStyle w:val="Heading1"/>
      </w:pPr>
      <w:bookmarkStart w:id="5" w:name="_Toc157679119"/>
      <w:r w:rsidRPr="0059179D">
        <w:t>Industry Examples</w:t>
      </w:r>
      <w:bookmarkEnd w:id="5"/>
    </w:p>
    <w:p w14:paraId="6EEB0A0D" w14:textId="7DB54002" w:rsidR="0059179D" w:rsidRDefault="0059179D" w:rsidP="0059179D">
      <w:r>
        <w:t>Acceptance of circular economy ideas is not only a passing fad in the hotel sector; rather, it is a must for ensuring sustainable expansion and operation. When examining Marriott International's stance on circular economy practices in comparison to other entities in the business, one may discern a wide array of sustainable strategies and projects</w:t>
      </w:r>
      <w:r w:rsidR="00DA1FBB">
        <w:t xml:space="preserve"> (Bushuyev et al., 2023)</w:t>
      </w:r>
      <w:r>
        <w:t>.</w:t>
      </w:r>
    </w:p>
    <w:p w14:paraId="1FFBCE7E" w14:textId="77777777" w:rsidR="0059179D" w:rsidRDefault="0059179D" w:rsidP="0059179D">
      <w:r>
        <w:t>By means of its Serve 360 platform, Marriott International prioritizes waste reduction, energy efficiency improvement, and sustainable sourcing. This all-encompassing approach emphasizes a dedication to reducing ecological harm while promoting societal accountability.</w:t>
      </w:r>
    </w:p>
    <w:p w14:paraId="7878D721" w14:textId="037E4DD7" w:rsidR="0059179D" w:rsidRDefault="0059179D" w:rsidP="0059179D">
      <w:r>
        <w:t>Additional organizations within the hospitality industry are using inventive strategies towards circularity, with an emphasis on waste reduction, resource conservation, and material reuse through the repurposing of products and the minimization of single-use items</w:t>
      </w:r>
      <w:r w:rsidR="00DA1FBB">
        <w:t xml:space="preserve"> (Bushuyev et al., 2023)</w:t>
      </w:r>
      <w:r>
        <w:t>. As an illustration, several hotels are reassessing their supply chains to guarantee that they are helping local communities, procuring locally, and managing trash efficiently in the vicinity of their facilities. This method encourages community-centric sustainability practices and helps local economy in addition to addressing trash management.</w:t>
      </w:r>
    </w:p>
    <w:p w14:paraId="52C9B8B3" w14:textId="2651E1F2" w:rsidR="0059179D" w:rsidRDefault="0059179D" w:rsidP="0059179D">
      <w:r>
        <w:t>A study that centres on hotel chain operators in Scandinavia underscores the potential economic, social, and ecological benefits that may be derived by implementing circular economy principles. By means of cost reduction in operations, improvement of sustainability positioning in the market, and fulfilment of customer needs for environmentally friendly lodgings, these approaches have the potential to provide competitive advantages</w:t>
      </w:r>
      <w:r w:rsidR="00DA1FBB">
        <w:t xml:space="preserve"> (Basak &amp; Mitra, 2021)</w:t>
      </w:r>
      <w:r>
        <w:t>. The research highlights the significance of legislative assistance, supply chain innovations, and new business models in promoting the implementation of circular economy practices within the hotel sector.</w:t>
      </w:r>
    </w:p>
    <w:p w14:paraId="7ACF1296" w14:textId="4C5EDCE8" w:rsidR="0059179D" w:rsidRDefault="0059179D" w:rsidP="0059179D">
      <w:r>
        <w:t>Furthermore, it is imperative that hotel workers and management has the knowledge and understanding necessary to effectively execute circular economy principles</w:t>
      </w:r>
      <w:r w:rsidR="00A01B86">
        <w:t xml:space="preserve"> (Yadav et al., 2020)</w:t>
      </w:r>
      <w:r>
        <w:t>. Training initiatives cantered around circular economy and design principles have the potential to enable personnel at every hierarchical level to actively participate in the pursuit of sustainability objectives, hence bolstering the sector's progression towards a more circular paradigm.</w:t>
      </w:r>
    </w:p>
    <w:p w14:paraId="25952ECE" w14:textId="292DF98B" w:rsidR="0059179D" w:rsidRDefault="0059179D" w:rsidP="0059179D">
      <w:r>
        <w:t>Upon comparing these practices with those of Marriott, it becomes apparent that although Marriott is making substantial progress towards sustainability via its Serve 360 platform, other organizations are similarly advancing in their efforts to incorporate circular economy principles into their business operations</w:t>
      </w:r>
      <w:r w:rsidR="00A01B86">
        <w:t xml:space="preserve"> (Ronzoni et al., 2022)</w:t>
      </w:r>
      <w:r>
        <w:t>. In addition to embracing the adage "reduce, reuse, recycle," achieving success requires reevaluating and revamping processes, goods, and services in order to demonstrate a more profound commitment to sustainability.</w:t>
      </w:r>
    </w:p>
    <w:p w14:paraId="3AF4102B" w14:textId="69708E11" w:rsidR="0059179D" w:rsidRDefault="0059179D" w:rsidP="0059179D">
      <w:r>
        <w:t>Industry best practices advocate for a comprehensive approach to sustainability, in which circular economy concepts permeate every facet of operations—including design, supply, material sourcing, and repurposing. This method not only facilitates environmental preservation but also fosters social accountability and economic feasibility, therefore contributing to the hotel industry's overarching sustainability objectives.</w:t>
      </w:r>
    </w:p>
    <w:p w14:paraId="364B5478" w14:textId="77777777" w:rsidR="0059179D" w:rsidRDefault="0059179D" w:rsidP="0059179D"/>
    <w:p w14:paraId="6FB96FCB" w14:textId="23B4D096" w:rsidR="0059179D" w:rsidRDefault="0059179D" w:rsidP="0059179D">
      <w:pPr>
        <w:pStyle w:val="Heading1"/>
      </w:pPr>
      <w:bookmarkStart w:id="6" w:name="_Toc157679120"/>
      <w:r>
        <w:t>Conclusion</w:t>
      </w:r>
      <w:bookmarkEnd w:id="6"/>
    </w:p>
    <w:p w14:paraId="52626268" w14:textId="77777777" w:rsidR="0059179D" w:rsidRDefault="0059179D" w:rsidP="0059179D">
      <w:r>
        <w:t>An examination of Marriott International's incorporation of circular economy principles into its Corporate Social Responsibility (CSR) strategy unveils an innovative stance on environmental friendliness within the realm of hospitality. Serving 360, an effort developed by Marriott, demonstrates the company's dedication to mitigating environmental harm by implementing strategies like water saving, waste reduction, sustainable sourcing, and recycling. These initiatives exemplify Marriott's commitment to environmental stewardship and underscore the economic and social advantages that may be gained by incorporating circular economy ideas into corporate social responsibility (CSR) programs.</w:t>
      </w:r>
    </w:p>
    <w:p w14:paraId="0E3D9A12" w14:textId="5CCB9BB8" w:rsidR="0059179D" w:rsidRDefault="0059179D" w:rsidP="0059179D">
      <w:r>
        <w:t>Incorporating circular economy techniques into corporate social responsibility (CSR) strategies is an imperative for the hotel industry's long-term viability, not a passing fad. This approach provides a means to decrease waste, optimize operating expenses, and bolster brand image through the fulfilment of the increasing customer need for environmentally conscious enterprises. Additionally, these endeavours support the worldwide sustainability objectives, highlighting the criticality of environmental preservation and societal accountability.</w:t>
      </w:r>
    </w:p>
    <w:p w14:paraId="66E0DCBF" w14:textId="3903FD9B" w:rsidR="00A01B86" w:rsidRDefault="0059179D" w:rsidP="0059179D">
      <w:r>
        <w:t>In conclusion, it is impossible to overestimate the relevance of sustainability in the hotel sector. Marriott International's exemplary conduct suggests that there is considerable room for more progress in the realm of sustainable practices. Circular economy concepts are poised to steer the sector toward a future that is more environmentally sustainable, fiscally feasible, and socially accountable.</w:t>
      </w:r>
    </w:p>
    <w:p w14:paraId="6924F9A0" w14:textId="77777777" w:rsidR="00A01B86" w:rsidRDefault="00A01B86">
      <w:pPr>
        <w:spacing w:line="259" w:lineRule="auto"/>
        <w:jc w:val="left"/>
      </w:pPr>
      <w:r>
        <w:br w:type="page"/>
      </w:r>
    </w:p>
    <w:p w14:paraId="3E6659C1" w14:textId="4748EFD2" w:rsidR="0059179D" w:rsidRDefault="0059179D" w:rsidP="0059179D">
      <w:pPr>
        <w:pStyle w:val="Heading1"/>
      </w:pPr>
      <w:bookmarkStart w:id="7" w:name="_Toc157679121"/>
      <w:r>
        <w:t>References</w:t>
      </w:r>
      <w:bookmarkEnd w:id="7"/>
    </w:p>
    <w:p w14:paraId="26450B78" w14:textId="77777777" w:rsidR="00A01B86" w:rsidRDefault="00A01B86" w:rsidP="00A01B86">
      <w:pPr>
        <w:pStyle w:val="NormalWeb"/>
        <w:ind w:left="567" w:hanging="567"/>
      </w:pPr>
      <w:r>
        <w:t xml:space="preserve">Agudelo, M.A.L., J&amp;oacute;hannsd&amp;oacute;ttir, L. and Dav&amp;iacute;dsd&amp;oacute;ttir, B. (2019) </w:t>
      </w:r>
      <w:r>
        <w:rPr>
          <w:i/>
          <w:iCs/>
        </w:rPr>
        <w:t>A literature review of the history and evolution of Corporate Social Responsibility - International Journal of Corporate Social Responsibility</w:t>
      </w:r>
      <w:r>
        <w:t xml:space="preserve">, </w:t>
      </w:r>
      <w:r>
        <w:rPr>
          <w:i/>
          <w:iCs/>
        </w:rPr>
        <w:t>SpringerOpen</w:t>
      </w:r>
      <w:r>
        <w:t xml:space="preserve">. Available at: https://jcsr.springeropen.com/articles/10.1186/s40991-018-0039-y (Accessed: 01 February 2024). </w:t>
      </w:r>
    </w:p>
    <w:p w14:paraId="41D5D2C9" w14:textId="77777777" w:rsidR="00A01B86" w:rsidRDefault="00A01B86" w:rsidP="00A01B86">
      <w:pPr>
        <w:pStyle w:val="NormalWeb"/>
        <w:ind w:left="567" w:hanging="567"/>
      </w:pPr>
      <w:r>
        <w:t xml:space="preserve">Basak, S. and Mitra, S. (2021) ‘Environmental accounting—a new dimension of sustainable development’, </w:t>
      </w:r>
      <w:r>
        <w:rPr>
          <w:i/>
          <w:iCs/>
        </w:rPr>
        <w:t>Corporate Social Responsibility (CSR) Practices</w:t>
      </w:r>
      <w:r>
        <w:t xml:space="preserve">, pp. 85–95. doi:10.1201/9781003146414-5. </w:t>
      </w:r>
    </w:p>
    <w:p w14:paraId="43043AD7" w14:textId="77777777" w:rsidR="00A01B86" w:rsidRDefault="00A01B86" w:rsidP="00A01B86">
      <w:pPr>
        <w:pStyle w:val="NormalWeb"/>
        <w:ind w:left="567" w:hanging="567"/>
      </w:pPr>
      <w:r>
        <w:t xml:space="preserve">Bushuyev, S., Bushuyeva, N. and Bushuieva, V. (2023) ‘Methodology hybridization for sustainable strategic management of circular projects and programs’, </w:t>
      </w:r>
      <w:r>
        <w:rPr>
          <w:i/>
          <w:iCs/>
        </w:rPr>
        <w:t>Sustainable Business Change</w:t>
      </w:r>
      <w:r>
        <w:t xml:space="preserve">, pp. 197–209. doi:10.1007/978-3-031-23543-6_8. </w:t>
      </w:r>
    </w:p>
    <w:p w14:paraId="1452316F" w14:textId="77777777" w:rsidR="00A01B86" w:rsidRDefault="00A01B86" w:rsidP="00A01B86">
      <w:pPr>
        <w:pStyle w:val="NormalWeb"/>
        <w:ind w:left="567" w:hanging="567"/>
      </w:pPr>
      <w:r>
        <w:t xml:space="preserve">Chan, E.Y. (2021) ‘Saving mr. water: Anthropomorphizing water promotes water conservation’, </w:t>
      </w:r>
      <w:r>
        <w:rPr>
          <w:i/>
          <w:iCs/>
        </w:rPr>
        <w:t>Resources, Conservation and Recycling</w:t>
      </w:r>
      <w:r>
        <w:t xml:space="preserve">, 174, p. 105814. doi:10.1016/j.resconrec.2021.105814. </w:t>
      </w:r>
    </w:p>
    <w:p w14:paraId="303F354F" w14:textId="77777777" w:rsidR="00A01B86" w:rsidRDefault="00A01B86" w:rsidP="00A01B86">
      <w:pPr>
        <w:pStyle w:val="NormalWeb"/>
        <w:ind w:left="567" w:hanging="567"/>
      </w:pPr>
      <w:r>
        <w:t xml:space="preserve">Ellison, A.M., Felson, A.J. and Friess, D.A. (2020) </w:t>
      </w:r>
      <w:r>
        <w:rPr>
          <w:i/>
          <w:iCs/>
        </w:rPr>
        <w:t>Mangrove rehabilitation and restoration as experimental adaptive management</w:t>
      </w:r>
      <w:r>
        <w:t xml:space="preserve">, </w:t>
      </w:r>
      <w:r>
        <w:rPr>
          <w:i/>
          <w:iCs/>
        </w:rPr>
        <w:t>Frontiers</w:t>
      </w:r>
      <w:r>
        <w:t xml:space="preserve">. Available at: https://www.frontiersin.org/articles/10.3389/fmars.2020.00327/full (Accessed: 01 February 2024). </w:t>
      </w:r>
    </w:p>
    <w:p w14:paraId="03ECE434" w14:textId="77777777" w:rsidR="00A01B86" w:rsidRDefault="00A01B86" w:rsidP="00A01B86">
      <w:pPr>
        <w:pStyle w:val="NormalWeb"/>
        <w:ind w:left="567" w:hanging="567"/>
      </w:pPr>
      <w:r>
        <w:t xml:space="preserve">Jayachandran, M., Kalaiarasy, C. and Kalaivani, C. (2022) ‘Implementation issues with large-scale renewable energy sources and electric vehicle charging stations on the smart grid’, </w:t>
      </w:r>
      <w:r>
        <w:rPr>
          <w:i/>
          <w:iCs/>
        </w:rPr>
        <w:t>Smart Grids for Renewable Energy Systems, Electric Vehicles and Energy Storage Systems</w:t>
      </w:r>
      <w:r>
        <w:t xml:space="preserve">, pp. 45–58. doi:10.1201/9781003311195-3. </w:t>
      </w:r>
    </w:p>
    <w:p w14:paraId="31FB63D3" w14:textId="77777777" w:rsidR="00A01B86" w:rsidRDefault="00A01B86" w:rsidP="00A01B86">
      <w:pPr>
        <w:pStyle w:val="NormalWeb"/>
        <w:ind w:left="567" w:hanging="567"/>
      </w:pPr>
      <w:r>
        <w:t xml:space="preserve">Kilburn, H. and Brettell, P. (2022) </w:t>
      </w:r>
      <w:r>
        <w:rPr>
          <w:i/>
          <w:iCs/>
        </w:rPr>
        <w:t>Marriott International to eliminate single-use shower toiletry bottles • hotel designs</w:t>
      </w:r>
      <w:r>
        <w:t xml:space="preserve">, </w:t>
      </w:r>
      <w:r>
        <w:rPr>
          <w:i/>
          <w:iCs/>
        </w:rPr>
        <w:t>Hotel Designs</w:t>
      </w:r>
      <w:r>
        <w:t xml:space="preserve">. Available at: https://hoteldesigns.net/industry-news/marriott-international-to-eliminate-single-use-shower-toiletry-bottles/ (Accessed: 01 February 2024). </w:t>
      </w:r>
    </w:p>
    <w:p w14:paraId="143173B1" w14:textId="77777777" w:rsidR="00A01B86" w:rsidRDefault="00A01B86" w:rsidP="00A01B86">
      <w:pPr>
        <w:pStyle w:val="NormalWeb"/>
        <w:ind w:left="567" w:hanging="567"/>
      </w:pPr>
      <w:r>
        <w:rPr>
          <w:i/>
          <w:iCs/>
        </w:rPr>
        <w:t>Marriott International</w:t>
      </w:r>
      <w:r>
        <w:t xml:space="preserve"> (2023) </w:t>
      </w:r>
      <w:r>
        <w:rPr>
          <w:i/>
          <w:iCs/>
        </w:rPr>
        <w:t>Diversity for Social Impact</w:t>
      </w:r>
      <w:r>
        <w:t xml:space="preserve">. Available at: https://diversity.social/top-diversity-employers/marriott-international/ (Accessed: 01 February 2024). </w:t>
      </w:r>
    </w:p>
    <w:p w14:paraId="482FFF34" w14:textId="77777777" w:rsidR="00A01B86" w:rsidRDefault="00A01B86" w:rsidP="00A01B86">
      <w:pPr>
        <w:pStyle w:val="NormalWeb"/>
        <w:ind w:left="567" w:hanging="567"/>
      </w:pPr>
      <w:r>
        <w:rPr>
          <w:i/>
          <w:iCs/>
        </w:rPr>
        <w:t>Marriott International publishes latest report on environmental, social, and governance progress</w:t>
      </w:r>
      <w:r>
        <w:t xml:space="preserve"> (2022) </w:t>
      </w:r>
      <w:r>
        <w:rPr>
          <w:i/>
          <w:iCs/>
        </w:rPr>
        <w:t>Marriott International Newscenter (US)</w:t>
      </w:r>
      <w:r>
        <w:t xml:space="preserve">. Available at: https://news.marriott.com/news/2022/10/27/marriott-international-publishes-latest-report-on-environmental-social-and-governance-progress (Accessed: 01 February 2024). </w:t>
      </w:r>
    </w:p>
    <w:p w14:paraId="745E46AE" w14:textId="77777777" w:rsidR="00A01B86" w:rsidRDefault="00A01B86" w:rsidP="00A01B86">
      <w:pPr>
        <w:pStyle w:val="NormalWeb"/>
        <w:ind w:left="567" w:hanging="567"/>
      </w:pPr>
      <w:r>
        <w:rPr>
          <w:i/>
          <w:iCs/>
        </w:rPr>
        <w:t>Marriott International Reports on environmental, social, and governance progress</w:t>
      </w:r>
      <w:r>
        <w:t xml:space="preserve"> (2021) </w:t>
      </w:r>
      <w:r>
        <w:rPr>
          <w:i/>
          <w:iCs/>
        </w:rPr>
        <w:t>Marriott International Newscenter</w:t>
      </w:r>
      <w:r>
        <w:t xml:space="preserve">. Available at: https://news.marriott.com/news/2021/09/14/marriott-international-reports-on-environmental-social-and-governance-progress (Accessed: 01 February 2024). </w:t>
      </w:r>
    </w:p>
    <w:p w14:paraId="5FCA646A" w14:textId="77777777" w:rsidR="00A01B86" w:rsidRDefault="00A01B86" w:rsidP="00A01B86">
      <w:pPr>
        <w:pStyle w:val="NormalWeb"/>
        <w:ind w:left="567" w:hanging="567"/>
      </w:pPr>
      <w:r>
        <w:rPr>
          <w:i/>
          <w:iCs/>
        </w:rPr>
        <w:t>Marriott’s sustainability and Social Impact Program aims for large-scale change</w:t>
      </w:r>
      <w:r>
        <w:t xml:space="preserve"> (2023) </w:t>
      </w:r>
      <w:r>
        <w:rPr>
          <w:i/>
          <w:iCs/>
        </w:rPr>
        <w:t>U.S. Green Building Council</w:t>
      </w:r>
      <w:r>
        <w:t xml:space="preserve">. Available at: https://www.usgbc.org/articles/marriott-s-sustainability-and-social-impact-program-aims-large-scale-change (Accessed: 01 February 2024). </w:t>
      </w:r>
    </w:p>
    <w:p w14:paraId="727B233A" w14:textId="77777777" w:rsidR="00A01B86" w:rsidRDefault="00A01B86" w:rsidP="00A01B86">
      <w:pPr>
        <w:pStyle w:val="NormalWeb"/>
        <w:ind w:left="567" w:hanging="567"/>
      </w:pPr>
      <w:r>
        <w:t xml:space="preserve">Ronzoni, M. </w:t>
      </w:r>
      <w:r>
        <w:rPr>
          <w:i/>
          <w:iCs/>
        </w:rPr>
        <w:t>et al.</w:t>
      </w:r>
      <w:r>
        <w:t xml:space="preserve"> (2022) ‘Economic and environmental optimization of packaging containers choice in Food Catering Supply Chain’, </w:t>
      </w:r>
      <w:r>
        <w:rPr>
          <w:i/>
          <w:iCs/>
        </w:rPr>
        <w:t>Transportation Research Procedia</w:t>
      </w:r>
      <w:r>
        <w:t xml:space="preserve">, 67, pp. 163–171. doi:10.1016/j.trpro.2022.12.047. </w:t>
      </w:r>
    </w:p>
    <w:p w14:paraId="79035769" w14:textId="77777777" w:rsidR="00A01B86" w:rsidRDefault="00A01B86" w:rsidP="00A01B86">
      <w:pPr>
        <w:pStyle w:val="NormalWeb"/>
        <w:ind w:left="567" w:hanging="567"/>
      </w:pPr>
      <w:r>
        <w:t xml:space="preserve">Russell, J. (2021) </w:t>
      </w:r>
      <w:r>
        <w:rPr>
          <w:i/>
          <w:iCs/>
        </w:rPr>
        <w:t>Marriott’s global commitment to net zero</w:t>
      </w:r>
      <w:r>
        <w:t xml:space="preserve">, </w:t>
      </w:r>
      <w:r>
        <w:rPr>
          <w:i/>
          <w:iCs/>
        </w:rPr>
        <w:t>Hospitality &amp; Catering News</w:t>
      </w:r>
      <w:r>
        <w:t xml:space="preserve">. Available at: https://www.hospitalityandcateringnews.com/2021/09/marriott-net-zero/ (Accessed: 01 February 2024). </w:t>
      </w:r>
    </w:p>
    <w:p w14:paraId="103D545A" w14:textId="77777777" w:rsidR="00A01B86" w:rsidRDefault="00A01B86" w:rsidP="00A01B86">
      <w:pPr>
        <w:pStyle w:val="NormalWeb"/>
        <w:ind w:left="567" w:hanging="567"/>
      </w:pPr>
      <w:r>
        <w:t xml:space="preserve">Yadav, M. </w:t>
      </w:r>
      <w:r>
        <w:rPr>
          <w:i/>
          <w:iCs/>
        </w:rPr>
        <w:t>et al.</w:t>
      </w:r>
      <w:r>
        <w:t xml:space="preserve"> (2020) ‘Role of corporate social responsibility (CSR) and Corporate Environmental Responsibility (CER) in achieving sustainability goals’, </w:t>
      </w:r>
      <w:r>
        <w:rPr>
          <w:i/>
          <w:iCs/>
        </w:rPr>
        <w:t>Green Innovation, Sustainable Development, and Circular Economy</w:t>
      </w:r>
      <w:r>
        <w:t xml:space="preserve">, pp. 173–186. doi:10.1201/9781003011255-14. </w:t>
      </w:r>
    </w:p>
    <w:p w14:paraId="1BD9C841" w14:textId="77777777" w:rsidR="00A01B86" w:rsidRDefault="00A01B86" w:rsidP="00A01B86">
      <w:pPr>
        <w:pStyle w:val="NormalWeb"/>
        <w:ind w:left="567" w:hanging="567"/>
      </w:pPr>
      <w:r>
        <w:t xml:space="preserve">Yang, J. </w:t>
      </w:r>
      <w:r>
        <w:rPr>
          <w:i/>
          <w:iCs/>
        </w:rPr>
        <w:t>et al.</w:t>
      </w:r>
      <w:r>
        <w:t xml:space="preserve"> (2016) ‘Energy gases and related carbon emissions in China’, </w:t>
      </w:r>
      <w:r>
        <w:rPr>
          <w:i/>
          <w:iCs/>
        </w:rPr>
        <w:t>Resources, Conservation and Recycling</w:t>
      </w:r>
      <w:r>
        <w:t xml:space="preserve">, 113, pp. 140–148. doi:10.1016/j.resconrec.2016.06.016. </w:t>
      </w:r>
    </w:p>
    <w:p w14:paraId="30E00B38" w14:textId="77777777" w:rsidR="0059179D" w:rsidRDefault="0059179D" w:rsidP="0059179D"/>
    <w:p w14:paraId="4E5CF77C" w14:textId="25D88223" w:rsidR="0059179D" w:rsidRDefault="0059179D" w:rsidP="0059179D">
      <w:pPr>
        <w:spacing w:line="259" w:lineRule="auto"/>
        <w:jc w:val="left"/>
      </w:pPr>
    </w:p>
    <w:sectPr w:rsidR="0059179D" w:rsidSect="009623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E60FF" w14:textId="77777777" w:rsidR="00962312" w:rsidRDefault="00962312" w:rsidP="00596A5B">
      <w:pPr>
        <w:spacing w:after="0" w:line="240" w:lineRule="auto"/>
      </w:pPr>
      <w:r>
        <w:separator/>
      </w:r>
    </w:p>
  </w:endnote>
  <w:endnote w:type="continuationSeparator" w:id="0">
    <w:p w14:paraId="7AC8D1C0" w14:textId="77777777" w:rsidR="00962312" w:rsidRDefault="00962312" w:rsidP="00596A5B">
      <w:pPr>
        <w:spacing w:after="0" w:line="240" w:lineRule="auto"/>
      </w:pPr>
      <w:r>
        <w:continuationSeparator/>
      </w:r>
    </w:p>
  </w:endnote>
  <w:endnote w:type="continuationNotice" w:id="1">
    <w:p w14:paraId="03A44FA8" w14:textId="77777777" w:rsidR="00FA425F" w:rsidRDefault="00FA42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ADBDF" w14:textId="77777777" w:rsidR="00962312" w:rsidRDefault="00962312" w:rsidP="00596A5B">
      <w:pPr>
        <w:spacing w:after="0" w:line="240" w:lineRule="auto"/>
      </w:pPr>
      <w:r>
        <w:separator/>
      </w:r>
    </w:p>
  </w:footnote>
  <w:footnote w:type="continuationSeparator" w:id="0">
    <w:p w14:paraId="44395587" w14:textId="77777777" w:rsidR="00962312" w:rsidRDefault="00962312" w:rsidP="00596A5B">
      <w:pPr>
        <w:spacing w:after="0" w:line="240" w:lineRule="auto"/>
      </w:pPr>
      <w:r>
        <w:continuationSeparator/>
      </w:r>
    </w:p>
  </w:footnote>
  <w:footnote w:type="continuationNotice" w:id="1">
    <w:p w14:paraId="77316922" w14:textId="77777777" w:rsidR="00FA425F" w:rsidRDefault="00FA425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320819"/>
    <w:multiLevelType w:val="hybridMultilevel"/>
    <w:tmpl w:val="9D0C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1808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9D"/>
    <w:rsid w:val="001C5BB8"/>
    <w:rsid w:val="0059179D"/>
    <w:rsid w:val="00596A5B"/>
    <w:rsid w:val="008716D7"/>
    <w:rsid w:val="008748AE"/>
    <w:rsid w:val="00962312"/>
    <w:rsid w:val="00986790"/>
    <w:rsid w:val="00A01B86"/>
    <w:rsid w:val="00BA6E69"/>
    <w:rsid w:val="00DA1FBB"/>
    <w:rsid w:val="00F0675F"/>
    <w:rsid w:val="00FA42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482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79D"/>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59179D"/>
    <w:pPr>
      <w:outlineLvl w:val="0"/>
    </w:pPr>
    <w:rPr>
      <w:b/>
      <w:bCs/>
      <w:sz w:val="28"/>
      <w:szCs w:val="28"/>
    </w:rPr>
  </w:style>
  <w:style w:type="paragraph" w:styleId="Heading2">
    <w:name w:val="heading 2"/>
    <w:basedOn w:val="Normal"/>
    <w:next w:val="Normal"/>
    <w:link w:val="Heading2Char"/>
    <w:uiPriority w:val="9"/>
    <w:unhideWhenUsed/>
    <w:qFormat/>
    <w:rsid w:val="0059179D"/>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9D"/>
    <w:rPr>
      <w:rFonts w:ascii="Arial" w:hAnsi="Arial" w:cs="Arial"/>
      <w:b/>
      <w:bCs/>
      <w:sz w:val="28"/>
      <w:szCs w:val="28"/>
    </w:rPr>
  </w:style>
  <w:style w:type="paragraph" w:styleId="TOCHeading">
    <w:name w:val="TOC Heading"/>
    <w:basedOn w:val="Heading1"/>
    <w:next w:val="Normal"/>
    <w:uiPriority w:val="39"/>
    <w:unhideWhenUsed/>
    <w:qFormat/>
    <w:rsid w:val="0059179D"/>
    <w:pPr>
      <w:outlineLvl w:val="9"/>
    </w:pPr>
    <w:rPr>
      <w:lang w:val="en-US"/>
      <w14:ligatures w14:val="none"/>
    </w:rPr>
  </w:style>
  <w:style w:type="character" w:customStyle="1" w:styleId="Heading2Char">
    <w:name w:val="Heading 2 Char"/>
    <w:basedOn w:val="DefaultParagraphFont"/>
    <w:link w:val="Heading2"/>
    <w:uiPriority w:val="9"/>
    <w:rsid w:val="0059179D"/>
    <w:rPr>
      <w:rFonts w:ascii="Arial" w:hAnsi="Arial" w:cs="Arial"/>
      <w:b/>
      <w:bCs/>
      <w:sz w:val="24"/>
      <w:szCs w:val="24"/>
    </w:rPr>
  </w:style>
  <w:style w:type="paragraph" w:styleId="TOC1">
    <w:name w:val="toc 1"/>
    <w:basedOn w:val="Normal"/>
    <w:next w:val="Normal"/>
    <w:autoRedefine/>
    <w:uiPriority w:val="39"/>
    <w:unhideWhenUsed/>
    <w:rsid w:val="0059179D"/>
    <w:pPr>
      <w:spacing w:after="100"/>
    </w:pPr>
  </w:style>
  <w:style w:type="paragraph" w:styleId="TOC2">
    <w:name w:val="toc 2"/>
    <w:basedOn w:val="Normal"/>
    <w:next w:val="Normal"/>
    <w:autoRedefine/>
    <w:uiPriority w:val="39"/>
    <w:unhideWhenUsed/>
    <w:rsid w:val="0059179D"/>
    <w:pPr>
      <w:spacing w:after="100"/>
      <w:ind w:left="240"/>
    </w:pPr>
  </w:style>
  <w:style w:type="character" w:styleId="Hyperlink">
    <w:name w:val="Hyperlink"/>
    <w:basedOn w:val="DefaultParagraphFont"/>
    <w:uiPriority w:val="99"/>
    <w:unhideWhenUsed/>
    <w:rsid w:val="0059179D"/>
    <w:rPr>
      <w:color w:val="0563C1" w:themeColor="hyperlink"/>
      <w:u w:val="single"/>
    </w:rPr>
  </w:style>
  <w:style w:type="paragraph" w:styleId="ListParagraph">
    <w:name w:val="List Paragraph"/>
    <w:basedOn w:val="Normal"/>
    <w:uiPriority w:val="34"/>
    <w:qFormat/>
    <w:rsid w:val="0059179D"/>
    <w:pPr>
      <w:ind w:left="720"/>
      <w:contextualSpacing/>
    </w:pPr>
  </w:style>
  <w:style w:type="paragraph" w:styleId="NormalWeb">
    <w:name w:val="Normal (Web)"/>
    <w:basedOn w:val="Normal"/>
    <w:uiPriority w:val="99"/>
    <w:semiHidden/>
    <w:unhideWhenUsed/>
    <w:rsid w:val="00A01B86"/>
    <w:pPr>
      <w:spacing w:before="100" w:beforeAutospacing="1" w:after="100" w:afterAutospacing="1" w:line="240" w:lineRule="auto"/>
      <w:jc w:val="left"/>
    </w:pPr>
    <w:rPr>
      <w:rFonts w:ascii="Times New Roman" w:eastAsia="Times New Roman" w:hAnsi="Times New Roman" w:cs="Times New Roman"/>
      <w:lang w:eastAsia="en-GB"/>
      <w14:ligatures w14:val="none"/>
    </w:rPr>
  </w:style>
  <w:style w:type="paragraph" w:styleId="NoSpacing">
    <w:name w:val="No Spacing"/>
    <w:link w:val="NoSpacingChar"/>
    <w:uiPriority w:val="1"/>
    <w:qFormat/>
    <w:rsid w:val="00A01B86"/>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A01B86"/>
    <w:rPr>
      <w:rFonts w:eastAsiaTheme="minorEastAsia"/>
      <w:lang w:val="en-US"/>
      <w14:ligatures w14:val="none"/>
    </w:rPr>
  </w:style>
  <w:style w:type="paragraph" w:styleId="Header">
    <w:name w:val="header"/>
    <w:basedOn w:val="Normal"/>
    <w:link w:val="HeaderChar"/>
    <w:uiPriority w:val="99"/>
    <w:unhideWhenUsed/>
    <w:rsid w:val="00596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A5B"/>
    <w:rPr>
      <w:rFonts w:ascii="Arial" w:hAnsi="Arial" w:cs="Arial"/>
      <w:sz w:val="24"/>
      <w:szCs w:val="24"/>
    </w:rPr>
  </w:style>
  <w:style w:type="paragraph" w:styleId="Footer">
    <w:name w:val="footer"/>
    <w:basedOn w:val="Normal"/>
    <w:link w:val="FooterChar"/>
    <w:uiPriority w:val="99"/>
    <w:unhideWhenUsed/>
    <w:rsid w:val="00596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A5B"/>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17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2813</Words>
  <Characters>16035</Characters>
  <Application>Microsoft Office Word</Application>
  <DocSecurity>4</DocSecurity>
  <Lines>133</Lines>
  <Paragraphs>37</Paragraphs>
  <ScaleCrop>false</ScaleCrop>
  <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2024-02-01T15:19:00Z</dcterms:created>
  <dcterms:modified xsi:type="dcterms:W3CDTF">2024-02-01T15:57:00Z</dcterms:modified>
</cp:coreProperties>
</file>