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F19CB" w:rsidRDefault="00AF19CB"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Lecturer: Jessica Clapham</w:t>
      </w:r>
    </w:p>
    <w:p w:rsidR="00AF19CB" w:rsidRDefault="00AF19CB"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Key Issues HPEN7004</w:t>
      </w:r>
    </w:p>
    <w:p w:rsidR="00AF19CB" w:rsidRDefault="00AF19CB"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 xml:space="preserve">Student: </w:t>
      </w:r>
      <w:proofErr w:type="spellStart"/>
      <w:r>
        <w:rPr>
          <w:rFonts w:ascii="Arial" w:eastAsia="Times New Roman" w:hAnsi="Arial" w:cs="Arial"/>
          <w:b/>
          <w:bCs/>
          <w:color w:val="000000"/>
          <w:kern w:val="0"/>
          <w:lang w:eastAsia="en-GB"/>
          <w14:ligatures w14:val="none"/>
        </w:rPr>
        <w:t>Melis</w:t>
      </w:r>
      <w:proofErr w:type="spellEnd"/>
      <w:r>
        <w:rPr>
          <w:rFonts w:ascii="Arial" w:eastAsia="Times New Roman" w:hAnsi="Arial" w:cs="Arial"/>
          <w:b/>
          <w:bCs/>
          <w:color w:val="000000"/>
          <w:kern w:val="0"/>
          <w:lang w:eastAsia="en-GB"/>
          <w14:ligatures w14:val="none"/>
        </w:rPr>
        <w:t xml:space="preserve"> Shaban </w:t>
      </w:r>
    </w:p>
    <w:p w:rsidR="00AF19CB" w:rsidRDefault="00AF19CB"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Student ID:2212035</w:t>
      </w:r>
    </w:p>
    <w:p w:rsidR="00AF19CB" w:rsidRDefault="00AF19CB"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Wordcount:2337</w:t>
      </w:r>
    </w:p>
    <w:p w:rsidR="00C40764" w:rsidRPr="00C40764" w:rsidRDefault="00AF19CB"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 xml:space="preserve">Title:    </w:t>
      </w:r>
      <w:r w:rsidR="00C40764" w:rsidRPr="00C40764">
        <w:rPr>
          <w:rFonts w:ascii="Arial" w:eastAsia="Times New Roman" w:hAnsi="Arial" w:cs="Arial"/>
          <w:b/>
          <w:bCs/>
          <w:color w:val="000000"/>
          <w:kern w:val="0"/>
          <w:lang w:eastAsia="en-GB"/>
          <w14:ligatures w14:val="none"/>
        </w:rPr>
        <w:t>Critiquing the nation</w:t>
      </w:r>
      <w:r w:rsidR="00C40764" w:rsidRPr="009D7984">
        <w:rPr>
          <w:rFonts w:ascii="Arial" w:eastAsia="Times New Roman" w:hAnsi="Arial" w:cs="Arial"/>
          <w:b/>
          <w:bCs/>
          <w:color w:val="000000"/>
          <w:kern w:val="0"/>
          <w:lang w:eastAsia="en-GB"/>
          <w14:ligatures w14:val="none"/>
        </w:rPr>
        <w:t xml:space="preserve"> </w:t>
      </w:r>
      <w:r w:rsidR="00C40764" w:rsidRPr="00C40764">
        <w:rPr>
          <w:rFonts w:ascii="Arial" w:eastAsia="Times New Roman" w:hAnsi="Arial" w:cs="Arial"/>
          <w:b/>
          <w:bCs/>
          <w:color w:val="000000"/>
          <w:kern w:val="0"/>
          <w:lang w:eastAsia="en-GB"/>
          <w14:ligatures w14:val="none"/>
        </w:rPr>
        <w:t>state</w:t>
      </w:r>
      <w:r w:rsidR="00C40764" w:rsidRPr="009D7984">
        <w:rPr>
          <w:rFonts w:ascii="Arial" w:eastAsia="Times New Roman" w:hAnsi="Arial" w:cs="Arial"/>
          <w:b/>
          <w:bCs/>
          <w:color w:val="000000"/>
          <w:kern w:val="0"/>
          <w:lang w:eastAsia="en-GB"/>
          <w14:ligatures w14:val="none"/>
        </w:rPr>
        <w:t xml:space="preserve"> </w:t>
      </w:r>
      <w:r w:rsidR="00C40764" w:rsidRPr="00C40764">
        <w:rPr>
          <w:rFonts w:ascii="Arial" w:eastAsia="Times New Roman" w:hAnsi="Arial" w:cs="Arial"/>
          <w:b/>
          <w:bCs/>
          <w:color w:val="000000"/>
          <w:kern w:val="0"/>
          <w:lang w:eastAsia="en-GB"/>
          <w14:ligatures w14:val="none"/>
        </w:rPr>
        <w:t>logic in Kachru’s Concentric Circles model</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Introduction</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Kachru’s Concentric Circles model remains one of the most influential attempts to describe the global sociolinguistic ecology of English. By grouping English-using contexts into an Inner Circle where English is historically institutionalised as a primary language, an Outer Circle where English is institutionalised through colonial history and functions widely as an additional language, and an Expanding Circle where English is learned chiefly as a foreign language, the model offered scholars and educators a clear way to talk about patterns of spread, acquisition, and function beyond a narrow “native speaker” frame. It also helped legitimise the study of postcolonial varieties and the idea of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rather than a single homogeneous English</w:t>
      </w:r>
      <w:r w:rsidR="003E6F91" w:rsidRPr="009D7984">
        <w:rPr>
          <w:rFonts w:ascii="Arial" w:eastAsia="Times New Roman" w:hAnsi="Arial" w:cs="Arial"/>
          <w:color w:val="000000"/>
          <w:kern w:val="0"/>
          <w:lang w:eastAsia="en-GB"/>
          <w14:ligatures w14:val="none"/>
        </w:rPr>
        <w:t xml:space="preserve"> </w:t>
      </w:r>
      <w:r w:rsidR="003E6F91" w:rsidRPr="009D7984">
        <w:rPr>
          <w:rFonts w:ascii="Arial" w:hAnsi="Arial" w:cs="Arial"/>
          <w:color w:val="000000"/>
        </w:rPr>
        <w:t>(</w:t>
      </w:r>
      <w:proofErr w:type="spellStart"/>
      <w:r w:rsidR="003E6F91" w:rsidRPr="009D7984">
        <w:rPr>
          <w:rFonts w:ascii="Arial" w:hAnsi="Arial" w:cs="Arial"/>
          <w:color w:val="000000"/>
        </w:rPr>
        <w:t>Tajeddin</w:t>
      </w:r>
      <w:proofErr w:type="spellEnd"/>
      <w:r w:rsidR="003E6F91" w:rsidRPr="009D7984">
        <w:rPr>
          <w:rFonts w:ascii="Arial" w:hAnsi="Arial" w:cs="Arial"/>
          <w:color w:val="000000"/>
        </w:rPr>
        <w:t xml:space="preserve"> and </w:t>
      </w:r>
      <w:proofErr w:type="spellStart"/>
      <w:r w:rsidR="003E6F91" w:rsidRPr="009D7984">
        <w:rPr>
          <w:rFonts w:ascii="Arial" w:hAnsi="Arial" w:cs="Arial"/>
          <w:color w:val="000000"/>
        </w:rPr>
        <w:t>Pakzadian</w:t>
      </w:r>
      <w:proofErr w:type="spellEnd"/>
      <w:r w:rsidR="003E6F91" w:rsidRPr="009D7984">
        <w:rPr>
          <w:rFonts w:ascii="Arial" w:hAnsi="Arial" w:cs="Arial"/>
          <w:color w:val="000000"/>
        </w:rPr>
        <w:t>, 2020).</w:t>
      </w:r>
    </w:p>
    <w:p w:rsidR="00C40764" w:rsidRPr="00C40764" w:rsidRDefault="00C40764" w:rsidP="009D7984">
      <w:pPr>
        <w:spacing w:before="100" w:beforeAutospacing="1" w:after="100" w:afterAutospacing="1" w:line="360" w:lineRule="auto"/>
        <w:jc w:val="both"/>
        <w:rPr>
          <w:rFonts w:ascii="Arial" w:hAnsi="Arial" w:cs="Arial"/>
          <w:color w:val="000000"/>
        </w:rPr>
      </w:pPr>
      <w:r w:rsidRPr="00C40764">
        <w:rPr>
          <w:rFonts w:ascii="Arial" w:eastAsia="Times New Roman" w:hAnsi="Arial" w:cs="Arial"/>
          <w:color w:val="000000"/>
          <w:kern w:val="0"/>
          <w:lang w:eastAsia="en-GB"/>
          <w14:ligatures w14:val="none"/>
        </w:rPr>
        <w:t>This essay critiques one specific aspect of the model: its nation-state orientation, which is tightly tied to a hierarchy of norms commonly glossed as “norm-providing / norm-developing / norm-dependent”. I argue that this “country-as-circle-member” logic was historically productive but is increasingly inadequate for analysing contemporary English because it (1) obscures the internal sociolinguistic variation within countries, (2) struggles to represent mobility, diaspora, and superdiverse urban settings, and (3) risks re-inscribing a hierarchy where Inner Circle norms are treated as the default reference point, even when real-world interaction is largely transnational, multilingual, and negotiated</w:t>
      </w:r>
      <w:r w:rsidR="003E6F91" w:rsidRPr="009D7984">
        <w:rPr>
          <w:rFonts w:ascii="Arial" w:eastAsia="Times New Roman" w:hAnsi="Arial" w:cs="Arial"/>
          <w:color w:val="000000"/>
          <w:kern w:val="0"/>
          <w:lang w:eastAsia="en-GB"/>
          <w14:ligatures w14:val="none"/>
        </w:rPr>
        <w:t xml:space="preserve"> (</w:t>
      </w:r>
      <w:proofErr w:type="spellStart"/>
      <w:r w:rsidR="003E6F91" w:rsidRPr="009D7984">
        <w:rPr>
          <w:rFonts w:ascii="Arial" w:hAnsi="Arial" w:cs="Arial"/>
          <w:color w:val="000000"/>
        </w:rPr>
        <w:t>Bruthiaux</w:t>
      </w:r>
      <w:proofErr w:type="spellEnd"/>
      <w:r w:rsidR="003E6F91" w:rsidRPr="009D7984">
        <w:rPr>
          <w:rFonts w:ascii="Arial" w:hAnsi="Arial" w:cs="Arial"/>
          <w:color w:val="000000"/>
        </w:rPr>
        <w:t>, 2003</w:t>
      </w:r>
      <w:r w:rsidR="003E6F91" w:rsidRPr="009D7984">
        <w:rPr>
          <w:rFonts w:ascii="Arial" w:eastAsia="Times New Roman" w:hAnsi="Arial" w:cs="Arial"/>
          <w:color w:val="000000"/>
          <w:kern w:val="0"/>
          <w:lang w:eastAsia="en-GB"/>
          <w14:ligatures w14:val="none"/>
        </w:rPr>
        <w:t>).</w:t>
      </w:r>
    </w:p>
    <w:p w:rsidR="00C40764" w:rsidRPr="009D798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lastRenderedPageBreak/>
        <w:t>To meet the module’s emphasis on language as sound, structure, and meaning, and on language change, I connect the critique to how phonological and grammatical patterns are described and evaluated across contexts, and to how meanings are negotiated in lingua franca interaction. I also include a small, transparent research design a critical literature review to demonstrate methodological justification, evaluation of data and claims, and reflective limitations.</w:t>
      </w:r>
    </w:p>
    <w:p w:rsidR="00F261EF" w:rsidRPr="009D7984" w:rsidRDefault="00F261EF"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F261EF" w:rsidRPr="00C40764" w:rsidRDefault="00F261EF"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Research question and aims</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roofErr w:type="spellStart"/>
      <w:r w:rsidRPr="00C40764">
        <w:rPr>
          <w:rFonts w:ascii="Arial" w:eastAsia="Times New Roman" w:hAnsi="Arial" w:cs="Arial"/>
          <w:color w:val="000000"/>
          <w:kern w:val="0"/>
          <w:lang w:eastAsia="en-GB"/>
          <w14:ligatures w14:val="none"/>
        </w:rPr>
        <w:t>O</w:t>
      </w:r>
      <w:r w:rsidR="0069355C">
        <w:rPr>
          <w:rFonts w:ascii="Arial" w:eastAsia="Times New Roman" w:hAnsi="Arial" w:cs="Arial"/>
          <w:color w:val="000000"/>
          <w:kern w:val="0"/>
          <w:lang w:eastAsia="en-GB"/>
          <w14:ligatures w14:val="none"/>
        </w:rPr>
        <w:t>veral</w:t>
      </w:r>
      <w:proofErr w:type="spellEnd"/>
      <w:r w:rsidR="0069355C">
        <w:rPr>
          <w:rFonts w:ascii="Arial" w:eastAsia="Times New Roman" w:hAnsi="Arial" w:cs="Arial"/>
          <w:color w:val="000000"/>
          <w:kern w:val="0"/>
          <w:lang w:eastAsia="en-GB"/>
          <w14:ligatures w14:val="none"/>
        </w:rPr>
        <w:t xml:space="preserve"> </w:t>
      </w:r>
      <w:r w:rsidR="00773862">
        <w:rPr>
          <w:rFonts w:ascii="Arial" w:eastAsia="Times New Roman" w:hAnsi="Arial" w:cs="Arial"/>
          <w:color w:val="000000"/>
          <w:kern w:val="0"/>
          <w:lang w:eastAsia="en-GB"/>
          <w14:ligatures w14:val="none"/>
        </w:rPr>
        <w:t>research question:</w:t>
      </w:r>
      <w:r w:rsidRPr="00C40764">
        <w:rPr>
          <w:rFonts w:ascii="Arial" w:eastAsia="Times New Roman" w:hAnsi="Arial" w:cs="Arial"/>
          <w:color w:val="000000"/>
          <w:kern w:val="0"/>
          <w:lang w:eastAsia="en-GB"/>
          <w14:ligatures w14:val="none"/>
        </w:rPr>
        <w:br/>
        <w:t>To what extent does Kachru’s nation-state-based Concentric Circles model adequately represent contemporary English use, and what are the consequences of its implied norms hierarchy for linguistic description and language education?</w:t>
      </w:r>
    </w:p>
    <w:p w:rsidR="00C40764" w:rsidRPr="00C40764" w:rsidRDefault="00C40764" w:rsidP="009D7984">
      <w:pPr>
        <w:spacing w:before="100" w:beforeAutospacing="1" w:after="100" w:afterAutospacing="1" w:line="360" w:lineRule="auto"/>
        <w:jc w:val="both"/>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Sub-questions:</w:t>
      </w:r>
    </w:p>
    <w:p w:rsidR="00C40764" w:rsidRPr="00C40764" w:rsidRDefault="00C40764" w:rsidP="009D7984">
      <w:pPr>
        <w:numPr>
          <w:ilvl w:val="0"/>
          <w:numId w:val="9"/>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How does a country-based categorisation handle within-country variation (class, region, ethnicity, education, and multilingual repertoires)?</w:t>
      </w:r>
    </w:p>
    <w:p w:rsidR="00C40764" w:rsidRPr="00C40764" w:rsidRDefault="00C40764" w:rsidP="009D7984">
      <w:pPr>
        <w:numPr>
          <w:ilvl w:val="0"/>
          <w:numId w:val="9"/>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What does recent research suggest about whether “circle membership” predicts linguistic patterns</w:t>
      </w:r>
      <w:r w:rsidR="00F261EF"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(grammar/usage) in empirical descriptions?</w:t>
      </w:r>
    </w:p>
    <w:p w:rsidR="00C40764" w:rsidRPr="00C40764" w:rsidRDefault="00C40764" w:rsidP="009D7984">
      <w:pPr>
        <w:numPr>
          <w:ilvl w:val="0"/>
          <w:numId w:val="9"/>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How do the model’s norm assumptions influence decisions about pronunciation targets, assessment, and materials in ELT?</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Methodology justification and limitations</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This paper uses a critical literature review with a structured search-and-synthesis logic</w:t>
      </w:r>
      <w:r w:rsidR="00F261EF"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In practical terms, the “data” are published scholarly arguments and empirical results. To align with postgraduate expectations, the review privileges peer-reviewed work and open-access research where methods and evidence are clearly reported, while still drawing on seminal foundational texts where necessary.</w:t>
      </w:r>
    </w:p>
    <w:p w:rsidR="00C40764" w:rsidRPr="00C40764" w:rsidRDefault="00C40764" w:rsidP="009D7984">
      <w:pPr>
        <w:spacing w:before="100" w:beforeAutospacing="1" w:after="100" w:afterAutospacing="1" w:line="360" w:lineRule="auto"/>
        <w:jc w:val="both"/>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Search strategy</w:t>
      </w:r>
    </w:p>
    <w:p w:rsidR="00C40764" w:rsidRPr="00C40764" w:rsidRDefault="00C40764" w:rsidP="009D7984">
      <w:pPr>
        <w:numPr>
          <w:ilvl w:val="0"/>
          <w:numId w:val="10"/>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lastRenderedPageBreak/>
        <w:t xml:space="preserve">Keywords combined around: Kachru concentric circles, nation-state, norms, World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Global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English as a lingua franca, language testing, materials, corpus evidence.</w:t>
      </w:r>
    </w:p>
    <w:p w:rsidR="00C40764" w:rsidRPr="00C40764" w:rsidRDefault="00C40764" w:rsidP="009D7984">
      <w:pPr>
        <w:numPr>
          <w:ilvl w:val="0"/>
          <w:numId w:val="10"/>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Inclusion emphasis: 2020–2025 for contemporary debates to meet currency expectations, plus seminal items that define the model and early critiques.</w:t>
      </w:r>
    </w:p>
    <w:p w:rsidR="00C40764" w:rsidRPr="00C40764" w:rsidRDefault="00C40764" w:rsidP="009D7984">
      <w:pPr>
        <w:numPr>
          <w:ilvl w:val="0"/>
          <w:numId w:val="10"/>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Quality check: preference for peer-reviewed journals, major academic publishers, and well-indexed outlets</w:t>
      </w:r>
      <w:r w:rsidR="00A52FCA" w:rsidRPr="009D7984">
        <w:rPr>
          <w:rFonts w:ascii="Arial" w:eastAsia="Times New Roman" w:hAnsi="Arial" w:cs="Arial"/>
          <w:color w:val="000000"/>
          <w:kern w:val="0"/>
          <w:lang w:eastAsia="en-GB"/>
          <w14:ligatures w14:val="none"/>
        </w:rPr>
        <w:t xml:space="preserve"> (Heath Rose, 2010)</w:t>
      </w:r>
      <w:r w:rsidRPr="00C40764">
        <w:rPr>
          <w:rFonts w:ascii="Arial" w:eastAsia="Times New Roman" w:hAnsi="Arial" w:cs="Arial"/>
          <w:color w:val="000000"/>
          <w:kern w:val="0"/>
          <w:lang w:eastAsia="en-GB"/>
          <w14:ligatures w14:val="none"/>
        </w:rPr>
        <w:t xml:space="preserve">. </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b/>
          <w:bCs/>
          <w:color w:val="000000"/>
          <w:kern w:val="0"/>
          <w:lang w:eastAsia="en-GB"/>
          <w14:ligatures w14:val="none"/>
        </w:rPr>
        <w:t>Limitations:</w:t>
      </w:r>
      <w:r w:rsidRPr="00C40764">
        <w:rPr>
          <w:rFonts w:ascii="Arial" w:eastAsia="Times New Roman" w:hAnsi="Arial" w:cs="Arial"/>
          <w:color w:val="000000"/>
          <w:kern w:val="0"/>
          <w:lang w:eastAsia="en-GB"/>
          <w14:ligatures w14:val="none"/>
        </w:rPr>
        <w:br/>
        <w:t>(1) A literature review cannot replace new primary data collection; it depends on what has been published and on which contexts are most researched. (2) Publication patterns can skew toward certain regions and educational settings, affecting which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are most visible. (3) Because the critique targets a model, it necessarily abstracts away from some local detail; the goal is not to dismiss the model but to specify where it misleads when applied uncritically.</w:t>
      </w:r>
    </w:p>
    <w:p w:rsidR="00C40764" w:rsidRPr="00C40764" w:rsidRDefault="00C40764"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 xml:space="preserve">1. What the Concentric Circles model gets right </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A fair critique starts with the model’s achievements. First, it provided a decentred way to conceptualise English globally</w:t>
      </w:r>
      <w:r w:rsidR="00875A83"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 xml:space="preserve">one that made it harder to treat British or American English as the only legitimate objects of linguistic description. Second, it highlighted </w:t>
      </w:r>
      <w:r w:rsidR="00875A83" w:rsidRPr="009D7984">
        <w:rPr>
          <w:rFonts w:ascii="Arial" w:eastAsia="Times New Roman" w:hAnsi="Arial" w:cs="Arial"/>
          <w:color w:val="000000"/>
          <w:kern w:val="0"/>
          <w:lang w:eastAsia="en-GB"/>
          <w14:ligatures w14:val="none"/>
        </w:rPr>
        <w:t>those English functions</w:t>
      </w:r>
      <w:r w:rsidRPr="00C40764">
        <w:rPr>
          <w:rFonts w:ascii="Arial" w:eastAsia="Times New Roman" w:hAnsi="Arial" w:cs="Arial"/>
          <w:color w:val="000000"/>
          <w:kern w:val="0"/>
          <w:lang w:eastAsia="en-GB"/>
          <w14:ligatures w14:val="none"/>
        </w:rPr>
        <w:t xml:space="preserve"> differently across historical and institutional conditions as an official language of government, as an educational language, as a foreign language learned for international communication. Third, it encouraged research that identified distinct phonological, lexical, and grammatical features in postcolonial settings and argued for their legitimacy as systematic varieties rather than as “learner errors</w:t>
      </w:r>
      <w:r w:rsidR="00875A83" w:rsidRPr="009D7984">
        <w:rPr>
          <w:rFonts w:ascii="Arial" w:eastAsia="Times New Roman" w:hAnsi="Arial" w:cs="Arial"/>
          <w:color w:val="000000"/>
          <w:kern w:val="0"/>
          <w:lang w:eastAsia="en-GB"/>
          <w14:ligatures w14:val="none"/>
        </w:rPr>
        <w:t xml:space="preserve"> (</w:t>
      </w:r>
      <w:r w:rsidR="00875A83" w:rsidRPr="009D7984">
        <w:rPr>
          <w:rFonts w:ascii="Arial" w:hAnsi="Arial" w:cs="Arial"/>
          <w:color w:val="000000"/>
        </w:rPr>
        <w:t>Galloway, 2024</w:t>
      </w:r>
      <w:r w:rsidR="00875A83" w:rsidRPr="009D7984">
        <w:rPr>
          <w:rFonts w:ascii="Arial" w:eastAsia="Times New Roman" w:hAnsi="Arial" w:cs="Arial"/>
          <w:color w:val="000000"/>
          <w:kern w:val="0"/>
          <w:lang w:eastAsia="en-GB"/>
          <w14:ligatures w14:val="none"/>
        </w:rPr>
        <w:t>).</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This matters for “language knowledge” in a strict linguistic sense. Treating non-Inner-Circle English as structured and describable supports the idea that language is not merely a set of prescriptive rules but a living system with patterns across sound systems (phonology), morphosyntax, and meaning-making practices—all of which evolve with contact, identity, and institutional use. Galloway notes that World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scholarship helped showcase diversity and supported the legitimisation of varieties alongside calls for pedagogical change</w:t>
      </w:r>
      <w:r w:rsidR="00875A83" w:rsidRPr="009D7984">
        <w:rPr>
          <w:rFonts w:ascii="Arial" w:eastAsia="Times New Roman" w:hAnsi="Arial" w:cs="Arial"/>
          <w:color w:val="000000"/>
          <w:kern w:val="0"/>
          <w:lang w:eastAsia="en-GB"/>
          <w14:ligatures w14:val="none"/>
        </w:rPr>
        <w:t xml:space="preserve"> (</w:t>
      </w:r>
      <w:r w:rsidR="00875A83" w:rsidRPr="009D7984">
        <w:rPr>
          <w:rFonts w:ascii="Arial" w:hAnsi="Arial" w:cs="Arial"/>
          <w:color w:val="000000"/>
        </w:rPr>
        <w:t>Galloway, 2024</w:t>
      </w:r>
      <w:r w:rsidR="00875A83" w:rsidRPr="009D7984">
        <w:rPr>
          <w:rFonts w:ascii="Arial" w:eastAsia="Times New Roman" w:hAnsi="Arial" w:cs="Arial"/>
          <w:color w:val="000000"/>
          <w:kern w:val="0"/>
          <w:lang w:eastAsia="en-GB"/>
          <w14:ligatures w14:val="none"/>
        </w:rPr>
        <w:t>).</w:t>
      </w:r>
    </w:p>
    <w:p w:rsidR="00C40764" w:rsidRPr="00C40764" w:rsidRDefault="00C40764"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lastRenderedPageBreak/>
        <w:t>2. The aspect under critique: nation-states as the unit of analysis</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2.1 Why “country = circle” is analytically risky</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The model’s circles are commonly applied by assigning countries to each ring. That makes the framework easy to teach and easy to visualise, but it encourages an assumption that a country contains a relatively coherent “type” of English use. Contemporary sociolinguistics, however, repeatedly shows that linguistic reality is often organised less by national borders and more by communities, domains, institutions, and networks.</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roofErr w:type="spellStart"/>
      <w:r w:rsidRPr="00C40764">
        <w:rPr>
          <w:rFonts w:ascii="Arial" w:eastAsia="Times New Roman" w:hAnsi="Arial" w:cs="Arial"/>
          <w:color w:val="000000"/>
          <w:kern w:val="0"/>
          <w:lang w:eastAsia="en-GB"/>
          <w14:ligatures w14:val="none"/>
        </w:rPr>
        <w:t>Bruthiaux’s</w:t>
      </w:r>
      <w:proofErr w:type="spellEnd"/>
      <w:r w:rsidRPr="00C40764">
        <w:rPr>
          <w:rFonts w:ascii="Arial" w:eastAsia="Times New Roman" w:hAnsi="Arial" w:cs="Arial"/>
          <w:color w:val="000000"/>
          <w:kern w:val="0"/>
          <w:lang w:eastAsia="en-GB"/>
          <w14:ligatures w14:val="none"/>
        </w:rPr>
        <w:t xml:space="preserve"> critique is particularly direct: the model is built on a political/historical view and therefore struggles to capture sociolinguistic realities, especially where internal variation is large. He argues the model should move away from a focus on nation-states toward English-speaking communities “wherever they are found,” and should not gloss over fundamental contextual differences</w:t>
      </w:r>
      <w:r w:rsidR="00875A83" w:rsidRPr="009D7984">
        <w:rPr>
          <w:rFonts w:ascii="Arial" w:eastAsia="Times New Roman" w:hAnsi="Arial" w:cs="Arial"/>
          <w:color w:val="000000"/>
          <w:kern w:val="0"/>
          <w:lang w:eastAsia="en-GB"/>
          <w14:ligatures w14:val="none"/>
        </w:rPr>
        <w:t xml:space="preserve"> </w:t>
      </w:r>
      <w:r w:rsidR="00875A83" w:rsidRPr="009D7984">
        <w:rPr>
          <w:rFonts w:ascii="Arial" w:hAnsi="Arial" w:cs="Arial"/>
          <w:color w:val="000000"/>
        </w:rPr>
        <w:t>(</w:t>
      </w:r>
      <w:proofErr w:type="spellStart"/>
      <w:r w:rsidR="00875A83" w:rsidRPr="009D7984">
        <w:rPr>
          <w:rFonts w:ascii="Arial" w:hAnsi="Arial" w:cs="Arial"/>
          <w:color w:val="000000"/>
        </w:rPr>
        <w:t>Bruthiaux</w:t>
      </w:r>
      <w:proofErr w:type="spellEnd"/>
      <w:r w:rsidR="00875A83" w:rsidRPr="009D7984">
        <w:rPr>
          <w:rFonts w:ascii="Arial" w:hAnsi="Arial" w:cs="Arial"/>
          <w:color w:val="000000"/>
        </w:rPr>
        <w:t>, 2003).</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This is not a minor technical complaint. If the unit of analysis is wrong, then arguments about “what English is like” in a circle are likely to be overgeneralised. In practical terms, the national unit:</w:t>
      </w:r>
    </w:p>
    <w:p w:rsidR="00C40764" w:rsidRPr="00C40764" w:rsidRDefault="00C40764" w:rsidP="009D7984">
      <w:pPr>
        <w:numPr>
          <w:ilvl w:val="0"/>
          <w:numId w:val="1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collapses differences between urban and rural usage,</w:t>
      </w:r>
    </w:p>
    <w:p w:rsidR="00C40764" w:rsidRPr="00C40764" w:rsidRDefault="00C40764" w:rsidP="009D7984">
      <w:pPr>
        <w:numPr>
          <w:ilvl w:val="0"/>
          <w:numId w:val="1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hides stratification by education and class,</w:t>
      </w:r>
    </w:p>
    <w:p w:rsidR="00C40764" w:rsidRPr="00C40764" w:rsidRDefault="00C40764" w:rsidP="009D7984">
      <w:pPr>
        <w:numPr>
          <w:ilvl w:val="0"/>
          <w:numId w:val="1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reduces multilingual repertoires to a single label (“ESL/EFL”), and</w:t>
      </w:r>
    </w:p>
    <w:p w:rsidR="00C40764" w:rsidRPr="00C40764" w:rsidRDefault="00C40764" w:rsidP="009D7984">
      <w:pPr>
        <w:numPr>
          <w:ilvl w:val="0"/>
          <w:numId w:val="1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under-represents diasporic and transnational practices that are central to how English circulates now.</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2.2 The hidden hierarchy: norm-providing vs norm-dependent</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A second problem follows from the first. Once nation-states are divided into rings, it becomes easy to treat Inner Circle English as a default norm</w:t>
      </w:r>
      <w:r w:rsidR="00875A83"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even if the model’s original intent was partly to challenge that. In applied settings teaching, testing, and materials, the “circle map” can be read as a prestige map.</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Evidence that this hierarchy persists appears in multiple applied domains:</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lastRenderedPageBreak/>
        <w:t>(a) Language testing.</w:t>
      </w:r>
      <w:r w:rsidRPr="00C40764">
        <w:rPr>
          <w:rFonts w:ascii="Arial" w:eastAsia="Times New Roman" w:hAnsi="Arial" w:cs="Arial"/>
          <w:color w:val="000000"/>
          <w:kern w:val="0"/>
          <w:lang w:eastAsia="en-GB"/>
          <w14:ligatures w14:val="none"/>
        </w:rPr>
        <w:br/>
        <w:t xml:space="preserve">Zhang’s study of language testing in an Expanding Circle context frames the long-standing tension: testing traditions often rely on Inner Circle standards, while World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scholarship challenges the fairness and validity of excluding non-Inner-Circle varieties. This is exactly where a “norm-providing” Inner Circle becomes more than a description</w:t>
      </w:r>
      <w:r w:rsidR="00B5524C"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it becomes a gatekeeping tool</w:t>
      </w:r>
      <w:r w:rsidR="00B5524C" w:rsidRPr="009D7984">
        <w:rPr>
          <w:rFonts w:ascii="Arial" w:eastAsia="Times New Roman" w:hAnsi="Arial" w:cs="Arial"/>
          <w:color w:val="000000"/>
          <w:kern w:val="0"/>
          <w:lang w:eastAsia="en-GB"/>
          <w14:ligatures w14:val="none"/>
        </w:rPr>
        <w:t xml:space="preserve"> </w:t>
      </w:r>
      <w:r w:rsidR="00B5524C" w:rsidRPr="009D7984">
        <w:rPr>
          <w:rFonts w:ascii="Arial" w:hAnsi="Arial" w:cs="Arial"/>
          <w:color w:val="000000"/>
        </w:rPr>
        <w:t>(Zhang, 2021).</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(b) Materials and cultural content.</w:t>
      </w:r>
      <w:r w:rsidRPr="00C40764">
        <w:rPr>
          <w:rFonts w:ascii="Arial" w:eastAsia="Times New Roman" w:hAnsi="Arial" w:cs="Arial"/>
          <w:color w:val="000000"/>
          <w:kern w:val="0"/>
          <w:lang w:eastAsia="en-GB"/>
          <w14:ligatures w14:val="none"/>
        </w:rPr>
        <w:br/>
      </w:r>
      <w:proofErr w:type="spellStart"/>
      <w:r w:rsidRPr="00C40764">
        <w:rPr>
          <w:rFonts w:ascii="Arial" w:eastAsia="Times New Roman" w:hAnsi="Arial" w:cs="Arial"/>
          <w:color w:val="000000"/>
          <w:kern w:val="0"/>
          <w:lang w:eastAsia="en-GB"/>
          <w14:ligatures w14:val="none"/>
        </w:rPr>
        <w:t>Tajeddin</w:t>
      </w:r>
      <w:proofErr w:type="spellEnd"/>
      <w:r w:rsidRPr="00C40764">
        <w:rPr>
          <w:rFonts w:ascii="Arial" w:eastAsia="Times New Roman" w:hAnsi="Arial" w:cs="Arial"/>
          <w:color w:val="000000"/>
          <w:kern w:val="0"/>
          <w:lang w:eastAsia="en-GB"/>
          <w14:ligatures w14:val="none"/>
        </w:rPr>
        <w:t xml:space="preserve"> et al. report via content analysis of major global ELT textbooks</w:t>
      </w:r>
      <w:r w:rsidR="00B5524C"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that Inner Circle varieties and cultures are disproportionately represented relative to Outer and Expanding Circle contexts, even though global English use is overwhelmingly diverse. This pattern shows how, in practice, the circles can unintentionally stabilise the very hierarchy they were meant to complicate</w:t>
      </w:r>
      <w:r w:rsidR="00B5524C" w:rsidRPr="009D7984">
        <w:rPr>
          <w:rFonts w:ascii="Arial" w:eastAsia="Times New Roman" w:hAnsi="Arial" w:cs="Arial"/>
          <w:color w:val="000000"/>
          <w:kern w:val="0"/>
          <w:lang w:eastAsia="en-GB"/>
          <w14:ligatures w14:val="none"/>
        </w:rPr>
        <w:t xml:space="preserve"> (</w:t>
      </w:r>
      <w:proofErr w:type="spellStart"/>
      <w:r w:rsidR="00B5524C" w:rsidRPr="009D7984">
        <w:rPr>
          <w:rFonts w:ascii="Arial" w:hAnsi="Arial" w:cs="Arial"/>
          <w:color w:val="000000"/>
        </w:rPr>
        <w:t>Tajeddin</w:t>
      </w:r>
      <w:proofErr w:type="spellEnd"/>
      <w:r w:rsidR="00B5524C" w:rsidRPr="009D7984">
        <w:rPr>
          <w:rFonts w:ascii="Arial" w:hAnsi="Arial" w:cs="Arial"/>
          <w:color w:val="000000"/>
        </w:rPr>
        <w:t xml:space="preserve"> and </w:t>
      </w:r>
      <w:proofErr w:type="spellStart"/>
      <w:r w:rsidR="00B5524C" w:rsidRPr="009D7984">
        <w:rPr>
          <w:rFonts w:ascii="Arial" w:hAnsi="Arial" w:cs="Arial"/>
          <w:color w:val="000000"/>
        </w:rPr>
        <w:t>Pakzadian</w:t>
      </w:r>
      <w:proofErr w:type="spellEnd"/>
      <w:r w:rsidR="00B5524C" w:rsidRPr="009D7984">
        <w:rPr>
          <w:rFonts w:ascii="Arial" w:hAnsi="Arial" w:cs="Arial"/>
          <w:color w:val="000000"/>
        </w:rPr>
        <w:t>, 2020</w:t>
      </w:r>
      <w:r w:rsidR="00B5524C" w:rsidRPr="009D7984">
        <w:rPr>
          <w:rFonts w:ascii="Arial" w:eastAsia="Times New Roman" w:hAnsi="Arial" w:cs="Arial"/>
          <w:color w:val="000000"/>
          <w:kern w:val="0"/>
          <w:lang w:eastAsia="en-GB"/>
          <w14:ligatures w14:val="none"/>
        </w:rPr>
        <w:t>).</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The consequence is pedagogical: learners may internalise that “real English” belongs elsewhere, and that their own English</w:t>
      </w:r>
      <w:r w:rsidR="00B5524C"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however effective in international communication</w:t>
      </w:r>
      <w:r w:rsidR="00B5524C"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is perpetually measured against distant norms.</w:t>
      </w:r>
    </w:p>
    <w:p w:rsidR="00C40764" w:rsidRPr="00C40764" w:rsidRDefault="00C40764"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3. Language as sound, structure, meaning—and change: where the circles mislead</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The assignment requires demonstrating knowledge of language in terms of sound, structure, and meaning, including change. The key point here is methodological: a sociolinguistic model should help us predict or at least sensitively describe linguistic variation. But recent scholarship suggests that “circle membership” is not always a reliable predictor of linguistic patterning</w:t>
      </w:r>
      <w:r w:rsidR="00E53A6E"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and it is particularly weak at capturing rapid, contact-driven change in mobile settings.</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3.1 Structure: empirical descriptions don’t neatly obey the rings</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Kirk’s overview of corpus-based work in World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is useful because it explicitly highlights debate about whether traditional category boundaries map cleanly onto grammatical evidence. The paper notes that some scholars argue individual grammatical patterns do not necessarily support a simple ENL/ESL/EFL distinction, while other studies show that multi-dimensional analyses can find clustering. The key </w:t>
      </w:r>
      <w:r w:rsidRPr="00C40764">
        <w:rPr>
          <w:rFonts w:ascii="Arial" w:eastAsia="Times New Roman" w:hAnsi="Arial" w:cs="Arial"/>
          <w:color w:val="000000"/>
          <w:kern w:val="0"/>
          <w:lang w:eastAsia="en-GB"/>
          <w14:ligatures w14:val="none"/>
        </w:rPr>
        <w:lastRenderedPageBreak/>
        <w:t>takeaway is not that corpora “disprove” the circles, but that the relationship between categories and linguistic forms is empirical and uneven—not guaranteed by the model itself</w:t>
      </w:r>
      <w:r w:rsidR="00E53A6E" w:rsidRPr="009D7984">
        <w:rPr>
          <w:rFonts w:ascii="Arial" w:eastAsia="Times New Roman" w:hAnsi="Arial" w:cs="Arial"/>
          <w:color w:val="000000"/>
          <w:kern w:val="0"/>
          <w:lang w:eastAsia="en-GB"/>
          <w14:ligatures w14:val="none"/>
        </w:rPr>
        <w:t xml:space="preserve"> </w:t>
      </w:r>
      <w:r w:rsidR="00E53A6E" w:rsidRPr="009D7984">
        <w:rPr>
          <w:rFonts w:ascii="Arial" w:hAnsi="Arial" w:cs="Arial"/>
          <w:color w:val="000000"/>
        </w:rPr>
        <w:t>(Kirk, 2022).</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This matters for “language structure” because grammatical systems change via contact, acquisition trajectories, and institutionalisation. A national label cannot tell you whether a feature is stable, emerging, or stigmatised in a particular community. Nor can it capture cross-border convergence where norms arise from interactional needs rather than from national standardisation.</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3.2 Sound: intelligibility and targets are interactional, not territorial</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The circles are frequently interpreted as implying that Inner Circle phonology provides the legitimate target, particularly in EFL contexts. Yet contemporary research and pedagogy aligned with Global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and ELF has pushed a different emphasis: intelligibility is co-constructed, and pronunciation norms are not simply imported from a “native” centre.</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Even within language testing debates, Zhang shows that reliance on Inner Circle norms raises fairness and validity concerns when the communicative realities of learners involve diverse interlocutors and contexts. This is a phonological issue as much as a policy one: what counts as “good pronunciation” depends on whether the goal is proximity to a standard accent or successful communication across accents</w:t>
      </w:r>
      <w:r w:rsidR="00E53A6E" w:rsidRPr="009D7984">
        <w:rPr>
          <w:rFonts w:ascii="Arial" w:eastAsia="Times New Roman" w:hAnsi="Arial" w:cs="Arial"/>
          <w:color w:val="000000"/>
          <w:kern w:val="0"/>
          <w:lang w:eastAsia="en-GB"/>
          <w14:ligatures w14:val="none"/>
        </w:rPr>
        <w:t xml:space="preserve"> (</w:t>
      </w:r>
      <w:r w:rsidR="00E53A6E" w:rsidRPr="009D7984">
        <w:rPr>
          <w:rFonts w:ascii="Arial" w:hAnsi="Arial" w:cs="Arial"/>
          <w:color w:val="000000"/>
        </w:rPr>
        <w:t>Zhang, 2021</w:t>
      </w:r>
      <w:r w:rsidR="00E53A6E" w:rsidRPr="009D7984">
        <w:rPr>
          <w:rFonts w:ascii="Arial" w:eastAsia="Times New Roman" w:hAnsi="Arial" w:cs="Arial"/>
          <w:color w:val="000000"/>
          <w:kern w:val="0"/>
          <w:lang w:eastAsia="en-GB"/>
          <w14:ligatures w14:val="none"/>
        </w:rPr>
        <w:t>).</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3.3 Meaning semantics/pragmatics: English use is increasingly negotiated and creative</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A central insight in newer umbrella framings like Global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is that English users routinely negotiate meaning across linguistic and cultural repertoires. Galloway explicitly characterises Global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as attending both to the diversifying nature of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worldwide and to people’s efforts to be intelligible in intercultural settings—negotiating meanings while retaining identities. That emphasis is fundamentally about meaning in use: pragmatics, discourse practices how turns and </w:t>
      </w:r>
      <w:r w:rsidRPr="00C40764">
        <w:rPr>
          <w:rFonts w:ascii="Arial" w:eastAsia="Times New Roman" w:hAnsi="Arial" w:cs="Arial"/>
          <w:color w:val="000000"/>
          <w:kern w:val="0"/>
          <w:lang w:eastAsia="en-GB"/>
          <w14:ligatures w14:val="none"/>
        </w:rPr>
        <w:lastRenderedPageBreak/>
        <w:t>politeness are managed, and semantic accommodation how words are interpreted in context</w:t>
      </w:r>
      <w:r w:rsidR="00E53A6E" w:rsidRPr="009D7984">
        <w:rPr>
          <w:rFonts w:ascii="Arial" w:eastAsia="Times New Roman" w:hAnsi="Arial" w:cs="Arial"/>
          <w:color w:val="000000"/>
          <w:kern w:val="0"/>
          <w:lang w:eastAsia="en-GB"/>
          <w14:ligatures w14:val="none"/>
        </w:rPr>
        <w:t xml:space="preserve"> (</w:t>
      </w:r>
      <w:r w:rsidR="00E53A6E" w:rsidRPr="009D7984">
        <w:rPr>
          <w:rFonts w:ascii="Arial" w:hAnsi="Arial" w:cs="Arial"/>
          <w:color w:val="000000"/>
        </w:rPr>
        <w:t>Galloway, 2024b</w:t>
      </w:r>
      <w:r w:rsidR="00E53A6E" w:rsidRPr="009D7984">
        <w:rPr>
          <w:rFonts w:ascii="Arial" w:eastAsia="Times New Roman" w:hAnsi="Arial" w:cs="Arial"/>
          <w:color w:val="000000"/>
          <w:kern w:val="0"/>
          <w:lang w:eastAsia="en-GB"/>
          <w14:ligatures w14:val="none"/>
        </w:rPr>
        <w:t>).</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The circles struggle here because they imply relatively stable norm centres, whereas a great deal of real-world English use is not organised by a single stable centre at all. It is organised by settings: academic collaboration, service encounters, international workplaces, online communities, and multilingual urban life</w:t>
      </w:r>
      <w:r w:rsidR="00E53A6E"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domains where meaning is achieved through flexible resources, not through strict adherence to a national standard.</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 xml:space="preserve">3.4 Change: the model is static, but </w:t>
      </w:r>
      <w:proofErr w:type="spellStart"/>
      <w:r w:rsidRPr="00C40764">
        <w:rPr>
          <w:rFonts w:ascii="Arial" w:eastAsia="Times New Roman" w:hAnsi="Arial" w:cs="Arial"/>
          <w:b/>
          <w:bCs/>
          <w:color w:val="000000"/>
          <w:kern w:val="0"/>
          <w:lang w:eastAsia="en-GB"/>
          <w14:ligatures w14:val="none"/>
        </w:rPr>
        <w:t>Englishes</w:t>
      </w:r>
      <w:proofErr w:type="spellEnd"/>
      <w:r w:rsidRPr="00C40764">
        <w:rPr>
          <w:rFonts w:ascii="Arial" w:eastAsia="Times New Roman" w:hAnsi="Arial" w:cs="Arial"/>
          <w:b/>
          <w:bCs/>
          <w:color w:val="000000"/>
          <w:kern w:val="0"/>
          <w:lang w:eastAsia="en-GB"/>
          <w14:ligatures w14:val="none"/>
        </w:rPr>
        <w:t xml:space="preserve"> are dynamic</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Finally, language change is the point where the nation-state unit becomes most visibly outdated. English changes through:</w:t>
      </w:r>
    </w:p>
    <w:p w:rsidR="00C40764" w:rsidRPr="00C40764" w:rsidRDefault="00C40764" w:rsidP="009D7984">
      <w:pPr>
        <w:numPr>
          <w:ilvl w:val="0"/>
          <w:numId w:val="12"/>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contact-induced innovation lexical borrowing, calquing, pragmatic particles, semantic extension,</w:t>
      </w:r>
    </w:p>
    <w:p w:rsidR="00C40764" w:rsidRPr="00C40764" w:rsidRDefault="00C40764" w:rsidP="009D7984">
      <w:pPr>
        <w:numPr>
          <w:ilvl w:val="0"/>
          <w:numId w:val="12"/>
        </w:numPr>
        <w:spacing w:before="100" w:beforeAutospacing="1" w:after="100" w:afterAutospacing="1" w:line="360" w:lineRule="auto"/>
        <w:jc w:val="both"/>
        <w:rPr>
          <w:rFonts w:ascii="Arial" w:eastAsia="Times New Roman" w:hAnsi="Arial" w:cs="Arial"/>
          <w:color w:val="000000"/>
          <w:kern w:val="0"/>
          <w:lang w:eastAsia="en-GB"/>
          <w14:ligatures w14:val="none"/>
        </w:rPr>
      </w:pPr>
      <w:proofErr w:type="spellStart"/>
      <w:r w:rsidRPr="00C40764">
        <w:rPr>
          <w:rFonts w:ascii="Arial" w:eastAsia="Times New Roman" w:hAnsi="Arial" w:cs="Arial"/>
          <w:color w:val="000000"/>
          <w:kern w:val="0"/>
          <w:lang w:eastAsia="en-GB"/>
          <w14:ligatures w14:val="none"/>
        </w:rPr>
        <w:t>nativisation</w:t>
      </w:r>
      <w:proofErr w:type="spellEnd"/>
      <w:r w:rsidRPr="00C40764">
        <w:rPr>
          <w:rFonts w:ascii="Arial" w:eastAsia="Times New Roman" w:hAnsi="Arial" w:cs="Arial"/>
          <w:color w:val="000000"/>
          <w:kern w:val="0"/>
          <w:lang w:eastAsia="en-GB"/>
          <w14:ligatures w14:val="none"/>
        </w:rPr>
        <w:t> and local conventionalisation,</w:t>
      </w:r>
    </w:p>
    <w:p w:rsidR="00C40764" w:rsidRPr="00C40764" w:rsidRDefault="00C40764" w:rsidP="009D7984">
      <w:pPr>
        <w:numPr>
          <w:ilvl w:val="0"/>
          <w:numId w:val="12"/>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and domain expansion where English becomes normal in local business, social media, or higher education.</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These processes can happen rapidly and unevenly within one country, and they can happen similarly across different countries due to comparable social conditions </w:t>
      </w:r>
      <w:r w:rsidR="006C182B" w:rsidRPr="009D7984">
        <w:rPr>
          <w:rFonts w:ascii="Arial" w:eastAsia="Times New Roman" w:hAnsi="Arial" w:cs="Arial"/>
          <w:color w:val="000000"/>
          <w:kern w:val="0"/>
          <w:lang w:eastAsia="en-GB"/>
          <w14:ligatures w14:val="none"/>
        </w:rPr>
        <w:t xml:space="preserve">like </w:t>
      </w:r>
      <w:r w:rsidRPr="00C40764">
        <w:rPr>
          <w:rFonts w:ascii="Arial" w:eastAsia="Times New Roman" w:hAnsi="Arial" w:cs="Arial"/>
          <w:color w:val="000000"/>
          <w:kern w:val="0"/>
          <w:lang w:eastAsia="en-GB"/>
          <w14:ligatures w14:val="none"/>
        </w:rPr>
        <w:t xml:space="preserve">higher education internationalisation. A static </w:t>
      </w:r>
      <w:proofErr w:type="gramStart"/>
      <w:r w:rsidRPr="00C40764">
        <w:rPr>
          <w:rFonts w:ascii="Arial" w:eastAsia="Times New Roman" w:hAnsi="Arial" w:cs="Arial"/>
          <w:color w:val="000000"/>
          <w:kern w:val="0"/>
          <w:lang w:eastAsia="en-GB"/>
          <w14:ligatures w14:val="none"/>
        </w:rPr>
        <w:t>country</w:t>
      </w:r>
      <w:r w:rsidR="006C182B"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based</w:t>
      </w:r>
      <w:proofErr w:type="gramEnd"/>
      <w:r w:rsidRPr="00C40764">
        <w:rPr>
          <w:rFonts w:ascii="Arial" w:eastAsia="Times New Roman" w:hAnsi="Arial" w:cs="Arial"/>
          <w:color w:val="000000"/>
          <w:kern w:val="0"/>
          <w:lang w:eastAsia="en-GB"/>
          <w14:ligatures w14:val="none"/>
        </w:rPr>
        <w:t xml:space="preserve"> ring does not model trajectories of change; it labels outcomes as if they were stable.</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This is why alternative approaches have become attractive: not necessarily because they “replace” Kachru, but because they treat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as developing through phases, networks, and ecologies rather than as fixed national categories.</w:t>
      </w:r>
    </w:p>
    <w:p w:rsidR="00C40764" w:rsidRPr="00C40764" w:rsidRDefault="00C40764" w:rsidP="009D7984">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4. Implications for theory, research, and pedagogy</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4.1 Theoretical implication: use the circles as a heuristic, not a map of linguistic reality</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lastRenderedPageBreak/>
        <w:t xml:space="preserve">The strongest defensible position is not to discard the circles, but to limit what we claim they can do. The model can still function as a historical heuristic: it helps explain how English spread, where it became institutionalised, and why certain ideological battles about legitimacy emerged. Galloway notes how influential the circles became within the development of World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scholarship and how the field identified distinctive forms and challenged “standard” assumptions</w:t>
      </w:r>
      <w:r w:rsidR="006C182B" w:rsidRPr="009D7984">
        <w:rPr>
          <w:rFonts w:ascii="Arial" w:eastAsia="Times New Roman" w:hAnsi="Arial" w:cs="Arial"/>
          <w:color w:val="000000"/>
          <w:kern w:val="0"/>
          <w:lang w:eastAsia="en-GB"/>
          <w14:ligatures w14:val="none"/>
        </w:rPr>
        <w:t xml:space="preserve"> (</w:t>
      </w:r>
      <w:r w:rsidR="006C182B" w:rsidRPr="009D7984">
        <w:rPr>
          <w:rFonts w:ascii="Arial" w:hAnsi="Arial" w:cs="Arial"/>
          <w:color w:val="000000"/>
        </w:rPr>
        <w:t>Galloway, 2024b</w:t>
      </w:r>
      <w:r w:rsidR="006C182B" w:rsidRPr="009D7984">
        <w:rPr>
          <w:rFonts w:ascii="Arial" w:eastAsia="Times New Roman" w:hAnsi="Arial" w:cs="Arial"/>
          <w:color w:val="000000"/>
          <w:kern w:val="0"/>
          <w:lang w:eastAsia="en-GB"/>
          <w14:ligatures w14:val="none"/>
        </w:rPr>
        <w:t>).</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But when the circles are used to predict present-day language behaviour</w:t>
      </w:r>
      <w:r w:rsidR="006C182B"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 xml:space="preserve">especially in contexts characterised by mobility and </w:t>
      </w:r>
      <w:proofErr w:type="gramStart"/>
      <w:r w:rsidRPr="00C40764">
        <w:rPr>
          <w:rFonts w:ascii="Arial" w:eastAsia="Times New Roman" w:hAnsi="Arial" w:cs="Arial"/>
          <w:color w:val="000000"/>
          <w:kern w:val="0"/>
          <w:lang w:eastAsia="en-GB"/>
          <w14:ligatures w14:val="none"/>
        </w:rPr>
        <w:t>multilingualism</w:t>
      </w:r>
      <w:proofErr w:type="gramEnd"/>
      <w:r w:rsidR="006C182B"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they should be supplemented by frameworks that start from communities, repertoires, and interaction rather than from nation-states.</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4.2 Research implication: prioritise methodologically explicit, context-sensitive description</w:t>
      </w:r>
    </w:p>
    <w:p w:rsidR="00C40764" w:rsidRPr="00C40764" w:rsidRDefault="00C40764" w:rsidP="009D7984">
      <w:pPr>
        <w:spacing w:before="100" w:beforeAutospacing="1" w:after="100" w:afterAutospacing="1" w:line="360" w:lineRule="auto"/>
        <w:jc w:val="both"/>
        <w:rPr>
          <w:rFonts w:ascii="Arial" w:hAnsi="Arial" w:cs="Arial"/>
          <w:color w:val="000000"/>
        </w:rPr>
      </w:pPr>
      <w:r w:rsidRPr="00C40764">
        <w:rPr>
          <w:rFonts w:ascii="Arial" w:eastAsia="Times New Roman" w:hAnsi="Arial" w:cs="Arial"/>
          <w:color w:val="000000"/>
          <w:kern w:val="0"/>
          <w:lang w:eastAsia="en-GB"/>
          <w14:ligatures w14:val="none"/>
        </w:rPr>
        <w:t>The critique also supports a research-skills point: we should evaluate models against evidence from clearly described datasets and methods. Kirk’s discussion shows why corpora and quantitative patterning can be informative but also why simple category boundaries are not automatically validated by grammatical data</w:t>
      </w:r>
      <w:r w:rsidR="006C182B" w:rsidRPr="009D7984">
        <w:rPr>
          <w:rFonts w:ascii="Arial" w:eastAsia="Times New Roman" w:hAnsi="Arial" w:cs="Arial"/>
          <w:color w:val="000000"/>
          <w:kern w:val="0"/>
          <w:lang w:eastAsia="en-GB"/>
          <w14:ligatures w14:val="none"/>
        </w:rPr>
        <w:t xml:space="preserve"> (</w:t>
      </w:r>
      <w:r w:rsidR="006C182B" w:rsidRPr="009D7984">
        <w:rPr>
          <w:rFonts w:ascii="Arial" w:hAnsi="Arial" w:cs="Arial"/>
          <w:color w:val="000000"/>
        </w:rPr>
        <w:t>Kirk, 2022b</w:t>
      </w:r>
      <w:r w:rsidR="006C182B" w:rsidRPr="009D7984">
        <w:rPr>
          <w:rFonts w:ascii="Arial" w:eastAsia="Times New Roman" w:hAnsi="Arial" w:cs="Arial"/>
          <w:color w:val="000000"/>
          <w:kern w:val="0"/>
          <w:lang w:eastAsia="en-GB"/>
          <w14:ligatures w14:val="none"/>
        </w:rPr>
        <w:t>).</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A practical takeaway for postgraduate research design is to:</w:t>
      </w:r>
    </w:p>
    <w:p w:rsidR="00C40764" w:rsidRPr="00C40764" w:rsidRDefault="00C40764" w:rsidP="009D7984">
      <w:pPr>
        <w:numPr>
          <w:ilvl w:val="0"/>
          <w:numId w:val="13"/>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state what counts as “English” in the dataset variety labels vs speaker repertoires,</w:t>
      </w:r>
    </w:p>
    <w:p w:rsidR="00C40764" w:rsidRPr="00C40764" w:rsidRDefault="00C40764" w:rsidP="009D7984">
      <w:pPr>
        <w:numPr>
          <w:ilvl w:val="0"/>
          <w:numId w:val="13"/>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justify the sampling logic institutional domain, genre, speaker background, and</w:t>
      </w:r>
    </w:p>
    <w:p w:rsidR="00C40764" w:rsidRPr="00C40764" w:rsidRDefault="00C40764" w:rsidP="009D7984">
      <w:pPr>
        <w:numPr>
          <w:ilvl w:val="0"/>
          <w:numId w:val="13"/>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interpret results cautiously, acknowledging internal variation rather than reifying national labels.</w:t>
      </w:r>
    </w:p>
    <w:p w:rsidR="00C40764" w:rsidRPr="00C40764" w:rsidRDefault="00C40764" w:rsidP="009D7984">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4.3 Pedagogical implication: reduce norm hierarchy in testing and materials</w:t>
      </w:r>
    </w:p>
    <w:p w:rsidR="00C40764" w:rsidRPr="00C40764" w:rsidRDefault="00C40764" w:rsidP="009D7984">
      <w:pPr>
        <w:spacing w:before="100" w:beforeAutospacing="1" w:after="100" w:afterAutospacing="1" w:line="360" w:lineRule="auto"/>
        <w:jc w:val="both"/>
        <w:rPr>
          <w:rFonts w:ascii="Arial" w:eastAsia="Times New Roman" w:hAnsi="Arial" w:cs="Arial"/>
          <w:b/>
          <w:bCs/>
          <w:color w:val="000000"/>
          <w:kern w:val="0"/>
          <w:lang w:eastAsia="en-GB"/>
          <w14:ligatures w14:val="none"/>
        </w:rPr>
      </w:pPr>
      <w:r w:rsidRPr="00C40764">
        <w:rPr>
          <w:rFonts w:ascii="Arial" w:eastAsia="Times New Roman" w:hAnsi="Arial" w:cs="Arial"/>
          <w:b/>
          <w:bCs/>
          <w:color w:val="000000"/>
          <w:kern w:val="0"/>
          <w:lang w:eastAsia="en-GB"/>
          <w14:ligatures w14:val="none"/>
        </w:rPr>
        <w:t>The model’s norm hierarchy becomes most consequential in education.</w:t>
      </w:r>
    </w:p>
    <w:p w:rsidR="00C40764" w:rsidRPr="00C40764" w:rsidRDefault="00C40764" w:rsidP="009D7984">
      <w:pPr>
        <w:numPr>
          <w:ilvl w:val="0"/>
          <w:numId w:val="14"/>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Testing: Zhang’s analysis suggests that exclusive reliance on Inner Circle norms can misalign assessments with actual communicative needs and raises fairness issues—especially for large populations in Expanding Circle contexts</w:t>
      </w:r>
      <w:r w:rsidR="00395435" w:rsidRPr="009D7984">
        <w:rPr>
          <w:rFonts w:ascii="Arial" w:eastAsia="Times New Roman" w:hAnsi="Arial" w:cs="Arial"/>
          <w:color w:val="000000"/>
          <w:kern w:val="0"/>
          <w:lang w:eastAsia="en-GB"/>
          <w14:ligatures w14:val="none"/>
        </w:rPr>
        <w:t xml:space="preserve"> (</w:t>
      </w:r>
      <w:r w:rsidR="00395435" w:rsidRPr="009D7984">
        <w:rPr>
          <w:rFonts w:ascii="Arial" w:hAnsi="Arial" w:cs="Arial"/>
          <w:color w:val="000000"/>
        </w:rPr>
        <w:t>Zhang, 2021</w:t>
      </w:r>
      <w:r w:rsidR="00395435" w:rsidRPr="009D7984">
        <w:rPr>
          <w:rFonts w:ascii="Arial" w:eastAsia="Times New Roman" w:hAnsi="Arial" w:cs="Arial"/>
          <w:color w:val="000000"/>
          <w:kern w:val="0"/>
          <w:lang w:eastAsia="en-GB"/>
          <w14:ligatures w14:val="none"/>
        </w:rPr>
        <w:t>).</w:t>
      </w:r>
    </w:p>
    <w:p w:rsidR="00C40764" w:rsidRPr="00C40764" w:rsidRDefault="00C40764" w:rsidP="009D7984">
      <w:pPr>
        <w:numPr>
          <w:ilvl w:val="0"/>
          <w:numId w:val="14"/>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lastRenderedPageBreak/>
        <w:t>Materials: </w:t>
      </w:r>
      <w:proofErr w:type="spellStart"/>
      <w:r w:rsidRPr="00C40764">
        <w:rPr>
          <w:rFonts w:ascii="Arial" w:eastAsia="Times New Roman" w:hAnsi="Arial" w:cs="Arial"/>
          <w:color w:val="000000"/>
          <w:kern w:val="0"/>
          <w:lang w:eastAsia="en-GB"/>
          <w14:ligatures w14:val="none"/>
        </w:rPr>
        <w:t>Tajeddin</w:t>
      </w:r>
      <w:proofErr w:type="spellEnd"/>
      <w:r w:rsidRPr="00C40764">
        <w:rPr>
          <w:rFonts w:ascii="Arial" w:eastAsia="Times New Roman" w:hAnsi="Arial" w:cs="Arial"/>
          <w:color w:val="000000"/>
          <w:kern w:val="0"/>
          <w:lang w:eastAsia="en-GB"/>
          <w14:ligatures w14:val="none"/>
        </w:rPr>
        <w:t xml:space="preserve"> et al. show that global textbooks still overrepresent Inner Circle varieties and cultures, which can reinforce “standard language” ideologies and limit learners’ exposure to diverse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that they are likely to encounter</w:t>
      </w:r>
      <w:r w:rsidR="00395435" w:rsidRPr="009D7984">
        <w:rPr>
          <w:rFonts w:ascii="Arial" w:eastAsia="Times New Roman" w:hAnsi="Arial" w:cs="Arial"/>
          <w:color w:val="000000"/>
          <w:kern w:val="0"/>
          <w:lang w:eastAsia="en-GB"/>
          <w14:ligatures w14:val="none"/>
        </w:rPr>
        <w:t xml:space="preserve"> (</w:t>
      </w:r>
      <w:proofErr w:type="spellStart"/>
      <w:r w:rsidR="00395435" w:rsidRPr="009D7984">
        <w:rPr>
          <w:rFonts w:ascii="Arial" w:hAnsi="Arial" w:cs="Arial"/>
          <w:color w:val="000000"/>
        </w:rPr>
        <w:t>Tajeddin</w:t>
      </w:r>
      <w:proofErr w:type="spellEnd"/>
      <w:r w:rsidR="00395435" w:rsidRPr="009D7984">
        <w:rPr>
          <w:rFonts w:ascii="Arial" w:hAnsi="Arial" w:cs="Arial"/>
          <w:color w:val="000000"/>
        </w:rPr>
        <w:t xml:space="preserve"> and </w:t>
      </w:r>
      <w:proofErr w:type="spellStart"/>
      <w:r w:rsidR="00395435" w:rsidRPr="009D7984">
        <w:rPr>
          <w:rFonts w:ascii="Arial" w:hAnsi="Arial" w:cs="Arial"/>
          <w:color w:val="000000"/>
        </w:rPr>
        <w:t>Pakzadian</w:t>
      </w:r>
      <w:proofErr w:type="spellEnd"/>
      <w:r w:rsidR="00395435" w:rsidRPr="009D7984">
        <w:rPr>
          <w:rFonts w:ascii="Arial" w:hAnsi="Arial" w:cs="Arial"/>
          <w:color w:val="000000"/>
        </w:rPr>
        <w:t>, 2020</w:t>
      </w:r>
      <w:r w:rsidR="00395435" w:rsidRPr="009D7984">
        <w:rPr>
          <w:rFonts w:ascii="Arial" w:eastAsia="Times New Roman" w:hAnsi="Arial" w:cs="Arial"/>
          <w:color w:val="000000"/>
          <w:kern w:val="0"/>
          <w:lang w:eastAsia="en-GB"/>
          <w14:ligatures w14:val="none"/>
        </w:rPr>
        <w:t>).</w:t>
      </w:r>
    </w:p>
    <w:p w:rsidR="00C40764" w:rsidRPr="00C40764" w:rsidRDefault="00C40764" w:rsidP="009D7984">
      <w:pPr>
        <w:numPr>
          <w:ilvl w:val="0"/>
          <w:numId w:val="14"/>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Teacher education and innovation: Rose’s systematic review work demonstrates how Global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research has increasingly focused on translating theory into teacher education and classroom innovation, while also documenting limitations in the evidence base and the challenges of implementation. That kind of evidence-focused mapping is exactly what is needed if we want to move beyond the circles without simply replacing one slogan with another</w:t>
      </w:r>
      <w:r w:rsidR="00395435" w:rsidRPr="009D7984">
        <w:rPr>
          <w:rFonts w:ascii="Arial" w:eastAsia="Times New Roman" w:hAnsi="Arial" w:cs="Arial"/>
          <w:color w:val="000000"/>
          <w:kern w:val="0"/>
          <w:lang w:eastAsia="en-GB"/>
          <w14:ligatures w14:val="none"/>
        </w:rPr>
        <w:t xml:space="preserve"> (Heath Rose, 2010).</w:t>
      </w:r>
    </w:p>
    <w:p w:rsidR="00C40764" w:rsidRPr="00C40764" w:rsidRDefault="00C40764" w:rsidP="009D7984">
      <w:pPr>
        <w:spacing w:line="360" w:lineRule="auto"/>
        <w:jc w:val="both"/>
        <w:rPr>
          <w:rFonts w:ascii="Arial" w:eastAsia="Times New Roman" w:hAnsi="Arial" w:cs="Arial"/>
          <w:kern w:val="0"/>
          <w:lang w:eastAsia="en-GB"/>
          <w14:ligatures w14:val="none"/>
        </w:rPr>
      </w:pPr>
    </w:p>
    <w:p w:rsidR="00C40764" w:rsidRPr="00C40764" w:rsidRDefault="00C40764" w:rsidP="009D7984">
      <w:pPr>
        <w:spacing w:before="100" w:beforeAutospacing="1" w:after="100" w:afterAutospacing="1" w:line="360" w:lineRule="auto"/>
        <w:jc w:val="both"/>
        <w:outlineLvl w:val="1"/>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Conclusion</w:t>
      </w:r>
    </w:p>
    <w:p w:rsidR="00C40764" w:rsidRPr="00C4076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Kachru’s Concentric Circles model remains historically and pedagogically influential because it offered a powerful counter-narrative to monolithic “native English” ideologies and helped legitimise the study of diverse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However, the aspect critiqued here</w:t>
      </w:r>
      <w:r w:rsidR="00395435"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its nation-state-based categorisation coupled with an implicit hierarchy of norms</w:t>
      </w:r>
      <w:r w:rsidR="00395435"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now limits its analytical value. The country-as-circle-member logic obscures internal sociolinguistic variation, struggles to represent mobility and networked multilingual practice, and can unintentionally reinforce Inner Circle norms as the default benchmark in teaching, materials, and testing</w:t>
      </w:r>
      <w:r w:rsidR="00395435" w:rsidRPr="009D7984">
        <w:rPr>
          <w:rFonts w:ascii="Arial" w:eastAsia="Times New Roman" w:hAnsi="Arial" w:cs="Arial"/>
          <w:color w:val="000000"/>
          <w:kern w:val="0"/>
          <w:lang w:eastAsia="en-GB"/>
          <w14:ligatures w14:val="none"/>
        </w:rPr>
        <w:t xml:space="preserve"> (</w:t>
      </w:r>
      <w:proofErr w:type="spellStart"/>
      <w:r w:rsidR="00395435" w:rsidRPr="009D7984">
        <w:rPr>
          <w:rFonts w:ascii="Arial" w:hAnsi="Arial" w:cs="Arial"/>
          <w:color w:val="000000"/>
        </w:rPr>
        <w:t>Bruthiaux</w:t>
      </w:r>
      <w:proofErr w:type="spellEnd"/>
      <w:r w:rsidR="00395435" w:rsidRPr="009D7984">
        <w:rPr>
          <w:rFonts w:ascii="Arial" w:hAnsi="Arial" w:cs="Arial"/>
          <w:color w:val="000000"/>
        </w:rPr>
        <w:t>, 2003</w:t>
      </w:r>
      <w:r w:rsidR="00395435" w:rsidRPr="009D7984">
        <w:rPr>
          <w:rFonts w:ascii="Arial" w:eastAsia="Times New Roman" w:hAnsi="Arial" w:cs="Arial"/>
          <w:color w:val="000000"/>
          <w:kern w:val="0"/>
          <w:lang w:eastAsia="en-GB"/>
          <w14:ligatures w14:val="none"/>
        </w:rPr>
        <w:t>).</w:t>
      </w:r>
    </w:p>
    <w:p w:rsidR="00C40764" w:rsidRPr="009D7984" w:rsidRDefault="00C40764"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C40764">
        <w:rPr>
          <w:rFonts w:ascii="Arial" w:eastAsia="Times New Roman" w:hAnsi="Arial" w:cs="Arial"/>
          <w:color w:val="000000"/>
          <w:kern w:val="0"/>
          <w:lang w:eastAsia="en-GB"/>
          <w14:ligatures w14:val="none"/>
        </w:rPr>
        <w:t xml:space="preserve">Viewed through the lens of sound, structure, meaning, and change, the problem is clear: pronunciation targets and intelligibility are interactional; grammatical patterning does not consistently track circle boundaries; meanings are negotiated across repertoires; and </w:t>
      </w:r>
      <w:proofErr w:type="spellStart"/>
      <w:r w:rsidRPr="00C40764">
        <w:rPr>
          <w:rFonts w:ascii="Arial" w:eastAsia="Times New Roman" w:hAnsi="Arial" w:cs="Arial"/>
          <w:color w:val="000000"/>
          <w:kern w:val="0"/>
          <w:lang w:eastAsia="en-GB"/>
          <w14:ligatures w14:val="none"/>
        </w:rPr>
        <w:t>Englishes</w:t>
      </w:r>
      <w:proofErr w:type="spellEnd"/>
      <w:r w:rsidRPr="00C40764">
        <w:rPr>
          <w:rFonts w:ascii="Arial" w:eastAsia="Times New Roman" w:hAnsi="Arial" w:cs="Arial"/>
          <w:color w:val="000000"/>
          <w:kern w:val="0"/>
          <w:lang w:eastAsia="en-GB"/>
          <w14:ligatures w14:val="none"/>
        </w:rPr>
        <w:t xml:space="preserve"> evolve dynamically within and across national borders. The most defensible way forward is therefore not to abandon Kachru, but to treat the circles as a heuristic and to complement them with approaches that foreground communities, domains, repertoires, and empirical description</w:t>
      </w:r>
      <w:r w:rsidR="00395435" w:rsidRPr="009D7984">
        <w:rPr>
          <w:rFonts w:ascii="Arial" w:eastAsia="Times New Roman" w:hAnsi="Arial" w:cs="Arial"/>
          <w:color w:val="000000"/>
          <w:kern w:val="0"/>
          <w:lang w:eastAsia="en-GB"/>
          <w14:ligatures w14:val="none"/>
        </w:rPr>
        <w:t xml:space="preserve"> </w:t>
      </w:r>
      <w:r w:rsidRPr="00C40764">
        <w:rPr>
          <w:rFonts w:ascii="Arial" w:eastAsia="Times New Roman" w:hAnsi="Arial" w:cs="Arial"/>
          <w:color w:val="000000"/>
          <w:kern w:val="0"/>
          <w:lang w:eastAsia="en-GB"/>
          <w14:ligatures w14:val="none"/>
        </w:rPr>
        <w:t>so our models match how English is actually used now.</w:t>
      </w:r>
    </w:p>
    <w:p w:rsidR="00395435" w:rsidRPr="009D7984" w:rsidRDefault="00395435"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395435" w:rsidRPr="009D7984" w:rsidRDefault="00395435"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395435" w:rsidRPr="009D7984" w:rsidRDefault="00395435"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395435" w:rsidRPr="009D7984" w:rsidRDefault="00395435"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395435" w:rsidRPr="009D7984" w:rsidRDefault="00395435"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D7984">
        <w:rPr>
          <w:rFonts w:ascii="Arial" w:eastAsia="Times New Roman" w:hAnsi="Arial" w:cs="Arial"/>
          <w:color w:val="000000"/>
          <w:kern w:val="0"/>
          <w:lang w:eastAsia="en-GB"/>
          <w14:ligatures w14:val="none"/>
        </w:rPr>
        <w:t>References:</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Blommaert, J. and Rampton, B. (2011) ‘Language and Superdiversity’,</w:t>
      </w:r>
      <w:r w:rsidRPr="009D7984">
        <w:rPr>
          <w:rStyle w:val="apple-converted-space"/>
          <w:rFonts w:ascii="Arial" w:hAnsi="Arial" w:cs="Arial"/>
          <w:color w:val="000000"/>
        </w:rPr>
        <w:t> </w:t>
      </w:r>
      <w:r w:rsidRPr="009D7984">
        <w:rPr>
          <w:rStyle w:val="Emphasis"/>
          <w:rFonts w:ascii="Arial" w:hAnsi="Arial" w:cs="Arial"/>
          <w:color w:val="000000"/>
        </w:rPr>
        <w:t>Diversities</w:t>
      </w:r>
      <w:r w:rsidRPr="009D7984">
        <w:rPr>
          <w:rFonts w:ascii="Arial" w:hAnsi="Arial" w:cs="Arial"/>
          <w:color w:val="000000"/>
        </w:rPr>
        <w:t>, 13(2), pp. 1–21. Available at:</w:t>
      </w:r>
      <w:r w:rsidRPr="009D7984">
        <w:rPr>
          <w:rStyle w:val="apple-converted-space"/>
          <w:rFonts w:ascii="Arial" w:hAnsi="Arial" w:cs="Arial"/>
          <w:color w:val="000000"/>
        </w:rPr>
        <w:t> </w:t>
      </w:r>
      <w:hyperlink r:id="rId5" w:history="1">
        <w:r w:rsidRPr="009D7984">
          <w:rPr>
            <w:rStyle w:val="Hyperlink"/>
            <w:rFonts w:ascii="Arial" w:hAnsi="Arial" w:cs="Arial"/>
          </w:rPr>
          <w:t>https://newdiversities.mmg.mpg.de/fileadmin/user_upload/2011_13-02_art1.pdf</w:t>
        </w:r>
      </w:hyperlink>
      <w:r w:rsidRPr="009D7984">
        <w:rPr>
          <w:rStyle w:val="apple-converted-space"/>
          <w:rFonts w:ascii="Arial" w:hAnsi="Arial" w:cs="Arial"/>
          <w:color w:val="000000"/>
        </w:rPr>
        <w:t> </w:t>
      </w:r>
      <w:r w:rsidRPr="009D7984">
        <w:rPr>
          <w:rFonts w:ascii="Arial" w:hAnsi="Arial" w:cs="Arial"/>
          <w:color w:val="000000"/>
        </w:rPr>
        <w:t>(Accessed: 3 December 2025).</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Bolton, K. (2003)</w:t>
      </w:r>
      <w:r w:rsidRPr="009D7984">
        <w:rPr>
          <w:rStyle w:val="apple-converted-space"/>
          <w:rFonts w:ascii="Arial" w:hAnsi="Arial" w:cs="Arial"/>
          <w:color w:val="000000"/>
        </w:rPr>
        <w:t> </w:t>
      </w:r>
      <w:r w:rsidRPr="009D7984">
        <w:rPr>
          <w:rStyle w:val="Emphasis"/>
          <w:rFonts w:ascii="Arial" w:hAnsi="Arial" w:cs="Arial"/>
          <w:color w:val="000000"/>
        </w:rPr>
        <w:t xml:space="preserve">Chinese </w:t>
      </w:r>
      <w:proofErr w:type="spellStart"/>
      <w:r w:rsidRPr="009D7984">
        <w:rPr>
          <w:rStyle w:val="Emphasis"/>
          <w:rFonts w:ascii="Arial" w:hAnsi="Arial" w:cs="Arial"/>
          <w:color w:val="000000"/>
        </w:rPr>
        <w:t>Englishes</w:t>
      </w:r>
      <w:proofErr w:type="spellEnd"/>
      <w:r w:rsidRPr="009D7984">
        <w:rPr>
          <w:rStyle w:val="Emphasis"/>
          <w:rFonts w:ascii="Arial" w:hAnsi="Arial" w:cs="Arial"/>
          <w:color w:val="000000"/>
        </w:rPr>
        <w:t>: A Sociolinguistic History</w:t>
      </w:r>
      <w:r w:rsidRPr="009D7984">
        <w:rPr>
          <w:rFonts w:ascii="Arial" w:hAnsi="Arial" w:cs="Arial"/>
          <w:color w:val="000000"/>
        </w:rPr>
        <w:t>. Cambridge: Cambridge University Press.</w:t>
      </w:r>
    </w:p>
    <w:p w:rsidR="00532A0B" w:rsidRPr="009D7984" w:rsidRDefault="00532A0B" w:rsidP="009D7984">
      <w:pPr>
        <w:pStyle w:val="NormalWeb"/>
        <w:spacing w:line="360" w:lineRule="auto"/>
        <w:jc w:val="both"/>
        <w:rPr>
          <w:rFonts w:ascii="Arial" w:hAnsi="Arial" w:cs="Arial"/>
          <w:color w:val="000000"/>
        </w:rPr>
      </w:pPr>
      <w:proofErr w:type="spellStart"/>
      <w:r w:rsidRPr="009D7984">
        <w:rPr>
          <w:rFonts w:ascii="Arial" w:hAnsi="Arial" w:cs="Arial"/>
          <w:color w:val="000000"/>
        </w:rPr>
        <w:t>Bruthiaux</w:t>
      </w:r>
      <w:proofErr w:type="spellEnd"/>
      <w:r w:rsidRPr="009D7984">
        <w:rPr>
          <w:rFonts w:ascii="Arial" w:hAnsi="Arial" w:cs="Arial"/>
          <w:color w:val="000000"/>
        </w:rPr>
        <w:t xml:space="preserve">, P. (2003) ‘Squaring the Circles: Issues in </w:t>
      </w:r>
      <w:proofErr w:type="spellStart"/>
      <w:r w:rsidRPr="009D7984">
        <w:rPr>
          <w:rFonts w:ascii="Arial" w:hAnsi="Arial" w:cs="Arial"/>
          <w:color w:val="000000"/>
        </w:rPr>
        <w:t>Modeling</w:t>
      </w:r>
      <w:proofErr w:type="spellEnd"/>
      <w:r w:rsidRPr="009D7984">
        <w:rPr>
          <w:rFonts w:ascii="Arial" w:hAnsi="Arial" w:cs="Arial"/>
          <w:color w:val="000000"/>
        </w:rPr>
        <w:t xml:space="preserve"> English Worldwide’,</w:t>
      </w:r>
      <w:r w:rsidRPr="009D7984">
        <w:rPr>
          <w:rStyle w:val="apple-converted-space"/>
          <w:rFonts w:ascii="Arial" w:hAnsi="Arial" w:cs="Arial"/>
          <w:color w:val="000000"/>
        </w:rPr>
        <w:t> </w:t>
      </w:r>
      <w:r w:rsidRPr="009D7984">
        <w:rPr>
          <w:rStyle w:val="Emphasis"/>
          <w:rFonts w:ascii="Arial" w:hAnsi="Arial" w:cs="Arial"/>
          <w:color w:val="000000"/>
        </w:rPr>
        <w:t>International Journal of Applied Linguistics</w:t>
      </w:r>
      <w:r w:rsidRPr="009D7984">
        <w:rPr>
          <w:rFonts w:ascii="Arial" w:hAnsi="Arial" w:cs="Arial"/>
          <w:color w:val="000000"/>
        </w:rPr>
        <w:t>, 13(2), pp. 159–178.</w:t>
      </w:r>
    </w:p>
    <w:p w:rsidR="00532A0B" w:rsidRPr="009D7984" w:rsidRDefault="00532A0B" w:rsidP="009D7984">
      <w:pPr>
        <w:pStyle w:val="NormalWeb"/>
        <w:spacing w:before="0" w:beforeAutospacing="0" w:after="0" w:afterAutospacing="0" w:line="360" w:lineRule="auto"/>
        <w:ind w:left="720" w:hanging="720"/>
        <w:jc w:val="both"/>
        <w:rPr>
          <w:rFonts w:ascii="Arial" w:hAnsi="Arial" w:cs="Arial"/>
          <w:color w:val="000000"/>
        </w:rPr>
      </w:pPr>
      <w:proofErr w:type="spellStart"/>
      <w:r w:rsidRPr="009D7984">
        <w:rPr>
          <w:rFonts w:ascii="Arial" w:hAnsi="Arial" w:cs="Arial"/>
          <w:color w:val="000000"/>
        </w:rPr>
        <w:t>Bruthiaux</w:t>
      </w:r>
      <w:proofErr w:type="spellEnd"/>
      <w:r w:rsidRPr="009D7984">
        <w:rPr>
          <w:rFonts w:ascii="Arial" w:hAnsi="Arial" w:cs="Arial"/>
          <w:color w:val="000000"/>
        </w:rPr>
        <w:t>, P. (2003)</w:t>
      </w:r>
      <w:r w:rsidRPr="009D7984">
        <w:rPr>
          <w:rStyle w:val="apple-converted-space"/>
          <w:rFonts w:ascii="Arial" w:hAnsi="Arial" w:cs="Arial"/>
          <w:color w:val="000000"/>
        </w:rPr>
        <w:t> </w:t>
      </w:r>
      <w:r w:rsidRPr="009D7984">
        <w:rPr>
          <w:rFonts w:ascii="Arial" w:hAnsi="Arial" w:cs="Arial"/>
          <w:i/>
          <w:iCs/>
          <w:color w:val="000000"/>
        </w:rPr>
        <w:t xml:space="preserve">Squaring the Circles: Issues in </w:t>
      </w:r>
      <w:proofErr w:type="spellStart"/>
      <w:r w:rsidRPr="009D7984">
        <w:rPr>
          <w:rFonts w:ascii="Arial" w:hAnsi="Arial" w:cs="Arial"/>
          <w:i/>
          <w:iCs/>
          <w:color w:val="000000"/>
        </w:rPr>
        <w:t>Modeling</w:t>
      </w:r>
      <w:proofErr w:type="spellEnd"/>
      <w:r w:rsidRPr="009D7984">
        <w:rPr>
          <w:rFonts w:ascii="Arial" w:hAnsi="Arial" w:cs="Arial"/>
          <w:i/>
          <w:iCs/>
          <w:color w:val="000000"/>
        </w:rPr>
        <w:t xml:space="preserve"> English Worldwide.</w:t>
      </w:r>
      <w:r w:rsidRPr="009D7984">
        <w:rPr>
          <w:rStyle w:val="apple-converted-space"/>
          <w:rFonts w:ascii="Arial" w:hAnsi="Arial" w:cs="Arial"/>
          <w:color w:val="000000"/>
        </w:rPr>
        <w:t> </w:t>
      </w:r>
      <w:r w:rsidRPr="009D7984">
        <w:rPr>
          <w:rStyle w:val="url"/>
          <w:rFonts w:ascii="Arial" w:hAnsi="Arial" w:cs="Arial"/>
          <w:color w:val="000000"/>
        </w:rPr>
        <w:t>https://eric.ed.gov/?id=EJ679568</w:t>
      </w:r>
      <w:r w:rsidRPr="009D7984">
        <w:rPr>
          <w:rFonts w:ascii="Arial" w:hAnsi="Arial" w:cs="Arial"/>
          <w:color w:val="000000"/>
        </w:rPr>
        <w:t>.</w:t>
      </w:r>
    </w:p>
    <w:p w:rsidR="00532A0B" w:rsidRPr="009D7984" w:rsidRDefault="00532A0B" w:rsidP="009D7984">
      <w:pPr>
        <w:pStyle w:val="NormalWeb"/>
        <w:spacing w:line="360" w:lineRule="auto"/>
        <w:jc w:val="both"/>
        <w:rPr>
          <w:rFonts w:ascii="Arial" w:hAnsi="Arial" w:cs="Arial"/>
          <w:color w:val="000000"/>
        </w:rPr>
      </w:pPr>
      <w:proofErr w:type="spellStart"/>
      <w:r w:rsidRPr="009D7984">
        <w:rPr>
          <w:rFonts w:ascii="Arial" w:hAnsi="Arial" w:cs="Arial"/>
          <w:color w:val="000000"/>
        </w:rPr>
        <w:t>Canagarajah</w:t>
      </w:r>
      <w:proofErr w:type="spellEnd"/>
      <w:r w:rsidRPr="009D7984">
        <w:rPr>
          <w:rFonts w:ascii="Arial" w:hAnsi="Arial" w:cs="Arial"/>
          <w:color w:val="000000"/>
        </w:rPr>
        <w:t>, S. (2013)</w:t>
      </w:r>
      <w:r w:rsidRPr="009D7984">
        <w:rPr>
          <w:rStyle w:val="apple-converted-space"/>
          <w:rFonts w:ascii="Arial" w:hAnsi="Arial" w:cs="Arial"/>
          <w:color w:val="000000"/>
        </w:rPr>
        <w:t> </w:t>
      </w:r>
      <w:r w:rsidRPr="009D7984">
        <w:rPr>
          <w:rStyle w:val="Emphasis"/>
          <w:rFonts w:ascii="Arial" w:hAnsi="Arial" w:cs="Arial"/>
          <w:color w:val="000000"/>
        </w:rPr>
        <w:t xml:space="preserve">Translingual Practice: Global </w:t>
      </w:r>
      <w:proofErr w:type="spellStart"/>
      <w:r w:rsidRPr="009D7984">
        <w:rPr>
          <w:rStyle w:val="Emphasis"/>
          <w:rFonts w:ascii="Arial" w:hAnsi="Arial" w:cs="Arial"/>
          <w:color w:val="000000"/>
        </w:rPr>
        <w:t>Englishes</w:t>
      </w:r>
      <w:proofErr w:type="spellEnd"/>
      <w:r w:rsidRPr="009D7984">
        <w:rPr>
          <w:rStyle w:val="Emphasis"/>
          <w:rFonts w:ascii="Arial" w:hAnsi="Arial" w:cs="Arial"/>
          <w:color w:val="000000"/>
        </w:rPr>
        <w:t xml:space="preserve"> and Cosmopolitan Relations</w:t>
      </w:r>
      <w:r w:rsidRPr="009D7984">
        <w:rPr>
          <w:rFonts w:ascii="Arial" w:hAnsi="Arial" w:cs="Arial"/>
          <w:color w:val="000000"/>
        </w:rPr>
        <w:t xml:space="preserve">. London/New York: Routledge. </w:t>
      </w:r>
      <w:proofErr w:type="spellStart"/>
      <w:r w:rsidRPr="009D7984">
        <w:rPr>
          <w:rFonts w:ascii="Arial" w:hAnsi="Arial" w:cs="Arial"/>
          <w:color w:val="000000"/>
        </w:rPr>
        <w:t>doi</w:t>
      </w:r>
      <w:proofErr w:type="spellEnd"/>
      <w:r w:rsidRPr="009D7984">
        <w:rPr>
          <w:rFonts w:ascii="Arial" w:hAnsi="Arial" w:cs="Arial"/>
          <w:color w:val="000000"/>
        </w:rPr>
        <w:t>: 10.4324/9780203073889.</w:t>
      </w:r>
    </w:p>
    <w:p w:rsidR="00532A0B" w:rsidRPr="009D7984" w:rsidRDefault="00532A0B" w:rsidP="009D7984">
      <w:pPr>
        <w:pStyle w:val="NormalWeb"/>
        <w:spacing w:before="0" w:beforeAutospacing="0" w:after="0" w:afterAutospacing="0" w:line="360" w:lineRule="auto"/>
        <w:ind w:left="720" w:hanging="720"/>
        <w:jc w:val="both"/>
        <w:rPr>
          <w:rFonts w:ascii="Arial" w:hAnsi="Arial" w:cs="Arial"/>
          <w:color w:val="000000"/>
        </w:rPr>
      </w:pPr>
      <w:r w:rsidRPr="009D7984">
        <w:rPr>
          <w:rFonts w:ascii="Arial" w:hAnsi="Arial" w:cs="Arial"/>
          <w:color w:val="000000"/>
        </w:rPr>
        <w:t xml:space="preserve">Galloway, N. (2024) 'What’s in a name? global </w:t>
      </w:r>
      <w:proofErr w:type="spellStart"/>
      <w:r w:rsidRPr="009D7984">
        <w:rPr>
          <w:rFonts w:ascii="Arial" w:hAnsi="Arial" w:cs="Arial"/>
          <w:color w:val="000000"/>
        </w:rPr>
        <w:t>Englishes</w:t>
      </w:r>
      <w:proofErr w:type="spellEnd"/>
      <w:r w:rsidRPr="009D7984">
        <w:rPr>
          <w:rFonts w:ascii="Arial" w:hAnsi="Arial" w:cs="Arial"/>
          <w:color w:val="000000"/>
        </w:rPr>
        <w:t xml:space="preserve">—An umbrella term to address silo mentality or a misunderstood paradigm reinforcing </w:t>
      </w:r>
      <w:proofErr w:type="gramStart"/>
      <w:r w:rsidRPr="009D7984">
        <w:rPr>
          <w:rFonts w:ascii="Arial" w:hAnsi="Arial" w:cs="Arial"/>
          <w:color w:val="000000"/>
        </w:rPr>
        <w:t>silos?,</w:t>
      </w:r>
      <w:proofErr w:type="gramEnd"/>
      <w:r w:rsidRPr="009D7984">
        <w:rPr>
          <w:rFonts w:ascii="Arial" w:hAnsi="Arial" w:cs="Arial"/>
          <w:color w:val="000000"/>
        </w:rPr>
        <w:t>'</w:t>
      </w:r>
      <w:r w:rsidRPr="009D7984">
        <w:rPr>
          <w:rStyle w:val="apple-converted-space"/>
          <w:rFonts w:ascii="Arial" w:hAnsi="Arial" w:cs="Arial"/>
          <w:color w:val="000000"/>
        </w:rPr>
        <w:t> </w:t>
      </w:r>
      <w:r w:rsidRPr="009D7984">
        <w:rPr>
          <w:rFonts w:ascii="Arial" w:hAnsi="Arial" w:cs="Arial"/>
          <w:i/>
          <w:iCs/>
          <w:color w:val="000000"/>
        </w:rPr>
        <w:t>TESOL Quarterly</w:t>
      </w:r>
      <w:r w:rsidRPr="009D7984">
        <w:rPr>
          <w:rFonts w:ascii="Arial" w:hAnsi="Arial" w:cs="Arial"/>
          <w:color w:val="000000"/>
        </w:rPr>
        <w:t>, 59(1), pp. 24–48.</w:t>
      </w:r>
      <w:r w:rsidRPr="009D7984">
        <w:rPr>
          <w:rStyle w:val="apple-converted-space"/>
          <w:rFonts w:ascii="Arial" w:hAnsi="Arial" w:cs="Arial"/>
          <w:color w:val="000000"/>
        </w:rPr>
        <w:t> </w:t>
      </w:r>
      <w:r w:rsidRPr="009D7984">
        <w:rPr>
          <w:rStyle w:val="url"/>
          <w:rFonts w:ascii="Arial" w:hAnsi="Arial" w:cs="Arial"/>
          <w:color w:val="000000"/>
        </w:rPr>
        <w:t>https://doi.org/10.1002/tesq.3337</w:t>
      </w:r>
      <w:r w:rsidRPr="009D7984">
        <w:rPr>
          <w:rFonts w:ascii="Arial" w:hAnsi="Arial" w:cs="Arial"/>
          <w:color w:val="000000"/>
        </w:rPr>
        <w:t>.</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 xml:space="preserve">Galloway, N. and </w:t>
      </w:r>
      <w:proofErr w:type="spellStart"/>
      <w:r w:rsidRPr="009D7984">
        <w:rPr>
          <w:rFonts w:ascii="Arial" w:hAnsi="Arial" w:cs="Arial"/>
          <w:color w:val="000000"/>
        </w:rPr>
        <w:t>Numajiri</w:t>
      </w:r>
      <w:proofErr w:type="spellEnd"/>
      <w:r w:rsidRPr="009D7984">
        <w:rPr>
          <w:rFonts w:ascii="Arial" w:hAnsi="Arial" w:cs="Arial"/>
          <w:color w:val="000000"/>
        </w:rPr>
        <w:t xml:space="preserve">, T. (2020) ‘Global </w:t>
      </w:r>
      <w:proofErr w:type="spellStart"/>
      <w:r w:rsidRPr="009D7984">
        <w:rPr>
          <w:rFonts w:ascii="Arial" w:hAnsi="Arial" w:cs="Arial"/>
          <w:color w:val="000000"/>
        </w:rPr>
        <w:t>Englishes</w:t>
      </w:r>
      <w:proofErr w:type="spellEnd"/>
      <w:r w:rsidRPr="009D7984">
        <w:rPr>
          <w:rFonts w:ascii="Arial" w:hAnsi="Arial" w:cs="Arial"/>
          <w:color w:val="000000"/>
        </w:rPr>
        <w:t xml:space="preserve"> Language Teaching: Bottom-up Curriculum Implementation’,</w:t>
      </w:r>
      <w:r w:rsidRPr="009D7984">
        <w:rPr>
          <w:rStyle w:val="apple-converted-space"/>
          <w:rFonts w:ascii="Arial" w:hAnsi="Arial" w:cs="Arial"/>
          <w:color w:val="000000"/>
        </w:rPr>
        <w:t> </w:t>
      </w:r>
      <w:r w:rsidRPr="009D7984">
        <w:rPr>
          <w:rStyle w:val="Emphasis"/>
          <w:rFonts w:ascii="Arial" w:hAnsi="Arial" w:cs="Arial"/>
          <w:color w:val="000000"/>
        </w:rPr>
        <w:t>TESOL Quarterly</w:t>
      </w:r>
      <w:r w:rsidRPr="009D7984">
        <w:rPr>
          <w:rFonts w:ascii="Arial" w:hAnsi="Arial" w:cs="Arial"/>
          <w:color w:val="000000"/>
        </w:rPr>
        <w:t xml:space="preserve">, 54(1), pp. 118–145. </w:t>
      </w:r>
      <w:proofErr w:type="spellStart"/>
      <w:r w:rsidRPr="009D7984">
        <w:rPr>
          <w:rFonts w:ascii="Arial" w:hAnsi="Arial" w:cs="Arial"/>
          <w:color w:val="000000"/>
        </w:rPr>
        <w:t>doi</w:t>
      </w:r>
      <w:proofErr w:type="spellEnd"/>
      <w:r w:rsidRPr="009D7984">
        <w:rPr>
          <w:rFonts w:ascii="Arial" w:hAnsi="Arial" w:cs="Arial"/>
          <w:color w:val="000000"/>
        </w:rPr>
        <w:t>: 10.1002/tesq.547.</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García, O. and Wei, L. (2014)</w:t>
      </w:r>
      <w:r w:rsidRPr="009D7984">
        <w:rPr>
          <w:rStyle w:val="apple-converted-space"/>
          <w:rFonts w:ascii="Arial" w:hAnsi="Arial" w:cs="Arial"/>
          <w:color w:val="000000"/>
        </w:rPr>
        <w:t> </w:t>
      </w:r>
      <w:proofErr w:type="spellStart"/>
      <w:r w:rsidRPr="009D7984">
        <w:rPr>
          <w:rStyle w:val="Emphasis"/>
          <w:rFonts w:ascii="Arial" w:hAnsi="Arial" w:cs="Arial"/>
          <w:color w:val="000000"/>
        </w:rPr>
        <w:t>Translanguaging</w:t>
      </w:r>
      <w:proofErr w:type="spellEnd"/>
      <w:r w:rsidRPr="009D7984">
        <w:rPr>
          <w:rStyle w:val="Emphasis"/>
          <w:rFonts w:ascii="Arial" w:hAnsi="Arial" w:cs="Arial"/>
          <w:color w:val="000000"/>
        </w:rPr>
        <w:t>: Language, Bilingualism and Education</w:t>
      </w:r>
      <w:r w:rsidRPr="009D7984">
        <w:rPr>
          <w:rFonts w:ascii="Arial" w:hAnsi="Arial" w:cs="Arial"/>
          <w:color w:val="000000"/>
        </w:rPr>
        <w:t xml:space="preserve">. Basingstoke: Palgrave Macmillan. </w:t>
      </w:r>
      <w:proofErr w:type="spellStart"/>
      <w:r w:rsidRPr="009D7984">
        <w:rPr>
          <w:rFonts w:ascii="Arial" w:hAnsi="Arial" w:cs="Arial"/>
          <w:color w:val="000000"/>
        </w:rPr>
        <w:t>doi</w:t>
      </w:r>
      <w:proofErr w:type="spellEnd"/>
      <w:r w:rsidRPr="009D7984">
        <w:rPr>
          <w:rFonts w:ascii="Arial" w:hAnsi="Arial" w:cs="Arial"/>
          <w:color w:val="000000"/>
        </w:rPr>
        <w:t>: 10.1057/9781137385765.</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lastRenderedPageBreak/>
        <w:t>Jenkins, J. (2000)</w:t>
      </w:r>
      <w:r w:rsidRPr="009D7984">
        <w:rPr>
          <w:rStyle w:val="apple-converted-space"/>
          <w:rFonts w:ascii="Arial" w:hAnsi="Arial" w:cs="Arial"/>
          <w:color w:val="000000"/>
        </w:rPr>
        <w:t> </w:t>
      </w:r>
      <w:r w:rsidRPr="009D7984">
        <w:rPr>
          <w:rStyle w:val="Emphasis"/>
          <w:rFonts w:ascii="Arial" w:hAnsi="Arial" w:cs="Arial"/>
          <w:color w:val="000000"/>
        </w:rPr>
        <w:t>The Phonology of English as an International Language</w:t>
      </w:r>
      <w:r w:rsidRPr="009D7984">
        <w:rPr>
          <w:rFonts w:ascii="Arial" w:hAnsi="Arial" w:cs="Arial"/>
          <w:color w:val="000000"/>
        </w:rPr>
        <w:t>. Oxford: Oxford University Press.</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Jenkins, J. (2006) ‘Points of view and blind spots: ELF and SLA’,</w:t>
      </w:r>
      <w:r w:rsidRPr="009D7984">
        <w:rPr>
          <w:rStyle w:val="apple-converted-space"/>
          <w:rFonts w:ascii="Arial" w:hAnsi="Arial" w:cs="Arial"/>
          <w:color w:val="000000"/>
        </w:rPr>
        <w:t> </w:t>
      </w:r>
      <w:r w:rsidRPr="009D7984">
        <w:rPr>
          <w:rStyle w:val="Emphasis"/>
          <w:rFonts w:ascii="Arial" w:hAnsi="Arial" w:cs="Arial"/>
          <w:color w:val="000000"/>
        </w:rPr>
        <w:t>International Journal of Applied Linguistics</w:t>
      </w:r>
      <w:r w:rsidRPr="009D7984">
        <w:rPr>
          <w:rFonts w:ascii="Arial" w:hAnsi="Arial" w:cs="Arial"/>
          <w:color w:val="000000"/>
        </w:rPr>
        <w:t xml:space="preserve">, 16(2), pp. 137–162. </w:t>
      </w:r>
      <w:proofErr w:type="spellStart"/>
      <w:r w:rsidRPr="009D7984">
        <w:rPr>
          <w:rFonts w:ascii="Arial" w:hAnsi="Arial" w:cs="Arial"/>
          <w:color w:val="000000"/>
        </w:rPr>
        <w:t>doi</w:t>
      </w:r>
      <w:proofErr w:type="spellEnd"/>
      <w:r w:rsidRPr="009D7984">
        <w:rPr>
          <w:rFonts w:ascii="Arial" w:hAnsi="Arial" w:cs="Arial"/>
          <w:color w:val="000000"/>
        </w:rPr>
        <w:t>: 10.1111/j.1473-4192.2006.</w:t>
      </w:r>
      <w:proofErr w:type="gramStart"/>
      <w:r w:rsidRPr="009D7984">
        <w:rPr>
          <w:rFonts w:ascii="Arial" w:hAnsi="Arial" w:cs="Arial"/>
          <w:color w:val="000000"/>
        </w:rPr>
        <w:t>00111.x.</w:t>
      </w:r>
      <w:proofErr w:type="gramEnd"/>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Jenkins, J. (2007)</w:t>
      </w:r>
      <w:r w:rsidRPr="009D7984">
        <w:rPr>
          <w:rStyle w:val="apple-converted-space"/>
          <w:rFonts w:ascii="Arial" w:hAnsi="Arial" w:cs="Arial"/>
          <w:color w:val="000000"/>
        </w:rPr>
        <w:t> </w:t>
      </w:r>
      <w:r w:rsidRPr="009D7984">
        <w:rPr>
          <w:rStyle w:val="Emphasis"/>
          <w:rFonts w:ascii="Arial" w:hAnsi="Arial" w:cs="Arial"/>
          <w:color w:val="000000"/>
        </w:rPr>
        <w:t>English as a Lingua Franca: Attitude and Identity</w:t>
      </w:r>
      <w:r w:rsidRPr="009D7984">
        <w:rPr>
          <w:rFonts w:ascii="Arial" w:hAnsi="Arial" w:cs="Arial"/>
          <w:color w:val="000000"/>
        </w:rPr>
        <w:t>. Oxford: Oxford University Press.</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Kachru, B.B. (1985) ‘Standards, codification, and sociolinguistic realism: The English language in the outer circle’, in Quirk, R. and Widdowson, H.G. (eds.)</w:t>
      </w:r>
      <w:r w:rsidRPr="009D7984">
        <w:rPr>
          <w:rStyle w:val="apple-converted-space"/>
          <w:rFonts w:ascii="Arial" w:hAnsi="Arial" w:cs="Arial"/>
          <w:color w:val="000000"/>
        </w:rPr>
        <w:t> </w:t>
      </w:r>
      <w:r w:rsidRPr="009D7984">
        <w:rPr>
          <w:rStyle w:val="Emphasis"/>
          <w:rFonts w:ascii="Arial" w:hAnsi="Arial" w:cs="Arial"/>
          <w:color w:val="000000"/>
        </w:rPr>
        <w:t>English in the World: Teaching and Learning the Language and Literatures</w:t>
      </w:r>
      <w:r w:rsidRPr="009D7984">
        <w:rPr>
          <w:rFonts w:ascii="Arial" w:hAnsi="Arial" w:cs="Arial"/>
          <w:color w:val="000000"/>
        </w:rPr>
        <w:t>. Cambridge: Cambridge University Press, pp. 11–30.</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 xml:space="preserve">Kachru, B.B. (1990) ‘World </w:t>
      </w:r>
      <w:proofErr w:type="spellStart"/>
      <w:r w:rsidRPr="009D7984">
        <w:rPr>
          <w:rFonts w:ascii="Arial" w:hAnsi="Arial" w:cs="Arial"/>
          <w:color w:val="000000"/>
        </w:rPr>
        <w:t>Englishes</w:t>
      </w:r>
      <w:proofErr w:type="spellEnd"/>
      <w:r w:rsidRPr="009D7984">
        <w:rPr>
          <w:rFonts w:ascii="Arial" w:hAnsi="Arial" w:cs="Arial"/>
          <w:color w:val="000000"/>
        </w:rPr>
        <w:t xml:space="preserve"> and applied linguistics’,</w:t>
      </w:r>
      <w:r w:rsidRPr="009D7984">
        <w:rPr>
          <w:rStyle w:val="apple-converted-space"/>
          <w:rFonts w:ascii="Arial" w:hAnsi="Arial" w:cs="Arial"/>
          <w:color w:val="000000"/>
        </w:rPr>
        <w:t> </w:t>
      </w:r>
      <w:r w:rsidRPr="009D7984">
        <w:rPr>
          <w:rStyle w:val="Emphasis"/>
          <w:rFonts w:ascii="Arial" w:hAnsi="Arial" w:cs="Arial"/>
          <w:color w:val="000000"/>
        </w:rPr>
        <w:t xml:space="preserve">World </w:t>
      </w:r>
      <w:proofErr w:type="spellStart"/>
      <w:r w:rsidRPr="009D7984">
        <w:rPr>
          <w:rStyle w:val="Emphasis"/>
          <w:rFonts w:ascii="Arial" w:hAnsi="Arial" w:cs="Arial"/>
          <w:color w:val="000000"/>
        </w:rPr>
        <w:t>Englishes</w:t>
      </w:r>
      <w:proofErr w:type="spellEnd"/>
      <w:r w:rsidRPr="009D7984">
        <w:rPr>
          <w:rFonts w:ascii="Arial" w:hAnsi="Arial" w:cs="Arial"/>
          <w:color w:val="000000"/>
        </w:rPr>
        <w:t xml:space="preserve">, 9(1), pp. 3–20. </w:t>
      </w:r>
      <w:proofErr w:type="spellStart"/>
      <w:r w:rsidRPr="009D7984">
        <w:rPr>
          <w:rFonts w:ascii="Arial" w:hAnsi="Arial" w:cs="Arial"/>
          <w:color w:val="000000"/>
        </w:rPr>
        <w:t>doi</w:t>
      </w:r>
      <w:proofErr w:type="spellEnd"/>
      <w:r w:rsidRPr="009D7984">
        <w:rPr>
          <w:rFonts w:ascii="Arial" w:hAnsi="Arial" w:cs="Arial"/>
          <w:color w:val="000000"/>
        </w:rPr>
        <w:t>: 10.1111/j.1467-971X.1990.tb</w:t>
      </w:r>
      <w:proofErr w:type="gramStart"/>
      <w:r w:rsidRPr="009D7984">
        <w:rPr>
          <w:rFonts w:ascii="Arial" w:hAnsi="Arial" w:cs="Arial"/>
          <w:color w:val="000000"/>
        </w:rPr>
        <w:t>00683.x.</w:t>
      </w:r>
      <w:proofErr w:type="gramEnd"/>
    </w:p>
    <w:p w:rsidR="00532A0B" w:rsidRPr="009D7984" w:rsidRDefault="00532A0B" w:rsidP="009D7984">
      <w:pPr>
        <w:pStyle w:val="NormalWeb"/>
        <w:spacing w:before="0" w:beforeAutospacing="0" w:after="0" w:afterAutospacing="0" w:line="360" w:lineRule="auto"/>
        <w:ind w:left="720" w:hanging="720"/>
        <w:jc w:val="both"/>
        <w:rPr>
          <w:rFonts w:ascii="Arial" w:hAnsi="Arial" w:cs="Arial"/>
          <w:color w:val="000000"/>
        </w:rPr>
      </w:pPr>
      <w:r w:rsidRPr="009D7984">
        <w:rPr>
          <w:rFonts w:ascii="Arial" w:hAnsi="Arial" w:cs="Arial"/>
          <w:color w:val="000000"/>
        </w:rPr>
        <w:t>Kirk, J. (2022) 'Irish English as a world English,'</w:t>
      </w:r>
      <w:r w:rsidRPr="009D7984">
        <w:rPr>
          <w:rStyle w:val="apple-converted-space"/>
          <w:rFonts w:ascii="Arial" w:hAnsi="Arial" w:cs="Arial"/>
          <w:color w:val="000000"/>
        </w:rPr>
        <w:t> </w:t>
      </w:r>
      <w:r w:rsidRPr="009D7984">
        <w:rPr>
          <w:rFonts w:ascii="Arial" w:hAnsi="Arial" w:cs="Arial"/>
          <w:i/>
          <w:iCs/>
          <w:color w:val="000000"/>
        </w:rPr>
        <w:t>Frontiers in Communication</w:t>
      </w:r>
      <w:r w:rsidRPr="009D7984">
        <w:rPr>
          <w:rFonts w:ascii="Arial" w:hAnsi="Arial" w:cs="Arial"/>
          <w:color w:val="000000"/>
        </w:rPr>
        <w:t>, 7.</w:t>
      </w:r>
      <w:r w:rsidRPr="009D7984">
        <w:rPr>
          <w:rStyle w:val="apple-converted-space"/>
          <w:rFonts w:ascii="Arial" w:hAnsi="Arial" w:cs="Arial"/>
          <w:color w:val="000000"/>
        </w:rPr>
        <w:t> </w:t>
      </w:r>
      <w:r w:rsidRPr="009D7984">
        <w:rPr>
          <w:rStyle w:val="url"/>
          <w:rFonts w:ascii="Arial" w:hAnsi="Arial" w:cs="Arial"/>
          <w:color w:val="000000"/>
        </w:rPr>
        <w:t>https://doi.org/10.3389/fcomm.2022.781320</w:t>
      </w:r>
      <w:r w:rsidRPr="009D7984">
        <w:rPr>
          <w:rFonts w:ascii="Arial" w:hAnsi="Arial" w:cs="Arial"/>
          <w:color w:val="000000"/>
        </w:rPr>
        <w:t>.</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Rose, H. and Galloway, N. (2019)</w:t>
      </w:r>
      <w:r w:rsidRPr="009D7984">
        <w:rPr>
          <w:rStyle w:val="apple-converted-space"/>
          <w:rFonts w:ascii="Arial" w:hAnsi="Arial" w:cs="Arial"/>
          <w:color w:val="000000"/>
        </w:rPr>
        <w:t> </w:t>
      </w:r>
      <w:r w:rsidRPr="009D7984">
        <w:rPr>
          <w:rStyle w:val="Emphasis"/>
          <w:rFonts w:ascii="Arial" w:hAnsi="Arial" w:cs="Arial"/>
          <w:color w:val="000000"/>
        </w:rPr>
        <w:t xml:space="preserve">Global </w:t>
      </w:r>
      <w:proofErr w:type="spellStart"/>
      <w:r w:rsidRPr="009D7984">
        <w:rPr>
          <w:rStyle w:val="Emphasis"/>
          <w:rFonts w:ascii="Arial" w:hAnsi="Arial" w:cs="Arial"/>
          <w:color w:val="000000"/>
        </w:rPr>
        <w:t>Englishes</w:t>
      </w:r>
      <w:proofErr w:type="spellEnd"/>
      <w:r w:rsidRPr="009D7984">
        <w:rPr>
          <w:rStyle w:val="Emphasis"/>
          <w:rFonts w:ascii="Arial" w:hAnsi="Arial" w:cs="Arial"/>
          <w:color w:val="000000"/>
        </w:rPr>
        <w:t xml:space="preserve"> for Language Teaching</w:t>
      </w:r>
      <w:r w:rsidRPr="009D7984">
        <w:rPr>
          <w:rFonts w:ascii="Arial" w:hAnsi="Arial" w:cs="Arial"/>
          <w:color w:val="000000"/>
        </w:rPr>
        <w:t xml:space="preserve">. Cambridge: Cambridge University Press. </w:t>
      </w:r>
      <w:proofErr w:type="spellStart"/>
      <w:r w:rsidRPr="009D7984">
        <w:rPr>
          <w:rFonts w:ascii="Arial" w:hAnsi="Arial" w:cs="Arial"/>
          <w:color w:val="000000"/>
        </w:rPr>
        <w:t>doi</w:t>
      </w:r>
      <w:proofErr w:type="spellEnd"/>
      <w:r w:rsidRPr="009D7984">
        <w:rPr>
          <w:rFonts w:ascii="Arial" w:hAnsi="Arial" w:cs="Arial"/>
          <w:color w:val="000000"/>
        </w:rPr>
        <w:t>: 10.1017/9781316678343.</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 xml:space="preserve">Rose, H., McKinley, J. and Galloway, N. (2021) ‘Global </w:t>
      </w:r>
      <w:proofErr w:type="spellStart"/>
      <w:r w:rsidRPr="009D7984">
        <w:rPr>
          <w:rFonts w:ascii="Arial" w:hAnsi="Arial" w:cs="Arial"/>
          <w:color w:val="000000"/>
        </w:rPr>
        <w:t>Englishes</w:t>
      </w:r>
      <w:proofErr w:type="spellEnd"/>
      <w:r w:rsidRPr="009D7984">
        <w:rPr>
          <w:rFonts w:ascii="Arial" w:hAnsi="Arial" w:cs="Arial"/>
          <w:color w:val="000000"/>
        </w:rPr>
        <w:t xml:space="preserve"> and language teaching: A review of pedagogical research’,</w:t>
      </w:r>
      <w:r w:rsidRPr="009D7984">
        <w:rPr>
          <w:rStyle w:val="apple-converted-space"/>
          <w:rFonts w:ascii="Arial" w:hAnsi="Arial" w:cs="Arial"/>
          <w:color w:val="000000"/>
        </w:rPr>
        <w:t> </w:t>
      </w:r>
      <w:r w:rsidRPr="009D7984">
        <w:rPr>
          <w:rStyle w:val="Emphasis"/>
          <w:rFonts w:ascii="Arial" w:hAnsi="Arial" w:cs="Arial"/>
          <w:color w:val="000000"/>
        </w:rPr>
        <w:t>Language Teaching</w:t>
      </w:r>
      <w:r w:rsidRPr="009D7984">
        <w:rPr>
          <w:rFonts w:ascii="Arial" w:hAnsi="Arial" w:cs="Arial"/>
          <w:color w:val="000000"/>
        </w:rPr>
        <w:t xml:space="preserve">, 54(2), pp. 157–189. </w:t>
      </w:r>
      <w:proofErr w:type="spellStart"/>
      <w:r w:rsidRPr="009D7984">
        <w:rPr>
          <w:rFonts w:ascii="Arial" w:hAnsi="Arial" w:cs="Arial"/>
          <w:color w:val="000000"/>
        </w:rPr>
        <w:t>doi</w:t>
      </w:r>
      <w:proofErr w:type="spellEnd"/>
      <w:r w:rsidRPr="009D7984">
        <w:rPr>
          <w:rFonts w:ascii="Arial" w:hAnsi="Arial" w:cs="Arial"/>
          <w:color w:val="000000"/>
        </w:rPr>
        <w:t>: 10.1017/S0261444820000518.</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Schneider, E.W. (2007)</w:t>
      </w:r>
      <w:r w:rsidRPr="009D7984">
        <w:rPr>
          <w:rStyle w:val="apple-converted-space"/>
          <w:rFonts w:ascii="Arial" w:hAnsi="Arial" w:cs="Arial"/>
          <w:color w:val="000000"/>
        </w:rPr>
        <w:t> </w:t>
      </w:r>
      <w:r w:rsidRPr="009D7984">
        <w:rPr>
          <w:rStyle w:val="Emphasis"/>
          <w:rFonts w:ascii="Arial" w:hAnsi="Arial" w:cs="Arial"/>
          <w:color w:val="000000"/>
        </w:rPr>
        <w:t>Postcolonial English: Varieties around the World</w:t>
      </w:r>
      <w:r w:rsidRPr="009D7984">
        <w:rPr>
          <w:rFonts w:ascii="Arial" w:hAnsi="Arial" w:cs="Arial"/>
          <w:color w:val="000000"/>
        </w:rPr>
        <w:t>. Cambridge: Cambridge University Press.</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 xml:space="preserve">Schreier, D., </w:t>
      </w:r>
      <w:proofErr w:type="spellStart"/>
      <w:r w:rsidRPr="009D7984">
        <w:rPr>
          <w:rFonts w:ascii="Arial" w:hAnsi="Arial" w:cs="Arial"/>
          <w:color w:val="000000"/>
        </w:rPr>
        <w:t>Hundt</w:t>
      </w:r>
      <w:proofErr w:type="spellEnd"/>
      <w:r w:rsidRPr="009D7984">
        <w:rPr>
          <w:rFonts w:ascii="Arial" w:hAnsi="Arial" w:cs="Arial"/>
          <w:color w:val="000000"/>
        </w:rPr>
        <w:t>, M. and Schneider, E.W. (eds) (2020)</w:t>
      </w:r>
      <w:r w:rsidRPr="009D7984">
        <w:rPr>
          <w:rStyle w:val="apple-converted-space"/>
          <w:rFonts w:ascii="Arial" w:hAnsi="Arial" w:cs="Arial"/>
          <w:color w:val="000000"/>
        </w:rPr>
        <w:t> </w:t>
      </w:r>
      <w:r w:rsidRPr="009D7984">
        <w:rPr>
          <w:rStyle w:val="Emphasis"/>
          <w:rFonts w:ascii="Arial" w:hAnsi="Arial" w:cs="Arial"/>
          <w:color w:val="000000"/>
        </w:rPr>
        <w:t xml:space="preserve">The Cambridge Handbook of World </w:t>
      </w:r>
      <w:proofErr w:type="spellStart"/>
      <w:r w:rsidRPr="009D7984">
        <w:rPr>
          <w:rStyle w:val="Emphasis"/>
          <w:rFonts w:ascii="Arial" w:hAnsi="Arial" w:cs="Arial"/>
          <w:color w:val="000000"/>
        </w:rPr>
        <w:t>Englishes</w:t>
      </w:r>
      <w:proofErr w:type="spellEnd"/>
      <w:r w:rsidRPr="009D7984">
        <w:rPr>
          <w:rFonts w:ascii="Arial" w:hAnsi="Arial" w:cs="Arial"/>
          <w:color w:val="000000"/>
        </w:rPr>
        <w:t>. Cambridge: Cambridge University Press.</w:t>
      </w:r>
    </w:p>
    <w:p w:rsidR="00532A0B" w:rsidRPr="009D7984" w:rsidRDefault="00532A0B" w:rsidP="009D7984">
      <w:pPr>
        <w:pStyle w:val="NormalWeb"/>
        <w:spacing w:line="360" w:lineRule="auto"/>
        <w:jc w:val="both"/>
        <w:rPr>
          <w:rFonts w:ascii="Arial" w:hAnsi="Arial" w:cs="Arial"/>
          <w:color w:val="000000"/>
        </w:rPr>
      </w:pPr>
      <w:proofErr w:type="spellStart"/>
      <w:r w:rsidRPr="009D7984">
        <w:rPr>
          <w:rFonts w:ascii="Arial" w:hAnsi="Arial" w:cs="Arial"/>
          <w:color w:val="000000"/>
        </w:rPr>
        <w:t>Seidlhofer</w:t>
      </w:r>
      <w:proofErr w:type="spellEnd"/>
      <w:r w:rsidRPr="009D7984">
        <w:rPr>
          <w:rFonts w:ascii="Arial" w:hAnsi="Arial" w:cs="Arial"/>
          <w:color w:val="000000"/>
        </w:rPr>
        <w:t>, B. (2001) ‘Closing a conceptual gap: The case for a description of English as a lingua franca’,</w:t>
      </w:r>
      <w:r w:rsidRPr="009D7984">
        <w:rPr>
          <w:rStyle w:val="apple-converted-space"/>
          <w:rFonts w:ascii="Arial" w:hAnsi="Arial" w:cs="Arial"/>
          <w:color w:val="000000"/>
        </w:rPr>
        <w:t> </w:t>
      </w:r>
      <w:r w:rsidRPr="009D7984">
        <w:rPr>
          <w:rStyle w:val="Emphasis"/>
          <w:rFonts w:ascii="Arial" w:hAnsi="Arial" w:cs="Arial"/>
          <w:color w:val="000000"/>
        </w:rPr>
        <w:t>International Journal of Applied Linguistics</w:t>
      </w:r>
      <w:r w:rsidRPr="009D7984">
        <w:rPr>
          <w:rFonts w:ascii="Arial" w:hAnsi="Arial" w:cs="Arial"/>
          <w:color w:val="000000"/>
        </w:rPr>
        <w:t xml:space="preserve">, 11(2), pp. 133–158. </w:t>
      </w:r>
      <w:proofErr w:type="spellStart"/>
      <w:r w:rsidRPr="009D7984">
        <w:rPr>
          <w:rFonts w:ascii="Arial" w:hAnsi="Arial" w:cs="Arial"/>
          <w:color w:val="000000"/>
        </w:rPr>
        <w:t>doi</w:t>
      </w:r>
      <w:proofErr w:type="spellEnd"/>
      <w:r w:rsidRPr="009D7984">
        <w:rPr>
          <w:rFonts w:ascii="Arial" w:hAnsi="Arial" w:cs="Arial"/>
          <w:color w:val="000000"/>
        </w:rPr>
        <w:t>: 10.1111/1473-4192.00011.</w:t>
      </w:r>
    </w:p>
    <w:p w:rsidR="00532A0B" w:rsidRPr="009D7984" w:rsidRDefault="00532A0B" w:rsidP="009D7984">
      <w:pPr>
        <w:pStyle w:val="NormalWeb"/>
        <w:spacing w:line="360" w:lineRule="auto"/>
        <w:jc w:val="both"/>
        <w:rPr>
          <w:rFonts w:ascii="Arial" w:hAnsi="Arial" w:cs="Arial"/>
          <w:color w:val="000000"/>
        </w:rPr>
      </w:pPr>
      <w:proofErr w:type="spellStart"/>
      <w:r w:rsidRPr="009D7984">
        <w:rPr>
          <w:rFonts w:ascii="Arial" w:hAnsi="Arial" w:cs="Arial"/>
          <w:color w:val="000000"/>
        </w:rPr>
        <w:lastRenderedPageBreak/>
        <w:t>Seidlhofer</w:t>
      </w:r>
      <w:proofErr w:type="spellEnd"/>
      <w:r w:rsidRPr="009D7984">
        <w:rPr>
          <w:rFonts w:ascii="Arial" w:hAnsi="Arial" w:cs="Arial"/>
          <w:color w:val="000000"/>
        </w:rPr>
        <w:t>, B. (2011)</w:t>
      </w:r>
      <w:r w:rsidRPr="009D7984">
        <w:rPr>
          <w:rStyle w:val="apple-converted-space"/>
          <w:rFonts w:ascii="Arial" w:hAnsi="Arial" w:cs="Arial"/>
          <w:color w:val="000000"/>
        </w:rPr>
        <w:t> </w:t>
      </w:r>
      <w:r w:rsidRPr="009D7984">
        <w:rPr>
          <w:rStyle w:val="Emphasis"/>
          <w:rFonts w:ascii="Arial" w:hAnsi="Arial" w:cs="Arial"/>
          <w:color w:val="000000"/>
        </w:rPr>
        <w:t>Understanding English as a Lingua Franca</w:t>
      </w:r>
      <w:r w:rsidRPr="009D7984">
        <w:rPr>
          <w:rFonts w:ascii="Arial" w:hAnsi="Arial" w:cs="Arial"/>
          <w:color w:val="000000"/>
        </w:rPr>
        <w:t>. Oxford: Oxford University Press.</w:t>
      </w:r>
    </w:p>
    <w:p w:rsidR="00532A0B" w:rsidRPr="009D7984" w:rsidRDefault="00532A0B" w:rsidP="009D7984">
      <w:pPr>
        <w:pStyle w:val="NormalWeb"/>
        <w:spacing w:before="0" w:beforeAutospacing="0" w:after="0" w:afterAutospacing="0" w:line="360" w:lineRule="auto"/>
        <w:ind w:left="720" w:hanging="720"/>
        <w:jc w:val="both"/>
        <w:rPr>
          <w:rFonts w:ascii="Arial" w:hAnsi="Arial" w:cs="Arial"/>
          <w:color w:val="000000"/>
        </w:rPr>
      </w:pPr>
      <w:proofErr w:type="spellStart"/>
      <w:r w:rsidRPr="009D7984">
        <w:rPr>
          <w:rFonts w:ascii="Arial" w:hAnsi="Arial" w:cs="Arial"/>
          <w:color w:val="000000"/>
        </w:rPr>
        <w:t>Tajeddin</w:t>
      </w:r>
      <w:proofErr w:type="spellEnd"/>
      <w:r w:rsidRPr="009D7984">
        <w:rPr>
          <w:rFonts w:ascii="Arial" w:hAnsi="Arial" w:cs="Arial"/>
          <w:color w:val="000000"/>
        </w:rPr>
        <w:t xml:space="preserve">, Z. and </w:t>
      </w:r>
      <w:proofErr w:type="spellStart"/>
      <w:r w:rsidRPr="009D7984">
        <w:rPr>
          <w:rFonts w:ascii="Arial" w:hAnsi="Arial" w:cs="Arial"/>
          <w:color w:val="000000"/>
        </w:rPr>
        <w:t>Pakzadian</w:t>
      </w:r>
      <w:proofErr w:type="spellEnd"/>
      <w:r w:rsidRPr="009D7984">
        <w:rPr>
          <w:rFonts w:ascii="Arial" w:hAnsi="Arial" w:cs="Arial"/>
          <w:color w:val="000000"/>
        </w:rPr>
        <w:t>, M. (2020) 'Representation of inner, outer and expanding circle varieties and cultures in global ELT textbooks,'</w:t>
      </w:r>
      <w:r w:rsidRPr="009D7984">
        <w:rPr>
          <w:rStyle w:val="apple-converted-space"/>
          <w:rFonts w:ascii="Arial" w:hAnsi="Arial" w:cs="Arial"/>
          <w:color w:val="000000"/>
        </w:rPr>
        <w:t> </w:t>
      </w:r>
      <w:r w:rsidRPr="009D7984">
        <w:rPr>
          <w:rFonts w:ascii="Arial" w:hAnsi="Arial" w:cs="Arial"/>
          <w:i/>
          <w:iCs/>
          <w:color w:val="000000"/>
        </w:rPr>
        <w:t>Asian-Pacific Journal of Second and Foreign Language Education</w:t>
      </w:r>
      <w:r w:rsidRPr="009D7984">
        <w:rPr>
          <w:rFonts w:ascii="Arial" w:hAnsi="Arial" w:cs="Arial"/>
          <w:color w:val="000000"/>
        </w:rPr>
        <w:t>, 5(1).</w:t>
      </w:r>
      <w:r w:rsidRPr="009D7984">
        <w:rPr>
          <w:rStyle w:val="apple-converted-space"/>
          <w:rFonts w:ascii="Arial" w:hAnsi="Arial" w:cs="Arial"/>
          <w:color w:val="000000"/>
        </w:rPr>
        <w:t> </w:t>
      </w:r>
      <w:r w:rsidRPr="009D7984">
        <w:rPr>
          <w:rStyle w:val="url"/>
          <w:rFonts w:ascii="Arial" w:hAnsi="Arial" w:cs="Arial"/>
          <w:color w:val="000000"/>
        </w:rPr>
        <w:t>https://doi.org/10.1186/s40862-020-00089-9</w:t>
      </w:r>
      <w:r w:rsidRPr="009D7984">
        <w:rPr>
          <w:rFonts w:ascii="Arial" w:hAnsi="Arial" w:cs="Arial"/>
          <w:color w:val="000000"/>
        </w:rPr>
        <w:t>.</w:t>
      </w:r>
    </w:p>
    <w:p w:rsidR="00532A0B" w:rsidRPr="009D7984" w:rsidRDefault="00532A0B" w:rsidP="009D7984">
      <w:pPr>
        <w:pStyle w:val="NormalWeb"/>
        <w:spacing w:line="360" w:lineRule="auto"/>
        <w:jc w:val="both"/>
        <w:rPr>
          <w:rFonts w:ascii="Arial" w:hAnsi="Arial" w:cs="Arial"/>
          <w:color w:val="000000"/>
        </w:rPr>
      </w:pPr>
      <w:proofErr w:type="spellStart"/>
      <w:r w:rsidRPr="009D7984">
        <w:rPr>
          <w:rFonts w:ascii="Arial" w:hAnsi="Arial" w:cs="Arial"/>
          <w:color w:val="000000"/>
        </w:rPr>
        <w:t>Tajeddin</w:t>
      </w:r>
      <w:proofErr w:type="spellEnd"/>
      <w:r w:rsidRPr="009D7984">
        <w:rPr>
          <w:rFonts w:ascii="Arial" w:hAnsi="Arial" w:cs="Arial"/>
          <w:color w:val="000000"/>
        </w:rPr>
        <w:t xml:space="preserve">, Z. and </w:t>
      </w:r>
      <w:proofErr w:type="spellStart"/>
      <w:r w:rsidRPr="009D7984">
        <w:rPr>
          <w:rFonts w:ascii="Arial" w:hAnsi="Arial" w:cs="Arial"/>
          <w:color w:val="000000"/>
        </w:rPr>
        <w:t>Pakzadian</w:t>
      </w:r>
      <w:proofErr w:type="spellEnd"/>
      <w:r w:rsidRPr="009D7984">
        <w:rPr>
          <w:rFonts w:ascii="Arial" w:hAnsi="Arial" w:cs="Arial"/>
          <w:color w:val="000000"/>
        </w:rPr>
        <w:t>, M. (2020) ‘Representation of inner, outer and expanding circle varieties and cultures in global ELT textbooks’,</w:t>
      </w:r>
      <w:r w:rsidRPr="009D7984">
        <w:rPr>
          <w:rStyle w:val="apple-converted-space"/>
          <w:rFonts w:ascii="Arial" w:hAnsi="Arial" w:cs="Arial"/>
          <w:color w:val="000000"/>
        </w:rPr>
        <w:t> </w:t>
      </w:r>
      <w:r w:rsidRPr="009D7984">
        <w:rPr>
          <w:rStyle w:val="Emphasis"/>
          <w:rFonts w:ascii="Arial" w:hAnsi="Arial" w:cs="Arial"/>
          <w:color w:val="000000"/>
        </w:rPr>
        <w:t>Asian-Pacific Journal of Second and Foreign Language Education</w:t>
      </w:r>
      <w:r w:rsidRPr="009D7984">
        <w:rPr>
          <w:rFonts w:ascii="Arial" w:hAnsi="Arial" w:cs="Arial"/>
          <w:color w:val="000000"/>
        </w:rPr>
        <w:t xml:space="preserve">, 5, Article 10. </w:t>
      </w:r>
      <w:proofErr w:type="spellStart"/>
      <w:r w:rsidRPr="009D7984">
        <w:rPr>
          <w:rFonts w:ascii="Arial" w:hAnsi="Arial" w:cs="Arial"/>
          <w:color w:val="000000"/>
        </w:rPr>
        <w:t>doi</w:t>
      </w:r>
      <w:proofErr w:type="spellEnd"/>
      <w:r w:rsidRPr="009D7984">
        <w:rPr>
          <w:rFonts w:ascii="Arial" w:hAnsi="Arial" w:cs="Arial"/>
          <w:color w:val="000000"/>
        </w:rPr>
        <w:t>: 10.1186/s40862-020-00089-9.</w:t>
      </w:r>
    </w:p>
    <w:p w:rsidR="00532A0B" w:rsidRPr="009D7984" w:rsidRDefault="00532A0B" w:rsidP="009D7984">
      <w:pPr>
        <w:pStyle w:val="NormalWeb"/>
        <w:spacing w:line="360" w:lineRule="auto"/>
        <w:jc w:val="both"/>
        <w:rPr>
          <w:rFonts w:ascii="Arial" w:hAnsi="Arial" w:cs="Arial"/>
          <w:color w:val="000000"/>
        </w:rPr>
      </w:pPr>
      <w:proofErr w:type="spellStart"/>
      <w:r w:rsidRPr="009D7984">
        <w:rPr>
          <w:rFonts w:ascii="Arial" w:hAnsi="Arial" w:cs="Arial"/>
          <w:color w:val="000000"/>
        </w:rPr>
        <w:t>Vertovec</w:t>
      </w:r>
      <w:proofErr w:type="spellEnd"/>
      <w:r w:rsidRPr="009D7984">
        <w:rPr>
          <w:rFonts w:ascii="Arial" w:hAnsi="Arial" w:cs="Arial"/>
          <w:color w:val="000000"/>
        </w:rPr>
        <w:t>, S. (2007) ‘Super-diversity and its implications’,</w:t>
      </w:r>
      <w:r w:rsidRPr="009D7984">
        <w:rPr>
          <w:rStyle w:val="apple-converted-space"/>
          <w:rFonts w:ascii="Arial" w:hAnsi="Arial" w:cs="Arial"/>
          <w:color w:val="000000"/>
        </w:rPr>
        <w:t> </w:t>
      </w:r>
      <w:r w:rsidRPr="009D7984">
        <w:rPr>
          <w:rStyle w:val="Emphasis"/>
          <w:rFonts w:ascii="Arial" w:hAnsi="Arial" w:cs="Arial"/>
          <w:color w:val="000000"/>
        </w:rPr>
        <w:t>Ethnic and Racial Studies</w:t>
      </w:r>
      <w:r w:rsidRPr="009D7984">
        <w:rPr>
          <w:rFonts w:ascii="Arial" w:hAnsi="Arial" w:cs="Arial"/>
          <w:color w:val="000000"/>
        </w:rPr>
        <w:t xml:space="preserve">, 30(6), pp. 1024–1054. </w:t>
      </w:r>
      <w:proofErr w:type="spellStart"/>
      <w:r w:rsidRPr="009D7984">
        <w:rPr>
          <w:rFonts w:ascii="Arial" w:hAnsi="Arial" w:cs="Arial"/>
          <w:color w:val="000000"/>
        </w:rPr>
        <w:t>doi</w:t>
      </w:r>
      <w:proofErr w:type="spellEnd"/>
      <w:r w:rsidRPr="009D7984">
        <w:rPr>
          <w:rFonts w:ascii="Arial" w:hAnsi="Arial" w:cs="Arial"/>
          <w:color w:val="000000"/>
        </w:rPr>
        <w:t>: 10.1080/01419870701599465.</w:t>
      </w:r>
    </w:p>
    <w:p w:rsidR="00532A0B" w:rsidRPr="009D7984" w:rsidRDefault="00532A0B" w:rsidP="009D7984">
      <w:pPr>
        <w:pStyle w:val="NormalWeb"/>
        <w:spacing w:before="0" w:beforeAutospacing="0" w:after="0" w:afterAutospacing="0" w:line="360" w:lineRule="auto"/>
        <w:ind w:left="720" w:hanging="720"/>
        <w:jc w:val="both"/>
        <w:rPr>
          <w:rFonts w:ascii="Arial" w:hAnsi="Arial" w:cs="Arial"/>
          <w:color w:val="000000"/>
        </w:rPr>
      </w:pPr>
      <w:r w:rsidRPr="009D7984">
        <w:rPr>
          <w:rFonts w:ascii="Arial" w:hAnsi="Arial" w:cs="Arial"/>
          <w:color w:val="000000"/>
        </w:rPr>
        <w:t xml:space="preserve">Zhang, Q. (2021) 'Impacts of World </w:t>
      </w:r>
      <w:proofErr w:type="spellStart"/>
      <w:r w:rsidRPr="009D7984">
        <w:rPr>
          <w:rFonts w:ascii="Arial" w:hAnsi="Arial" w:cs="Arial"/>
          <w:color w:val="000000"/>
        </w:rPr>
        <w:t>Englishes</w:t>
      </w:r>
      <w:proofErr w:type="spellEnd"/>
      <w:r w:rsidRPr="009D7984">
        <w:rPr>
          <w:rFonts w:ascii="Arial" w:hAnsi="Arial" w:cs="Arial"/>
          <w:color w:val="000000"/>
        </w:rPr>
        <w:t xml:space="preserve"> on local standardized language proficiency testing in the Expanding Circle,'</w:t>
      </w:r>
      <w:r w:rsidRPr="009D7984">
        <w:rPr>
          <w:rStyle w:val="apple-converted-space"/>
          <w:rFonts w:ascii="Arial" w:hAnsi="Arial" w:cs="Arial"/>
          <w:color w:val="000000"/>
        </w:rPr>
        <w:t> </w:t>
      </w:r>
      <w:r w:rsidRPr="009D7984">
        <w:rPr>
          <w:rFonts w:ascii="Arial" w:hAnsi="Arial" w:cs="Arial"/>
          <w:i/>
          <w:iCs/>
          <w:color w:val="000000"/>
        </w:rPr>
        <w:t>English Today</w:t>
      </w:r>
      <w:r w:rsidRPr="009D7984">
        <w:rPr>
          <w:rFonts w:ascii="Arial" w:hAnsi="Arial" w:cs="Arial"/>
          <w:color w:val="000000"/>
        </w:rPr>
        <w:t>, 38(4), pp. 254–270.</w:t>
      </w:r>
      <w:r w:rsidRPr="009D7984">
        <w:rPr>
          <w:rStyle w:val="apple-converted-space"/>
          <w:rFonts w:ascii="Arial" w:hAnsi="Arial" w:cs="Arial"/>
          <w:color w:val="000000"/>
        </w:rPr>
        <w:t> </w:t>
      </w:r>
      <w:r w:rsidRPr="009D7984">
        <w:rPr>
          <w:rStyle w:val="url"/>
          <w:rFonts w:ascii="Arial" w:hAnsi="Arial" w:cs="Arial"/>
          <w:color w:val="000000"/>
        </w:rPr>
        <w:t>https://doi.org/10.1017/s0266078421000158</w:t>
      </w:r>
      <w:r w:rsidRPr="009D7984">
        <w:rPr>
          <w:rFonts w:ascii="Arial" w:hAnsi="Arial" w:cs="Arial"/>
          <w:color w:val="000000"/>
        </w:rPr>
        <w:t>.</w:t>
      </w:r>
    </w:p>
    <w:p w:rsidR="00532A0B" w:rsidRPr="009D7984" w:rsidRDefault="00532A0B" w:rsidP="009D7984">
      <w:pPr>
        <w:pStyle w:val="NormalWeb"/>
        <w:spacing w:line="360" w:lineRule="auto"/>
        <w:jc w:val="both"/>
        <w:rPr>
          <w:rFonts w:ascii="Arial" w:hAnsi="Arial" w:cs="Arial"/>
          <w:color w:val="000000"/>
        </w:rPr>
      </w:pPr>
      <w:r w:rsidRPr="009D7984">
        <w:rPr>
          <w:rFonts w:ascii="Arial" w:hAnsi="Arial" w:cs="Arial"/>
          <w:color w:val="000000"/>
        </w:rPr>
        <w:t xml:space="preserve">Zhang, Q. (2022) ‘Impacts of World </w:t>
      </w:r>
      <w:proofErr w:type="spellStart"/>
      <w:r w:rsidRPr="009D7984">
        <w:rPr>
          <w:rFonts w:ascii="Arial" w:hAnsi="Arial" w:cs="Arial"/>
          <w:color w:val="000000"/>
        </w:rPr>
        <w:t>Englishes</w:t>
      </w:r>
      <w:proofErr w:type="spellEnd"/>
      <w:r w:rsidRPr="009D7984">
        <w:rPr>
          <w:rFonts w:ascii="Arial" w:hAnsi="Arial" w:cs="Arial"/>
          <w:color w:val="000000"/>
        </w:rPr>
        <w:t xml:space="preserve"> on local standardized language proficiency testing in the Expanding Circle’,</w:t>
      </w:r>
      <w:r w:rsidRPr="009D7984">
        <w:rPr>
          <w:rStyle w:val="apple-converted-space"/>
          <w:rFonts w:ascii="Arial" w:hAnsi="Arial" w:cs="Arial"/>
          <w:color w:val="000000"/>
        </w:rPr>
        <w:t> </w:t>
      </w:r>
      <w:r w:rsidRPr="009D7984">
        <w:rPr>
          <w:rStyle w:val="Emphasis"/>
          <w:rFonts w:ascii="Arial" w:hAnsi="Arial" w:cs="Arial"/>
          <w:color w:val="000000"/>
        </w:rPr>
        <w:t>English Today</w:t>
      </w:r>
      <w:r w:rsidRPr="009D7984">
        <w:rPr>
          <w:rFonts w:ascii="Arial" w:hAnsi="Arial" w:cs="Arial"/>
          <w:color w:val="000000"/>
        </w:rPr>
        <w:t xml:space="preserve">, 38(4), pp. 254–270. </w:t>
      </w:r>
      <w:proofErr w:type="spellStart"/>
      <w:r w:rsidRPr="009D7984">
        <w:rPr>
          <w:rFonts w:ascii="Arial" w:hAnsi="Arial" w:cs="Arial"/>
          <w:color w:val="000000"/>
        </w:rPr>
        <w:t>doi</w:t>
      </w:r>
      <w:proofErr w:type="spellEnd"/>
      <w:r w:rsidRPr="009D7984">
        <w:rPr>
          <w:rFonts w:ascii="Arial" w:hAnsi="Arial" w:cs="Arial"/>
          <w:color w:val="000000"/>
        </w:rPr>
        <w:t>: 10.1017/S0266078421000158.</w:t>
      </w:r>
    </w:p>
    <w:p w:rsidR="00395435" w:rsidRPr="00C40764" w:rsidRDefault="00395435" w:rsidP="009D7984">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8A25CC" w:rsidRPr="009D7984" w:rsidRDefault="008A25CC" w:rsidP="009D7984">
      <w:pPr>
        <w:spacing w:line="360" w:lineRule="auto"/>
        <w:jc w:val="both"/>
        <w:rPr>
          <w:rFonts w:ascii="Arial" w:eastAsia="Times New Roman" w:hAnsi="Arial" w:cs="Arial"/>
          <w:kern w:val="0"/>
          <w:lang w:eastAsia="en-GB"/>
          <w14:ligatures w14:val="none"/>
        </w:rPr>
      </w:pPr>
    </w:p>
    <w:sectPr w:rsidR="008A25CC" w:rsidRPr="009D7984"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74C1"/>
    <w:multiLevelType w:val="multilevel"/>
    <w:tmpl w:val="B060D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02949"/>
    <w:multiLevelType w:val="multilevel"/>
    <w:tmpl w:val="33D00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D146C"/>
    <w:multiLevelType w:val="multilevel"/>
    <w:tmpl w:val="594AE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634FE"/>
    <w:multiLevelType w:val="multilevel"/>
    <w:tmpl w:val="3EE2B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2719E"/>
    <w:multiLevelType w:val="multilevel"/>
    <w:tmpl w:val="32EA9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7E0BFF"/>
    <w:multiLevelType w:val="multilevel"/>
    <w:tmpl w:val="BB345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857147"/>
    <w:multiLevelType w:val="multilevel"/>
    <w:tmpl w:val="05004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D338FC"/>
    <w:multiLevelType w:val="multilevel"/>
    <w:tmpl w:val="9CA61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CD6907"/>
    <w:multiLevelType w:val="multilevel"/>
    <w:tmpl w:val="23C22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210137"/>
    <w:multiLevelType w:val="multilevel"/>
    <w:tmpl w:val="884C4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7F72BD"/>
    <w:multiLevelType w:val="multilevel"/>
    <w:tmpl w:val="057A8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BC698D"/>
    <w:multiLevelType w:val="multilevel"/>
    <w:tmpl w:val="0E902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9B1A5C"/>
    <w:multiLevelType w:val="multilevel"/>
    <w:tmpl w:val="FF40B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A17E2E"/>
    <w:multiLevelType w:val="multilevel"/>
    <w:tmpl w:val="10C80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220D99"/>
    <w:multiLevelType w:val="multilevel"/>
    <w:tmpl w:val="BF1E5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3138654">
    <w:abstractNumId w:val="4"/>
  </w:num>
  <w:num w:numId="2" w16cid:durableId="1930891017">
    <w:abstractNumId w:val="1"/>
  </w:num>
  <w:num w:numId="3" w16cid:durableId="1863978538">
    <w:abstractNumId w:val="0"/>
  </w:num>
  <w:num w:numId="4" w16cid:durableId="91054245">
    <w:abstractNumId w:val="5"/>
  </w:num>
  <w:num w:numId="5" w16cid:durableId="694230005">
    <w:abstractNumId w:val="11"/>
  </w:num>
  <w:num w:numId="6" w16cid:durableId="117921140">
    <w:abstractNumId w:val="6"/>
  </w:num>
  <w:num w:numId="7" w16cid:durableId="887961572">
    <w:abstractNumId w:val="9"/>
  </w:num>
  <w:num w:numId="8" w16cid:durableId="567694827">
    <w:abstractNumId w:val="13"/>
  </w:num>
  <w:num w:numId="9" w16cid:durableId="1858613504">
    <w:abstractNumId w:val="8"/>
  </w:num>
  <w:num w:numId="10" w16cid:durableId="1884291955">
    <w:abstractNumId w:val="3"/>
  </w:num>
  <w:num w:numId="11" w16cid:durableId="1185053616">
    <w:abstractNumId w:val="2"/>
  </w:num>
  <w:num w:numId="12" w16cid:durableId="677121573">
    <w:abstractNumId w:val="10"/>
  </w:num>
  <w:num w:numId="13" w16cid:durableId="1231422413">
    <w:abstractNumId w:val="7"/>
  </w:num>
  <w:num w:numId="14" w16cid:durableId="951589490">
    <w:abstractNumId w:val="12"/>
  </w:num>
  <w:num w:numId="15" w16cid:durableId="4624252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764"/>
    <w:rsid w:val="00395435"/>
    <w:rsid w:val="003E6F91"/>
    <w:rsid w:val="00532A0B"/>
    <w:rsid w:val="0069355C"/>
    <w:rsid w:val="006C182B"/>
    <w:rsid w:val="00773862"/>
    <w:rsid w:val="00875A83"/>
    <w:rsid w:val="008A25CC"/>
    <w:rsid w:val="00932997"/>
    <w:rsid w:val="009578AD"/>
    <w:rsid w:val="009D7984"/>
    <w:rsid w:val="00A52FCA"/>
    <w:rsid w:val="00AF19CB"/>
    <w:rsid w:val="00B5524C"/>
    <w:rsid w:val="00B7271A"/>
    <w:rsid w:val="00C40764"/>
    <w:rsid w:val="00CD24A0"/>
    <w:rsid w:val="00DC094A"/>
    <w:rsid w:val="00E53A6E"/>
    <w:rsid w:val="00F261EF"/>
    <w:rsid w:val="00F54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D51B4"/>
  <w15:chartTrackingRefBased/>
  <w15:docId w15:val="{2FBA04C5-4E55-C94D-A1FA-FA7589AA0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40764"/>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C40764"/>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40764"/>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C40764"/>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C4076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40764"/>
  </w:style>
  <w:style w:type="character" w:styleId="Strong">
    <w:name w:val="Strong"/>
    <w:basedOn w:val="DefaultParagraphFont"/>
    <w:uiPriority w:val="22"/>
    <w:qFormat/>
    <w:rsid w:val="00C40764"/>
    <w:rPr>
      <w:b/>
      <w:bCs/>
    </w:rPr>
  </w:style>
  <w:style w:type="character" w:styleId="Hyperlink">
    <w:name w:val="Hyperlink"/>
    <w:basedOn w:val="DefaultParagraphFont"/>
    <w:uiPriority w:val="99"/>
    <w:semiHidden/>
    <w:unhideWhenUsed/>
    <w:rsid w:val="00C40764"/>
    <w:rPr>
      <w:color w:val="0000FF"/>
      <w:u w:val="single"/>
    </w:rPr>
  </w:style>
  <w:style w:type="character" w:styleId="Emphasis">
    <w:name w:val="Emphasis"/>
    <w:basedOn w:val="DefaultParagraphFont"/>
    <w:uiPriority w:val="20"/>
    <w:qFormat/>
    <w:rsid w:val="00C40764"/>
    <w:rPr>
      <w:i/>
      <w:iCs/>
    </w:rPr>
  </w:style>
  <w:style w:type="character" w:customStyle="1" w:styleId="url">
    <w:name w:val="url"/>
    <w:basedOn w:val="DefaultParagraphFont"/>
    <w:rsid w:val="00395435"/>
  </w:style>
  <w:style w:type="character" w:styleId="FollowedHyperlink">
    <w:name w:val="FollowedHyperlink"/>
    <w:basedOn w:val="DefaultParagraphFont"/>
    <w:uiPriority w:val="99"/>
    <w:semiHidden/>
    <w:unhideWhenUsed/>
    <w:rsid w:val="00532A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962586">
      <w:bodyDiv w:val="1"/>
      <w:marLeft w:val="0"/>
      <w:marRight w:val="0"/>
      <w:marTop w:val="0"/>
      <w:marBottom w:val="0"/>
      <w:divBdr>
        <w:top w:val="none" w:sz="0" w:space="0" w:color="auto"/>
        <w:left w:val="none" w:sz="0" w:space="0" w:color="auto"/>
        <w:bottom w:val="none" w:sz="0" w:space="0" w:color="auto"/>
        <w:right w:val="none" w:sz="0" w:space="0" w:color="auto"/>
      </w:divBdr>
    </w:div>
    <w:div w:id="645088072">
      <w:bodyDiv w:val="1"/>
      <w:marLeft w:val="0"/>
      <w:marRight w:val="0"/>
      <w:marTop w:val="0"/>
      <w:marBottom w:val="0"/>
      <w:divBdr>
        <w:top w:val="none" w:sz="0" w:space="0" w:color="auto"/>
        <w:left w:val="none" w:sz="0" w:space="0" w:color="auto"/>
        <w:bottom w:val="none" w:sz="0" w:space="0" w:color="auto"/>
        <w:right w:val="none" w:sz="0" w:space="0" w:color="auto"/>
      </w:divBdr>
    </w:div>
    <w:div w:id="1264461643">
      <w:bodyDiv w:val="1"/>
      <w:marLeft w:val="0"/>
      <w:marRight w:val="0"/>
      <w:marTop w:val="0"/>
      <w:marBottom w:val="0"/>
      <w:divBdr>
        <w:top w:val="none" w:sz="0" w:space="0" w:color="auto"/>
        <w:left w:val="none" w:sz="0" w:space="0" w:color="auto"/>
        <w:bottom w:val="none" w:sz="0" w:space="0" w:color="auto"/>
        <w:right w:val="none" w:sz="0" w:space="0" w:color="auto"/>
      </w:divBdr>
    </w:div>
    <w:div w:id="1401714291">
      <w:bodyDiv w:val="1"/>
      <w:marLeft w:val="0"/>
      <w:marRight w:val="0"/>
      <w:marTop w:val="0"/>
      <w:marBottom w:val="0"/>
      <w:divBdr>
        <w:top w:val="none" w:sz="0" w:space="0" w:color="auto"/>
        <w:left w:val="none" w:sz="0" w:space="0" w:color="auto"/>
        <w:bottom w:val="none" w:sz="0" w:space="0" w:color="auto"/>
        <w:right w:val="none" w:sz="0" w:space="0" w:color="auto"/>
      </w:divBdr>
      <w:divsChild>
        <w:div w:id="1167986885">
          <w:marLeft w:val="-720"/>
          <w:marRight w:val="0"/>
          <w:marTop w:val="0"/>
          <w:marBottom w:val="0"/>
          <w:divBdr>
            <w:top w:val="none" w:sz="0" w:space="0" w:color="auto"/>
            <w:left w:val="none" w:sz="0" w:space="0" w:color="auto"/>
            <w:bottom w:val="none" w:sz="0" w:space="0" w:color="auto"/>
            <w:right w:val="none" w:sz="0" w:space="0" w:color="auto"/>
          </w:divBdr>
        </w:div>
      </w:divsChild>
    </w:div>
    <w:div w:id="1831553287">
      <w:bodyDiv w:val="1"/>
      <w:marLeft w:val="0"/>
      <w:marRight w:val="0"/>
      <w:marTop w:val="0"/>
      <w:marBottom w:val="0"/>
      <w:divBdr>
        <w:top w:val="none" w:sz="0" w:space="0" w:color="auto"/>
        <w:left w:val="none" w:sz="0" w:space="0" w:color="auto"/>
        <w:bottom w:val="none" w:sz="0" w:space="0" w:color="auto"/>
        <w:right w:val="none" w:sz="0" w:space="0" w:color="auto"/>
      </w:divBdr>
    </w:div>
    <w:div w:id="201198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newdiversities.mmg.mpg.de/fileadmin/user_upload/2011_13-02_art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12</Pages>
  <Words>3199</Words>
  <Characters>18237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dcterms:created xsi:type="dcterms:W3CDTF">2025-12-03T19:21:00Z</dcterms:created>
  <dcterms:modified xsi:type="dcterms:W3CDTF">2025-12-04T21:34:00Z</dcterms:modified>
</cp:coreProperties>
</file>