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32DB7A" w14:textId="619595B3" w:rsid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color w:val="333333"/>
          <w:sz w:val="24"/>
          <w:szCs w:val="24"/>
          <w:lang w:val="en-US"/>
        </w:rPr>
      </w:pPr>
    </w:p>
    <w:p w14:paraId="429CD97B" w14:textId="16501B47" w:rsidR="00A11DF2" w:rsidRDefault="00A11DF2" w:rsidP="00BD101B">
      <w:pPr>
        <w:spacing w:before="100" w:beforeAutospacing="1" w:after="100" w:afterAutospacing="1" w:line="480" w:lineRule="auto"/>
        <w:jc w:val="both"/>
        <w:textAlignment w:val="baseline"/>
        <w:rPr>
          <w:rFonts w:ascii="Times New Roman" w:eastAsia="Times New Roman" w:hAnsi="Times New Roman" w:cs="Times New Roman"/>
          <w:color w:val="333333"/>
          <w:sz w:val="24"/>
          <w:szCs w:val="24"/>
          <w:lang w:val="en-US"/>
        </w:rPr>
      </w:pPr>
    </w:p>
    <w:p w14:paraId="1A33333C" w14:textId="77777777" w:rsidR="00A11DF2" w:rsidRDefault="00A11DF2" w:rsidP="00BD101B">
      <w:pPr>
        <w:spacing w:before="100" w:beforeAutospacing="1" w:after="100" w:afterAutospacing="1" w:line="480" w:lineRule="auto"/>
        <w:jc w:val="both"/>
        <w:textAlignment w:val="baseline"/>
        <w:rPr>
          <w:rFonts w:ascii="Times New Roman" w:eastAsia="Times New Roman" w:hAnsi="Times New Roman" w:cs="Times New Roman"/>
          <w:color w:val="333333"/>
          <w:sz w:val="24"/>
          <w:szCs w:val="24"/>
          <w:lang w:val="en-US"/>
        </w:rPr>
      </w:pPr>
    </w:p>
    <w:p w14:paraId="33077B9A" w14:textId="3CA5B29C" w:rsidR="00BD101B" w:rsidRDefault="001F01CC" w:rsidP="001F01CC">
      <w:pPr>
        <w:spacing w:before="100" w:beforeAutospacing="1" w:after="100" w:afterAutospacing="1" w:line="480" w:lineRule="auto"/>
        <w:textAlignment w:val="baseline"/>
        <w:rPr>
          <w:rFonts w:ascii="Times New Roman" w:eastAsia="Times New Roman" w:hAnsi="Times New Roman" w:cs="Times New Roman"/>
          <w:color w:val="333333"/>
          <w:sz w:val="24"/>
          <w:szCs w:val="24"/>
          <w:lang w:val="en-US"/>
        </w:rPr>
      </w:pPr>
      <w:r>
        <w:rPr>
          <w:rFonts w:ascii="Times New Roman" w:eastAsia="Times New Roman" w:hAnsi="Times New Roman" w:cs="Times New Roman"/>
          <w:color w:val="333333"/>
          <w:sz w:val="24"/>
          <w:szCs w:val="24"/>
          <w:lang w:val="en-US"/>
        </w:rPr>
        <w:t xml:space="preserve">                                                               Nagina Bibi</w:t>
      </w:r>
    </w:p>
    <w:p w14:paraId="6FD75532" w14:textId="0C9F6155" w:rsidR="00BD101B" w:rsidRDefault="001F01CC" w:rsidP="00BD101B">
      <w:pPr>
        <w:spacing w:before="100" w:beforeAutospacing="1" w:after="100" w:afterAutospacing="1" w:line="480" w:lineRule="auto"/>
        <w:jc w:val="center"/>
        <w:textAlignment w:val="baseline"/>
        <w:rPr>
          <w:rFonts w:ascii="Times New Roman" w:eastAsia="Times New Roman" w:hAnsi="Times New Roman" w:cs="Times New Roman"/>
          <w:color w:val="333333"/>
          <w:sz w:val="24"/>
          <w:szCs w:val="24"/>
          <w:lang w:val="en-US"/>
        </w:rPr>
      </w:pPr>
      <w:r>
        <w:rPr>
          <w:rFonts w:ascii="Times New Roman" w:eastAsia="Times New Roman" w:hAnsi="Times New Roman" w:cs="Times New Roman"/>
          <w:color w:val="333333"/>
          <w:sz w:val="24"/>
          <w:szCs w:val="24"/>
          <w:lang w:val="en-US"/>
        </w:rPr>
        <w:t>UWTSD 1806584</w:t>
      </w:r>
    </w:p>
    <w:p w14:paraId="5965B2C0" w14:textId="725694D7" w:rsidR="001F01CC" w:rsidRDefault="001F01CC" w:rsidP="00BD101B">
      <w:pPr>
        <w:spacing w:before="100" w:beforeAutospacing="1" w:after="100" w:afterAutospacing="1" w:line="480" w:lineRule="auto"/>
        <w:jc w:val="center"/>
        <w:textAlignment w:val="baseline"/>
        <w:rPr>
          <w:rFonts w:ascii="Times New Roman" w:eastAsia="Times New Roman" w:hAnsi="Times New Roman" w:cs="Times New Roman"/>
          <w:color w:val="333333"/>
          <w:sz w:val="24"/>
          <w:szCs w:val="24"/>
          <w:lang w:val="en-US"/>
        </w:rPr>
      </w:pPr>
      <w:r>
        <w:rPr>
          <w:rFonts w:ascii="Times New Roman" w:eastAsia="Times New Roman" w:hAnsi="Times New Roman" w:cs="Times New Roman"/>
          <w:color w:val="333333"/>
          <w:sz w:val="24"/>
          <w:szCs w:val="24"/>
          <w:lang w:val="en-US"/>
        </w:rPr>
        <w:t xml:space="preserve">Reforms-OAPA </w:t>
      </w:r>
    </w:p>
    <w:p w14:paraId="187F463B" w14:textId="77777777" w:rsidR="001F01CC" w:rsidRDefault="001F01CC" w:rsidP="00BD101B">
      <w:pPr>
        <w:spacing w:before="100" w:beforeAutospacing="1" w:after="100" w:afterAutospacing="1" w:line="480" w:lineRule="auto"/>
        <w:jc w:val="both"/>
        <w:textAlignment w:val="baseline"/>
        <w:rPr>
          <w:rFonts w:ascii="Times New Roman" w:eastAsia="Times New Roman" w:hAnsi="Times New Roman" w:cs="Times New Roman"/>
          <w:color w:val="333333"/>
          <w:sz w:val="24"/>
          <w:szCs w:val="24"/>
          <w:lang w:val="en-US"/>
        </w:rPr>
      </w:pPr>
    </w:p>
    <w:p w14:paraId="1AABBD2B" w14:textId="2380D5AB"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The Offences Against the Person Act</w:t>
      </w:r>
      <w:r w:rsidR="00A64076">
        <w:rPr>
          <w:rFonts w:ascii="Times New Roman" w:eastAsia="Times New Roman" w:hAnsi="Times New Roman" w:cs="Times New Roman"/>
          <w:color w:val="333333"/>
          <w:sz w:val="24"/>
          <w:szCs w:val="24"/>
          <w:lang w:val="en-US"/>
        </w:rPr>
        <w:t xml:space="preserve"> (OAPA)</w:t>
      </w:r>
      <w:r w:rsidRPr="00BD101B">
        <w:rPr>
          <w:rFonts w:ascii="Times New Roman" w:eastAsia="Times New Roman" w:hAnsi="Times New Roman" w:cs="Times New Roman"/>
          <w:color w:val="333333"/>
          <w:sz w:val="24"/>
          <w:szCs w:val="24"/>
          <w:lang w:val="en-US"/>
        </w:rPr>
        <w:t xml:space="preserve"> 1861 is legislation that was enacted more than 150 years </w:t>
      </w:r>
      <w:r w:rsidR="00A64076">
        <w:rPr>
          <w:rFonts w:ascii="Times New Roman" w:eastAsia="Times New Roman" w:hAnsi="Times New Roman" w:cs="Times New Roman"/>
          <w:color w:val="333333"/>
          <w:sz w:val="24"/>
          <w:szCs w:val="24"/>
          <w:lang w:val="en-US"/>
        </w:rPr>
        <w:t xml:space="preserve">ago. </w:t>
      </w:r>
      <w:r w:rsidRPr="00BD101B">
        <w:rPr>
          <w:rFonts w:ascii="Times New Roman" w:eastAsia="Times New Roman" w:hAnsi="Times New Roman" w:cs="Times New Roman"/>
          <w:color w:val="333333"/>
          <w:sz w:val="24"/>
          <w:szCs w:val="24"/>
          <w:lang w:val="en-US"/>
        </w:rPr>
        <w:t xml:space="preserve"> </w:t>
      </w:r>
      <w:r w:rsidR="00A64076">
        <w:rPr>
          <w:rFonts w:ascii="Times New Roman" w:eastAsia="Times New Roman" w:hAnsi="Times New Roman" w:cs="Times New Roman"/>
          <w:color w:val="333333"/>
          <w:sz w:val="24"/>
          <w:szCs w:val="24"/>
          <w:lang w:val="en-US"/>
        </w:rPr>
        <w:t>So</w:t>
      </w:r>
      <w:r w:rsidRPr="00BD101B">
        <w:rPr>
          <w:rFonts w:ascii="Times New Roman" w:eastAsia="Times New Roman" w:hAnsi="Times New Roman" w:cs="Times New Roman"/>
          <w:color w:val="333333"/>
          <w:sz w:val="24"/>
          <w:szCs w:val="24"/>
          <w:lang w:val="en-US"/>
        </w:rPr>
        <w:t>ciety has evolved since</w:t>
      </w:r>
      <w:r w:rsidR="00A64076">
        <w:rPr>
          <w:rFonts w:ascii="Times New Roman" w:eastAsia="Times New Roman" w:hAnsi="Times New Roman" w:cs="Times New Roman"/>
          <w:color w:val="333333"/>
          <w:sz w:val="24"/>
          <w:szCs w:val="24"/>
          <w:lang w:val="en-US"/>
        </w:rPr>
        <w:t xml:space="preserve"> the </w:t>
      </w:r>
      <w:r w:rsidRPr="00BD101B">
        <w:rPr>
          <w:rFonts w:ascii="Times New Roman" w:eastAsia="Times New Roman" w:hAnsi="Times New Roman" w:cs="Times New Roman"/>
          <w:color w:val="333333"/>
          <w:sz w:val="24"/>
          <w:szCs w:val="24"/>
          <w:lang w:val="en-US"/>
        </w:rPr>
        <w:t>Victorian era. The OAPA seeks to prevent the infringement of an individual’s bodily integrity (Rosen, 1999). The non-fatal offences include battery, assault, wounding and inflicting grievous bodily harm, assaulting causing actual bodily harm and wounding or causing grievous bodily harm with intent.</w:t>
      </w:r>
      <w:r w:rsidR="00A64076">
        <w:rPr>
          <w:rFonts w:ascii="Times New Roman" w:eastAsia="Times New Roman" w:hAnsi="Times New Roman" w:cs="Times New Roman"/>
          <w:color w:val="333333"/>
          <w:sz w:val="24"/>
          <w:szCs w:val="24"/>
          <w:lang w:val="en-US"/>
        </w:rPr>
        <w:t xml:space="preserve"> </w:t>
      </w:r>
      <w:proofErr w:type="gramStart"/>
      <w:r w:rsidR="00A64076">
        <w:rPr>
          <w:rFonts w:ascii="Times New Roman" w:eastAsia="Times New Roman" w:hAnsi="Times New Roman" w:cs="Times New Roman"/>
          <w:color w:val="333333"/>
          <w:sz w:val="24"/>
          <w:szCs w:val="24"/>
          <w:lang w:val="en-US"/>
        </w:rPr>
        <w:t>The</w:t>
      </w:r>
      <w:r w:rsidRPr="00BD101B">
        <w:rPr>
          <w:rFonts w:ascii="Times New Roman" w:eastAsia="Times New Roman" w:hAnsi="Times New Roman" w:cs="Times New Roman"/>
          <w:color w:val="333333"/>
          <w:sz w:val="24"/>
          <w:szCs w:val="24"/>
          <w:lang w:val="en-US"/>
        </w:rPr>
        <w:t xml:space="preserve"> </w:t>
      </w:r>
      <w:r w:rsidR="00A64076">
        <w:rPr>
          <w:rFonts w:ascii="Times New Roman" w:eastAsia="Times New Roman" w:hAnsi="Times New Roman" w:cs="Times New Roman"/>
          <w:color w:val="333333"/>
          <w:sz w:val="24"/>
          <w:szCs w:val="24"/>
          <w:lang w:val="en-US"/>
        </w:rPr>
        <w:t>m</w:t>
      </w:r>
      <w:r w:rsidRPr="00BD101B">
        <w:rPr>
          <w:rFonts w:ascii="Times New Roman" w:eastAsia="Times New Roman" w:hAnsi="Times New Roman" w:cs="Times New Roman"/>
          <w:color w:val="333333"/>
          <w:sz w:val="24"/>
          <w:szCs w:val="24"/>
          <w:lang w:val="en-US"/>
        </w:rPr>
        <w:t>ajority of</w:t>
      </w:r>
      <w:proofErr w:type="gramEnd"/>
      <w:r w:rsidRPr="00BD101B">
        <w:rPr>
          <w:rFonts w:ascii="Times New Roman" w:eastAsia="Times New Roman" w:hAnsi="Times New Roman" w:cs="Times New Roman"/>
          <w:color w:val="333333"/>
          <w:sz w:val="24"/>
          <w:szCs w:val="24"/>
          <w:lang w:val="en-US"/>
        </w:rPr>
        <w:t xml:space="preserve"> these offences are restricted by time. Judicial interpretation has enabled challenging of this legislation that is outdated. Due to the increasing number of litigations on these offences, there is need for reforms (Jefferson, 2012). There are economic arguments that validate the need for reforms. Having more clarity on the elements of the offences and making them succinct is likely to reduce the costs within the Crown Court to the low</w:t>
      </w:r>
      <w:r w:rsidR="00A64076">
        <w:rPr>
          <w:rFonts w:ascii="Times New Roman" w:eastAsia="Times New Roman" w:hAnsi="Times New Roman" w:cs="Times New Roman"/>
          <w:color w:val="333333"/>
          <w:sz w:val="24"/>
          <w:szCs w:val="24"/>
          <w:lang w:val="en-US"/>
        </w:rPr>
        <w:t>er costs</w:t>
      </w:r>
      <w:r w:rsidRPr="00BD101B">
        <w:rPr>
          <w:rFonts w:ascii="Times New Roman" w:eastAsia="Times New Roman" w:hAnsi="Times New Roman" w:cs="Times New Roman"/>
          <w:color w:val="333333"/>
          <w:sz w:val="24"/>
          <w:szCs w:val="24"/>
          <w:lang w:val="en-US"/>
        </w:rPr>
        <w:t xml:space="preserve"> of the Magistrate’s Court. The reforms will lead to an increase in the efficiency of time and cost. This essay will highlight the critics of the OAPA and the proposed reforms that will make the Act </w:t>
      </w:r>
      <w:r w:rsidR="00A64076">
        <w:rPr>
          <w:rFonts w:ascii="Times New Roman" w:eastAsia="Times New Roman" w:hAnsi="Times New Roman" w:cs="Times New Roman"/>
          <w:color w:val="333333"/>
          <w:sz w:val="24"/>
          <w:szCs w:val="24"/>
          <w:lang w:val="en-US"/>
        </w:rPr>
        <w:t>r</w:t>
      </w:r>
      <w:r w:rsidRPr="00BD101B">
        <w:rPr>
          <w:rFonts w:ascii="Times New Roman" w:eastAsia="Times New Roman" w:hAnsi="Times New Roman" w:cs="Times New Roman"/>
          <w:color w:val="333333"/>
          <w:sz w:val="24"/>
          <w:szCs w:val="24"/>
          <w:lang w:val="en-US"/>
        </w:rPr>
        <w:t>esponsive to current dynamics in society. </w:t>
      </w:r>
    </w:p>
    <w:p w14:paraId="4984D36B" w14:textId="3D0B72AA"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lastRenderedPageBreak/>
        <w:t>Critics argue that the language of the Act is archaic</w:t>
      </w:r>
      <w:r w:rsidR="00A64076">
        <w:rPr>
          <w:rFonts w:ascii="Times New Roman" w:eastAsia="Times New Roman" w:hAnsi="Times New Roman" w:cs="Times New Roman"/>
          <w:color w:val="333333"/>
          <w:sz w:val="24"/>
          <w:szCs w:val="24"/>
          <w:lang w:val="en-US"/>
        </w:rPr>
        <w:t>,</w:t>
      </w:r>
      <w:r w:rsidRPr="00BD101B">
        <w:rPr>
          <w:rFonts w:ascii="Times New Roman" w:eastAsia="Times New Roman" w:hAnsi="Times New Roman" w:cs="Times New Roman"/>
          <w:color w:val="333333"/>
          <w:sz w:val="24"/>
          <w:szCs w:val="24"/>
          <w:lang w:val="en-US"/>
        </w:rPr>
        <w:t xml:space="preserve"> hence has caused a lot of procedural complexity during judicial proceedings on non-fatal offences (Reed, 1995). The OAPA 1861 does not have definitions of vital phrases and keywords that </w:t>
      </w:r>
      <w:r w:rsidR="00A64076">
        <w:rPr>
          <w:rFonts w:ascii="Times New Roman" w:eastAsia="Times New Roman" w:hAnsi="Times New Roman" w:cs="Times New Roman"/>
          <w:color w:val="333333"/>
          <w:sz w:val="24"/>
          <w:szCs w:val="24"/>
          <w:lang w:val="en-US"/>
        </w:rPr>
        <w:t>are d</w:t>
      </w:r>
      <w:r w:rsidRPr="00BD101B">
        <w:rPr>
          <w:rFonts w:ascii="Times New Roman" w:eastAsia="Times New Roman" w:hAnsi="Times New Roman" w:cs="Times New Roman"/>
          <w:color w:val="333333"/>
          <w:sz w:val="24"/>
          <w:szCs w:val="24"/>
          <w:lang w:val="en-US"/>
        </w:rPr>
        <w:t xml:space="preserve">eveloped through judicial decisions which </w:t>
      </w:r>
      <w:r w:rsidR="00A64076">
        <w:rPr>
          <w:rFonts w:ascii="Times New Roman" w:eastAsia="Times New Roman" w:hAnsi="Times New Roman" w:cs="Times New Roman"/>
          <w:color w:val="333333"/>
          <w:sz w:val="24"/>
          <w:szCs w:val="24"/>
          <w:lang w:val="en-US"/>
        </w:rPr>
        <w:t xml:space="preserve">are </w:t>
      </w:r>
      <w:r w:rsidRPr="00BD101B">
        <w:rPr>
          <w:rFonts w:ascii="Times New Roman" w:eastAsia="Times New Roman" w:hAnsi="Times New Roman" w:cs="Times New Roman"/>
          <w:color w:val="333333"/>
          <w:sz w:val="24"/>
          <w:szCs w:val="24"/>
          <w:lang w:val="en-US"/>
        </w:rPr>
        <w:t xml:space="preserve">not finite. There are various arguments about the meaning of the key terms, and they are constantly being redefined during appeals. This creates uncertainty in the decision making of matters pertaining to non-fatal offences. For example, the word “maliciously” is used in section 18 and section 20 but lacks a clear definition in the OAPA 1861. In the case of </w:t>
      </w:r>
      <w:r w:rsidRPr="00BD101B">
        <w:rPr>
          <w:rFonts w:ascii="Times New Roman" w:eastAsia="Times New Roman" w:hAnsi="Times New Roman" w:cs="Times New Roman"/>
          <w:i/>
          <w:iCs/>
          <w:color w:val="333333"/>
          <w:sz w:val="24"/>
          <w:szCs w:val="24"/>
          <w:lang w:val="en-US"/>
        </w:rPr>
        <w:t xml:space="preserve">R v Cunningham </w:t>
      </w:r>
      <w:r w:rsidRPr="00BD101B">
        <w:rPr>
          <w:rFonts w:ascii="Times New Roman" w:eastAsia="Times New Roman" w:hAnsi="Times New Roman" w:cs="Times New Roman"/>
          <w:i/>
          <w:iCs/>
          <w:color w:val="4D5156"/>
          <w:sz w:val="24"/>
          <w:szCs w:val="24"/>
          <w:lang w:val="en-US"/>
        </w:rPr>
        <w:t>[</w:t>
      </w:r>
      <w:r w:rsidRPr="00BD101B">
        <w:rPr>
          <w:rFonts w:ascii="Times New Roman" w:eastAsia="Times New Roman" w:hAnsi="Times New Roman" w:cs="Times New Roman"/>
          <w:color w:val="5F6368"/>
          <w:sz w:val="24"/>
          <w:szCs w:val="24"/>
          <w:lang w:val="en-US"/>
        </w:rPr>
        <w:t>1957</w:t>
      </w:r>
      <w:r w:rsidRPr="00BD101B">
        <w:rPr>
          <w:rFonts w:ascii="Times New Roman" w:eastAsia="Times New Roman" w:hAnsi="Times New Roman" w:cs="Times New Roman"/>
          <w:i/>
          <w:iCs/>
          <w:color w:val="4D5156"/>
          <w:sz w:val="24"/>
          <w:szCs w:val="24"/>
          <w:lang w:val="en-US"/>
        </w:rPr>
        <w:t>] 2 QB 396</w:t>
      </w:r>
      <w:r w:rsidRPr="00BD101B">
        <w:rPr>
          <w:rFonts w:ascii="Times New Roman" w:eastAsia="Times New Roman" w:hAnsi="Times New Roman" w:cs="Times New Roman"/>
          <w:color w:val="333333"/>
          <w:sz w:val="24"/>
          <w:szCs w:val="24"/>
          <w:lang w:val="en-US"/>
        </w:rPr>
        <w:t xml:space="preserve">, the word “maliciously” is construed to mean recklessly which </w:t>
      </w:r>
      <w:proofErr w:type="gramStart"/>
      <w:r w:rsidRPr="00BD101B">
        <w:rPr>
          <w:rFonts w:ascii="Times New Roman" w:eastAsia="Times New Roman" w:hAnsi="Times New Roman" w:cs="Times New Roman"/>
          <w:color w:val="333333"/>
          <w:sz w:val="24"/>
          <w:szCs w:val="24"/>
          <w:lang w:val="en-US"/>
        </w:rPr>
        <w:t>is considered to be</w:t>
      </w:r>
      <w:proofErr w:type="gramEnd"/>
      <w:r w:rsidRPr="00BD101B">
        <w:rPr>
          <w:rFonts w:ascii="Times New Roman" w:eastAsia="Times New Roman" w:hAnsi="Times New Roman" w:cs="Times New Roman"/>
          <w:color w:val="333333"/>
          <w:sz w:val="24"/>
          <w:szCs w:val="24"/>
          <w:lang w:val="en-US"/>
        </w:rPr>
        <w:t xml:space="preserve"> an extension of its ordinary meaning in the modern era. Under section 20, “maliciously” is used to deduce </w:t>
      </w:r>
      <w:proofErr w:type="spellStart"/>
      <w:r w:rsidRPr="00BD101B">
        <w:rPr>
          <w:rFonts w:ascii="Times New Roman" w:eastAsia="Times New Roman" w:hAnsi="Times New Roman" w:cs="Times New Roman"/>
          <w:color w:val="333333"/>
          <w:sz w:val="24"/>
          <w:szCs w:val="24"/>
          <w:lang w:val="en-US"/>
        </w:rPr>
        <w:t>mens</w:t>
      </w:r>
      <w:proofErr w:type="spellEnd"/>
      <w:r w:rsidRPr="00BD101B">
        <w:rPr>
          <w:rFonts w:ascii="Times New Roman" w:eastAsia="Times New Roman" w:hAnsi="Times New Roman" w:cs="Times New Roman"/>
          <w:color w:val="333333"/>
          <w:sz w:val="24"/>
          <w:szCs w:val="24"/>
          <w:lang w:val="en-US"/>
        </w:rPr>
        <w:t xml:space="preserve"> rea while under section 18 the word “maliciously” is deemed to be unnecessary because </w:t>
      </w:r>
      <w:proofErr w:type="spellStart"/>
      <w:r w:rsidRPr="00BD101B">
        <w:rPr>
          <w:rFonts w:ascii="Times New Roman" w:eastAsia="Times New Roman" w:hAnsi="Times New Roman" w:cs="Times New Roman"/>
          <w:color w:val="333333"/>
          <w:sz w:val="24"/>
          <w:szCs w:val="24"/>
          <w:lang w:val="en-US"/>
        </w:rPr>
        <w:t>mens</w:t>
      </w:r>
      <w:proofErr w:type="spellEnd"/>
      <w:r w:rsidRPr="00BD101B">
        <w:rPr>
          <w:rFonts w:ascii="Times New Roman" w:eastAsia="Times New Roman" w:hAnsi="Times New Roman" w:cs="Times New Roman"/>
          <w:color w:val="333333"/>
          <w:sz w:val="24"/>
          <w:szCs w:val="24"/>
          <w:lang w:val="en-US"/>
        </w:rPr>
        <w:t xml:space="preserve"> rea definition refers to the intention of the defendant. The Act does not have a clear definition of </w:t>
      </w:r>
      <w:r w:rsidR="00A64076">
        <w:rPr>
          <w:rFonts w:ascii="Times New Roman" w:eastAsia="Times New Roman" w:hAnsi="Times New Roman" w:cs="Times New Roman"/>
          <w:color w:val="333333"/>
          <w:sz w:val="24"/>
          <w:szCs w:val="24"/>
          <w:lang w:val="en-US"/>
        </w:rPr>
        <w:t>a</w:t>
      </w:r>
      <w:r w:rsidRPr="00BD101B">
        <w:rPr>
          <w:rFonts w:ascii="Times New Roman" w:eastAsia="Times New Roman" w:hAnsi="Times New Roman" w:cs="Times New Roman"/>
          <w:color w:val="333333"/>
          <w:sz w:val="24"/>
          <w:szCs w:val="24"/>
          <w:lang w:val="en-US"/>
        </w:rPr>
        <w:t xml:space="preserve">ssault and battery. There is a lot of confusion around the specific meaning of assault together with the usage of the term common assault that refers to battery and assault. Assault is used in diverse ways in various statutes. The meaning of the word “assault” is often perceived </w:t>
      </w:r>
      <w:r w:rsidR="00A64076">
        <w:rPr>
          <w:rFonts w:ascii="Times New Roman" w:eastAsia="Times New Roman" w:hAnsi="Times New Roman" w:cs="Times New Roman"/>
          <w:color w:val="333333"/>
          <w:sz w:val="24"/>
          <w:szCs w:val="24"/>
          <w:lang w:val="en-US"/>
        </w:rPr>
        <w:t xml:space="preserve">as a </w:t>
      </w:r>
      <w:r w:rsidRPr="00BD101B">
        <w:rPr>
          <w:rFonts w:ascii="Times New Roman" w:eastAsia="Times New Roman" w:hAnsi="Times New Roman" w:cs="Times New Roman"/>
          <w:color w:val="333333"/>
          <w:sz w:val="24"/>
          <w:szCs w:val="24"/>
          <w:lang w:val="en-US"/>
        </w:rPr>
        <w:t>physical attack, however, in legal terms there is no requirement of physical contact. </w:t>
      </w:r>
    </w:p>
    <w:p w14:paraId="07AF7D93" w14:textId="06E534BC"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 xml:space="preserve">Also, there </w:t>
      </w:r>
      <w:r w:rsidR="00A64076">
        <w:rPr>
          <w:rFonts w:ascii="Times New Roman" w:eastAsia="Times New Roman" w:hAnsi="Times New Roman" w:cs="Times New Roman"/>
          <w:color w:val="333333"/>
          <w:sz w:val="24"/>
          <w:szCs w:val="24"/>
          <w:lang w:val="en-US"/>
        </w:rPr>
        <w:t xml:space="preserve">are </w:t>
      </w:r>
      <w:r w:rsidRPr="00BD101B">
        <w:rPr>
          <w:rFonts w:ascii="Times New Roman" w:eastAsia="Times New Roman" w:hAnsi="Times New Roman" w:cs="Times New Roman"/>
          <w:color w:val="333333"/>
          <w:sz w:val="24"/>
          <w:szCs w:val="24"/>
          <w:lang w:val="en-US"/>
        </w:rPr>
        <w:t>a lot of discrepancies o</w:t>
      </w:r>
      <w:r w:rsidR="00A64076">
        <w:rPr>
          <w:rFonts w:ascii="Times New Roman" w:eastAsia="Times New Roman" w:hAnsi="Times New Roman" w:cs="Times New Roman"/>
          <w:color w:val="333333"/>
          <w:sz w:val="24"/>
          <w:szCs w:val="24"/>
          <w:lang w:val="en-US"/>
        </w:rPr>
        <w:t xml:space="preserve">f </w:t>
      </w:r>
      <w:r w:rsidRPr="00BD101B">
        <w:rPr>
          <w:rFonts w:ascii="Times New Roman" w:eastAsia="Times New Roman" w:hAnsi="Times New Roman" w:cs="Times New Roman"/>
          <w:color w:val="333333"/>
          <w:sz w:val="24"/>
          <w:szCs w:val="24"/>
          <w:lang w:val="en-US"/>
        </w:rPr>
        <w:t>the use of “cause” and “inflict.” Section 20 of the Act defines the offence through using the phrase inflicting grievous bodily harm as opposed to section 18 defines the offence is causing grievous bodily harm. Originally, it was construed that inflict has a narrower meaning than cause and required a battery or an assault. However, currently</w:t>
      </w:r>
      <w:r w:rsidR="008A44FC">
        <w:rPr>
          <w:rFonts w:ascii="Times New Roman" w:eastAsia="Times New Roman" w:hAnsi="Times New Roman" w:cs="Times New Roman"/>
          <w:color w:val="333333"/>
          <w:sz w:val="24"/>
          <w:szCs w:val="24"/>
          <w:lang w:val="en-US"/>
        </w:rPr>
        <w:t>,</w:t>
      </w:r>
      <w:r w:rsidRPr="00BD101B">
        <w:rPr>
          <w:rFonts w:ascii="Times New Roman" w:eastAsia="Times New Roman" w:hAnsi="Times New Roman" w:cs="Times New Roman"/>
          <w:color w:val="333333"/>
          <w:sz w:val="24"/>
          <w:szCs w:val="24"/>
          <w:lang w:val="en-US"/>
        </w:rPr>
        <w:t xml:space="preserve"> they are viewed to have a similar meaning and do not require battery or assault. The word “inflict” has caused a lot of problems in courts. It was initially interpreted as requiring proving of battery or assault. In the case of </w:t>
      </w:r>
      <w:r w:rsidRPr="00BD101B">
        <w:rPr>
          <w:rFonts w:ascii="Times New Roman" w:eastAsia="Times New Roman" w:hAnsi="Times New Roman" w:cs="Times New Roman"/>
          <w:i/>
          <w:iCs/>
          <w:color w:val="333333"/>
          <w:sz w:val="24"/>
          <w:szCs w:val="24"/>
          <w:lang w:val="en-US"/>
        </w:rPr>
        <w:t>R v Wilson (1996) 2 Cr App Rep 241</w:t>
      </w:r>
      <w:r w:rsidRPr="00BD101B">
        <w:rPr>
          <w:rFonts w:ascii="Times New Roman" w:eastAsia="Times New Roman" w:hAnsi="Times New Roman" w:cs="Times New Roman"/>
          <w:color w:val="333333"/>
          <w:sz w:val="24"/>
          <w:szCs w:val="24"/>
          <w:lang w:val="en-US"/>
        </w:rPr>
        <w:t xml:space="preserve">, the court held that there was need to demonstrate the direct application of force. However, in </w:t>
      </w:r>
      <w:r w:rsidRPr="00BD101B">
        <w:rPr>
          <w:rFonts w:ascii="Times New Roman" w:eastAsia="Times New Roman" w:hAnsi="Times New Roman" w:cs="Times New Roman"/>
          <w:i/>
          <w:iCs/>
          <w:color w:val="333333"/>
          <w:sz w:val="24"/>
          <w:szCs w:val="24"/>
          <w:lang w:val="en-US"/>
        </w:rPr>
        <w:t>R v Martin</w:t>
      </w:r>
      <w:r w:rsidRPr="00BD101B">
        <w:rPr>
          <w:rFonts w:ascii="Times New Roman" w:eastAsia="Times New Roman" w:hAnsi="Times New Roman" w:cs="Times New Roman"/>
          <w:i/>
          <w:iCs/>
          <w:color w:val="4D5156"/>
          <w:sz w:val="24"/>
          <w:szCs w:val="24"/>
          <w:lang w:val="en-US"/>
        </w:rPr>
        <w:t xml:space="preserve"> </w:t>
      </w:r>
      <w:r w:rsidRPr="00BD101B">
        <w:rPr>
          <w:rFonts w:ascii="Times New Roman" w:eastAsia="Times New Roman" w:hAnsi="Times New Roman" w:cs="Times New Roman"/>
          <w:i/>
          <w:iCs/>
          <w:color w:val="333333"/>
          <w:sz w:val="24"/>
          <w:szCs w:val="24"/>
          <w:lang w:val="en-US"/>
        </w:rPr>
        <w:t>(1881) 8 QBD 54</w:t>
      </w:r>
      <w:r w:rsidRPr="00BD101B">
        <w:rPr>
          <w:rFonts w:ascii="Times New Roman" w:eastAsia="Times New Roman" w:hAnsi="Times New Roman" w:cs="Times New Roman"/>
          <w:color w:val="333333"/>
          <w:sz w:val="24"/>
          <w:szCs w:val="24"/>
          <w:lang w:val="en-US"/>
        </w:rPr>
        <w:t>, the accused was held liable for applying force indirectly.  </w:t>
      </w:r>
    </w:p>
    <w:p w14:paraId="727131BD"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lastRenderedPageBreak/>
        <w:t>The Offences Against the Person Act 1861 does not give a definition of the term wound. This definition of the word “wound” has been developed through case law. The key factor in developing the meaning of the term is breaking of the skin.  </w:t>
      </w:r>
    </w:p>
    <w:p w14:paraId="7B8E087B" w14:textId="4E321CB4"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 xml:space="preserve">In the OAPA 1861, there is no recognition that </w:t>
      </w:r>
      <w:proofErr w:type="gramStart"/>
      <w:r w:rsidRPr="00BD101B">
        <w:rPr>
          <w:rFonts w:ascii="Times New Roman" w:eastAsia="Times New Roman" w:hAnsi="Times New Roman" w:cs="Times New Roman"/>
          <w:color w:val="333333"/>
          <w:sz w:val="24"/>
          <w:szCs w:val="24"/>
          <w:lang w:val="en-US"/>
        </w:rPr>
        <w:t>fear</w:t>
      </w:r>
      <w:proofErr w:type="gramEnd"/>
      <w:r w:rsidRPr="00BD101B">
        <w:rPr>
          <w:rFonts w:ascii="Times New Roman" w:eastAsia="Times New Roman" w:hAnsi="Times New Roman" w:cs="Times New Roman"/>
          <w:color w:val="333333"/>
          <w:sz w:val="24"/>
          <w:szCs w:val="24"/>
          <w:lang w:val="en-US"/>
        </w:rPr>
        <w:t xml:space="preserve"> or apprehension can lead to psychiatric injury (Cowley, 1991). Through case laws pertaining to the offences against the person act such as </w:t>
      </w:r>
      <w:r w:rsidRPr="00BD101B">
        <w:rPr>
          <w:rFonts w:ascii="Times New Roman" w:eastAsia="Times New Roman" w:hAnsi="Times New Roman" w:cs="Times New Roman"/>
          <w:i/>
          <w:iCs/>
          <w:color w:val="333333"/>
          <w:sz w:val="24"/>
          <w:szCs w:val="24"/>
          <w:lang w:val="en-US"/>
        </w:rPr>
        <w:t>R v Ireland (1997) 3 WLR 534</w:t>
      </w:r>
      <w:r w:rsidRPr="00BD101B">
        <w:rPr>
          <w:rFonts w:ascii="Times New Roman" w:eastAsia="Times New Roman" w:hAnsi="Times New Roman" w:cs="Times New Roman"/>
          <w:color w:val="333333"/>
          <w:sz w:val="24"/>
          <w:szCs w:val="24"/>
          <w:lang w:val="en-US"/>
        </w:rPr>
        <w:t xml:space="preserve">, judges together with juries </w:t>
      </w:r>
      <w:proofErr w:type="spellStart"/>
      <w:r w:rsidRPr="00BD101B">
        <w:rPr>
          <w:rFonts w:ascii="Times New Roman" w:eastAsia="Times New Roman" w:hAnsi="Times New Roman" w:cs="Times New Roman"/>
          <w:color w:val="333333"/>
          <w:sz w:val="24"/>
          <w:szCs w:val="24"/>
          <w:lang w:val="en-US"/>
        </w:rPr>
        <w:t>recogni</w:t>
      </w:r>
      <w:r w:rsidR="00A64076">
        <w:rPr>
          <w:rFonts w:ascii="Times New Roman" w:eastAsia="Times New Roman" w:hAnsi="Times New Roman" w:cs="Times New Roman"/>
          <w:color w:val="333333"/>
          <w:sz w:val="24"/>
          <w:szCs w:val="24"/>
          <w:lang w:val="en-US"/>
        </w:rPr>
        <w:t>se</w:t>
      </w:r>
      <w:proofErr w:type="spellEnd"/>
      <w:r w:rsidRPr="00BD101B">
        <w:rPr>
          <w:rFonts w:ascii="Times New Roman" w:eastAsia="Times New Roman" w:hAnsi="Times New Roman" w:cs="Times New Roman"/>
          <w:color w:val="333333"/>
          <w:sz w:val="24"/>
          <w:szCs w:val="24"/>
          <w:lang w:val="en-US"/>
        </w:rPr>
        <w:t xml:space="preserve"> psychological injury via using advanced medical knowledge. In the case of </w:t>
      </w:r>
      <w:r w:rsidRPr="00BD101B">
        <w:rPr>
          <w:rFonts w:ascii="Times New Roman" w:eastAsia="Times New Roman" w:hAnsi="Times New Roman" w:cs="Times New Roman"/>
          <w:i/>
          <w:iCs/>
          <w:color w:val="333333"/>
          <w:sz w:val="24"/>
          <w:szCs w:val="24"/>
          <w:lang w:val="en-US"/>
        </w:rPr>
        <w:t xml:space="preserve">R v </w:t>
      </w:r>
      <w:proofErr w:type="spellStart"/>
      <w:r w:rsidRPr="00BD101B">
        <w:rPr>
          <w:rFonts w:ascii="Times New Roman" w:eastAsia="Times New Roman" w:hAnsi="Times New Roman" w:cs="Times New Roman"/>
          <w:i/>
          <w:iCs/>
          <w:color w:val="333333"/>
          <w:sz w:val="24"/>
          <w:szCs w:val="24"/>
          <w:lang w:val="en-US"/>
        </w:rPr>
        <w:t>Bustow</w:t>
      </w:r>
      <w:proofErr w:type="spellEnd"/>
      <w:r w:rsidRPr="00BD101B">
        <w:rPr>
          <w:rFonts w:ascii="Times New Roman" w:eastAsia="Times New Roman" w:hAnsi="Times New Roman" w:cs="Times New Roman"/>
          <w:i/>
          <w:iCs/>
          <w:color w:val="333333"/>
          <w:sz w:val="24"/>
          <w:szCs w:val="24"/>
          <w:lang w:val="en-US"/>
        </w:rPr>
        <w:t xml:space="preserve"> (1997) UKHL 34</w:t>
      </w:r>
      <w:r w:rsidRPr="00BD101B">
        <w:rPr>
          <w:rFonts w:ascii="Times New Roman" w:eastAsia="Times New Roman" w:hAnsi="Times New Roman" w:cs="Times New Roman"/>
          <w:color w:val="333333"/>
          <w:sz w:val="24"/>
          <w:szCs w:val="24"/>
          <w:lang w:val="en-US"/>
        </w:rPr>
        <w:t xml:space="preserve">, the court stated that the Victorian lawmaker was less likely to envision that psychiatric injury resulting from apprehension and fear. Mental health is an emerging issue in the society </w:t>
      </w:r>
      <w:r w:rsidR="00A64076">
        <w:rPr>
          <w:rFonts w:ascii="Times New Roman" w:eastAsia="Times New Roman" w:hAnsi="Times New Roman" w:cs="Times New Roman"/>
          <w:color w:val="333333"/>
          <w:sz w:val="24"/>
          <w:szCs w:val="24"/>
          <w:lang w:val="en-US"/>
        </w:rPr>
        <w:t xml:space="preserve">that is currently considered in </w:t>
      </w:r>
      <w:proofErr w:type="spellStart"/>
      <w:proofErr w:type="gramStart"/>
      <w:r w:rsidR="00A64076">
        <w:rPr>
          <w:rFonts w:ascii="Times New Roman" w:eastAsia="Times New Roman" w:hAnsi="Times New Roman" w:cs="Times New Roman"/>
          <w:color w:val="333333"/>
          <w:sz w:val="24"/>
          <w:szCs w:val="24"/>
          <w:lang w:val="en-US"/>
        </w:rPr>
        <w:t>courts.</w:t>
      </w:r>
      <w:r w:rsidRPr="00BD101B">
        <w:rPr>
          <w:rFonts w:ascii="Times New Roman" w:eastAsia="Times New Roman" w:hAnsi="Times New Roman" w:cs="Times New Roman"/>
          <w:color w:val="333333"/>
          <w:sz w:val="24"/>
          <w:szCs w:val="24"/>
          <w:lang w:val="en-US"/>
        </w:rPr>
        <w:t>that</w:t>
      </w:r>
      <w:proofErr w:type="spellEnd"/>
      <w:proofErr w:type="gramEnd"/>
      <w:r w:rsidRPr="00BD101B">
        <w:rPr>
          <w:rFonts w:ascii="Times New Roman" w:eastAsia="Times New Roman" w:hAnsi="Times New Roman" w:cs="Times New Roman"/>
          <w:color w:val="333333"/>
          <w:sz w:val="24"/>
          <w:szCs w:val="24"/>
          <w:lang w:val="en-US"/>
        </w:rPr>
        <w:t xml:space="preserve"> is being put into consideration even in the courts currently. </w:t>
      </w:r>
    </w:p>
    <w:p w14:paraId="12E85B62" w14:textId="7C3BCE8C"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 xml:space="preserve">The term “battery” is used to imply a level of force that is higher than the one required by law. According to </w:t>
      </w:r>
      <w:r w:rsidRPr="00BD101B">
        <w:rPr>
          <w:rFonts w:ascii="Times New Roman" w:eastAsia="Times New Roman" w:hAnsi="Times New Roman" w:cs="Times New Roman"/>
          <w:i/>
          <w:iCs/>
          <w:color w:val="333333"/>
          <w:sz w:val="24"/>
          <w:szCs w:val="24"/>
          <w:lang w:val="en-US"/>
        </w:rPr>
        <w:t>R v Constanza</w:t>
      </w:r>
      <w:r w:rsidRPr="00BD101B">
        <w:rPr>
          <w:rFonts w:ascii="Times New Roman" w:eastAsia="Times New Roman" w:hAnsi="Times New Roman" w:cs="Times New Roman"/>
          <w:i/>
          <w:iCs/>
          <w:color w:val="202124"/>
          <w:sz w:val="24"/>
          <w:szCs w:val="24"/>
          <w:lang w:val="en-US"/>
        </w:rPr>
        <w:t xml:space="preserve"> </w:t>
      </w:r>
      <w:r w:rsidRPr="00BD101B">
        <w:rPr>
          <w:rFonts w:ascii="Times New Roman" w:eastAsia="Times New Roman" w:hAnsi="Times New Roman" w:cs="Times New Roman"/>
          <w:i/>
          <w:iCs/>
          <w:color w:val="333333"/>
          <w:sz w:val="24"/>
          <w:szCs w:val="24"/>
          <w:lang w:val="en-US"/>
        </w:rPr>
        <w:t>[1997] Crim LR 576</w:t>
      </w:r>
      <w:r w:rsidRPr="00BD101B">
        <w:rPr>
          <w:rFonts w:ascii="Times New Roman" w:eastAsia="Times New Roman" w:hAnsi="Times New Roman" w:cs="Times New Roman"/>
          <w:color w:val="333333"/>
          <w:sz w:val="24"/>
          <w:szCs w:val="24"/>
          <w:lang w:val="en-US"/>
        </w:rPr>
        <w:t xml:space="preserve">, the term bodily harm as indicated in section 18, 20 and 47 should also be used to refer to psychiatric harm. </w:t>
      </w:r>
      <w:r w:rsidR="00A64076">
        <w:rPr>
          <w:rFonts w:ascii="Times New Roman" w:eastAsia="Times New Roman" w:hAnsi="Times New Roman" w:cs="Times New Roman"/>
          <w:color w:val="333333"/>
          <w:sz w:val="24"/>
          <w:szCs w:val="24"/>
          <w:lang w:val="en-US"/>
        </w:rPr>
        <w:t xml:space="preserve">It is unlikely that </w:t>
      </w:r>
      <w:r w:rsidRPr="00BD101B">
        <w:rPr>
          <w:rFonts w:ascii="Times New Roman" w:eastAsia="Times New Roman" w:hAnsi="Times New Roman" w:cs="Times New Roman"/>
          <w:color w:val="333333"/>
          <w:sz w:val="24"/>
          <w:szCs w:val="24"/>
          <w:lang w:val="en-US"/>
        </w:rPr>
        <w:t>the Victorian lawmakers though</w:t>
      </w:r>
      <w:r w:rsidR="00A64076">
        <w:rPr>
          <w:rFonts w:ascii="Times New Roman" w:eastAsia="Times New Roman" w:hAnsi="Times New Roman" w:cs="Times New Roman"/>
          <w:color w:val="333333"/>
          <w:sz w:val="24"/>
          <w:szCs w:val="24"/>
          <w:lang w:val="en-US"/>
        </w:rPr>
        <w:t>t</w:t>
      </w:r>
      <w:r w:rsidRPr="00BD101B">
        <w:rPr>
          <w:rFonts w:ascii="Times New Roman" w:eastAsia="Times New Roman" w:hAnsi="Times New Roman" w:cs="Times New Roman"/>
          <w:color w:val="333333"/>
          <w:sz w:val="24"/>
          <w:szCs w:val="24"/>
          <w:lang w:val="en-US"/>
        </w:rPr>
        <w:t xml:space="preserve"> about psychiatric harm as they formulated the law. </w:t>
      </w:r>
    </w:p>
    <w:p w14:paraId="77068C73" w14:textId="4722CD73"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Critics have argued that the hierarchy of the terms of offences as indicated section 20 and 47 of the OAPA is not clear and distorted (</w:t>
      </w:r>
      <w:proofErr w:type="spellStart"/>
      <w:r w:rsidRPr="00BD101B">
        <w:rPr>
          <w:rFonts w:ascii="Times New Roman" w:eastAsia="Times New Roman" w:hAnsi="Times New Roman" w:cs="Times New Roman"/>
          <w:color w:val="333333"/>
          <w:sz w:val="24"/>
          <w:szCs w:val="24"/>
          <w:lang w:val="en-US"/>
        </w:rPr>
        <w:t>McCombe</w:t>
      </w:r>
      <w:proofErr w:type="spellEnd"/>
      <w:r w:rsidRPr="00BD101B">
        <w:rPr>
          <w:rFonts w:ascii="Times New Roman" w:eastAsia="Times New Roman" w:hAnsi="Times New Roman" w:cs="Times New Roman"/>
          <w:color w:val="333333"/>
          <w:sz w:val="24"/>
          <w:szCs w:val="24"/>
          <w:lang w:val="en-US"/>
        </w:rPr>
        <w:t xml:space="preserve">, 2017). Section 20 of the OAPA states that any person who illegally or maliciously wounds or inflicts grievous bodily harm on another person with or without using any weapon or instrument will be found guilty of a </w:t>
      </w:r>
      <w:proofErr w:type="spellStart"/>
      <w:r w:rsidRPr="00BD101B">
        <w:rPr>
          <w:rFonts w:ascii="Times New Roman" w:eastAsia="Times New Roman" w:hAnsi="Times New Roman" w:cs="Times New Roman"/>
          <w:color w:val="333333"/>
          <w:sz w:val="24"/>
          <w:szCs w:val="24"/>
          <w:lang w:val="en-US"/>
        </w:rPr>
        <w:t>misdemeano</w:t>
      </w:r>
      <w:r w:rsidR="008A44FC">
        <w:rPr>
          <w:rFonts w:ascii="Times New Roman" w:eastAsia="Times New Roman" w:hAnsi="Times New Roman" w:cs="Times New Roman"/>
          <w:color w:val="333333"/>
          <w:sz w:val="24"/>
          <w:szCs w:val="24"/>
          <w:lang w:val="en-US"/>
        </w:rPr>
        <w:t>u</w:t>
      </w:r>
      <w:r w:rsidRPr="00BD101B">
        <w:rPr>
          <w:rFonts w:ascii="Times New Roman" w:eastAsia="Times New Roman" w:hAnsi="Times New Roman" w:cs="Times New Roman"/>
          <w:color w:val="333333"/>
          <w:sz w:val="24"/>
          <w:szCs w:val="24"/>
          <w:lang w:val="en-US"/>
        </w:rPr>
        <w:t>r</w:t>
      </w:r>
      <w:proofErr w:type="spellEnd"/>
      <w:r w:rsidRPr="00BD101B">
        <w:rPr>
          <w:rFonts w:ascii="Times New Roman" w:eastAsia="Times New Roman" w:hAnsi="Times New Roman" w:cs="Times New Roman"/>
          <w:color w:val="333333"/>
          <w:sz w:val="24"/>
          <w:szCs w:val="24"/>
          <w:lang w:val="en-US"/>
        </w:rPr>
        <w:t xml:space="preserve"> and will be subjected to penal servitude. Section 47 of OAPA states that a person who assaults another causing actual bodily harm will be found guilty of an offence and will be subjected to penal servitude. In the OAPA, there is no clear definition of the meaning of assault or battery. In the case of </w:t>
      </w:r>
      <w:r w:rsidRPr="00BD101B">
        <w:rPr>
          <w:rFonts w:ascii="Times New Roman" w:eastAsia="Times New Roman" w:hAnsi="Times New Roman" w:cs="Times New Roman"/>
          <w:i/>
          <w:iCs/>
          <w:color w:val="333333"/>
          <w:sz w:val="24"/>
          <w:szCs w:val="24"/>
          <w:lang w:val="en-US"/>
        </w:rPr>
        <w:t>R v Lynsey (1995) 3 All ER 654</w:t>
      </w:r>
      <w:r w:rsidRPr="00BD101B">
        <w:rPr>
          <w:rFonts w:ascii="Times New Roman" w:eastAsia="Times New Roman" w:hAnsi="Times New Roman" w:cs="Times New Roman"/>
          <w:color w:val="333333"/>
          <w:sz w:val="24"/>
          <w:szCs w:val="24"/>
          <w:lang w:val="en-US"/>
        </w:rPr>
        <w:t xml:space="preserve">, the court </w:t>
      </w:r>
      <w:proofErr w:type="gramStart"/>
      <w:r w:rsidRPr="00BD101B">
        <w:rPr>
          <w:rFonts w:ascii="Times New Roman" w:eastAsia="Times New Roman" w:hAnsi="Times New Roman" w:cs="Times New Roman"/>
          <w:color w:val="333333"/>
          <w:sz w:val="24"/>
          <w:szCs w:val="24"/>
          <w:lang w:val="en-US"/>
        </w:rPr>
        <w:t>experienced difficulty</w:t>
      </w:r>
      <w:proofErr w:type="gramEnd"/>
      <w:r w:rsidRPr="00BD101B">
        <w:rPr>
          <w:rFonts w:ascii="Times New Roman" w:eastAsia="Times New Roman" w:hAnsi="Times New Roman" w:cs="Times New Roman"/>
          <w:color w:val="333333"/>
          <w:sz w:val="24"/>
          <w:szCs w:val="24"/>
          <w:lang w:val="en-US"/>
        </w:rPr>
        <w:t xml:space="preserve"> in distinguishing assault and battery. The two offen</w:t>
      </w:r>
      <w:r w:rsidR="008A44FC">
        <w:rPr>
          <w:rFonts w:ascii="Times New Roman" w:eastAsia="Times New Roman" w:hAnsi="Times New Roman" w:cs="Times New Roman"/>
          <w:color w:val="333333"/>
          <w:sz w:val="24"/>
          <w:szCs w:val="24"/>
          <w:lang w:val="en-US"/>
        </w:rPr>
        <w:t>c</w:t>
      </w:r>
      <w:r w:rsidRPr="00BD101B">
        <w:rPr>
          <w:rFonts w:ascii="Times New Roman" w:eastAsia="Times New Roman" w:hAnsi="Times New Roman" w:cs="Times New Roman"/>
          <w:color w:val="333333"/>
          <w:sz w:val="24"/>
          <w:szCs w:val="24"/>
          <w:lang w:val="en-US"/>
        </w:rPr>
        <w:t xml:space="preserve">es have a similar description of the </w:t>
      </w:r>
      <w:proofErr w:type="spellStart"/>
      <w:r w:rsidRPr="00BD101B">
        <w:rPr>
          <w:rFonts w:ascii="Times New Roman" w:eastAsia="Times New Roman" w:hAnsi="Times New Roman" w:cs="Times New Roman"/>
          <w:color w:val="333333"/>
          <w:sz w:val="24"/>
          <w:szCs w:val="24"/>
          <w:lang w:val="en-US"/>
        </w:rPr>
        <w:t>mens</w:t>
      </w:r>
      <w:proofErr w:type="spellEnd"/>
      <w:r w:rsidRPr="00BD101B">
        <w:rPr>
          <w:rFonts w:ascii="Times New Roman" w:eastAsia="Times New Roman" w:hAnsi="Times New Roman" w:cs="Times New Roman"/>
          <w:color w:val="333333"/>
          <w:sz w:val="24"/>
          <w:szCs w:val="24"/>
          <w:lang w:val="en-US"/>
        </w:rPr>
        <w:t xml:space="preserve"> rea and the accused person receives a maximum penalty </w:t>
      </w:r>
      <w:r w:rsidR="008A44FC">
        <w:rPr>
          <w:rFonts w:ascii="Times New Roman" w:eastAsia="Times New Roman" w:hAnsi="Times New Roman" w:cs="Times New Roman"/>
          <w:color w:val="333333"/>
          <w:sz w:val="24"/>
          <w:szCs w:val="24"/>
          <w:lang w:val="en-US"/>
        </w:rPr>
        <w:t>of</w:t>
      </w:r>
      <w:r w:rsidRPr="00BD101B">
        <w:rPr>
          <w:rFonts w:ascii="Times New Roman" w:eastAsia="Times New Roman" w:hAnsi="Times New Roman" w:cs="Times New Roman"/>
          <w:color w:val="333333"/>
          <w:sz w:val="24"/>
          <w:szCs w:val="24"/>
          <w:lang w:val="en-US"/>
        </w:rPr>
        <w:t xml:space="preserve"> five years. Nonetheless, the offence listed under section </w:t>
      </w:r>
      <w:r w:rsidRPr="00BD101B">
        <w:rPr>
          <w:rFonts w:ascii="Times New Roman" w:eastAsia="Times New Roman" w:hAnsi="Times New Roman" w:cs="Times New Roman"/>
          <w:color w:val="333333"/>
          <w:sz w:val="24"/>
          <w:szCs w:val="24"/>
          <w:lang w:val="en-US"/>
        </w:rPr>
        <w:lastRenderedPageBreak/>
        <w:t>20 is more serious. Judges and juries struggle with the shortcoming of the provisions of law stipulated in the legislation. The offences captured in the legislation are not arranged</w:t>
      </w:r>
      <w:r w:rsidR="00A64076">
        <w:rPr>
          <w:rFonts w:ascii="Times New Roman" w:eastAsia="Times New Roman" w:hAnsi="Times New Roman" w:cs="Times New Roman"/>
          <w:color w:val="333333"/>
          <w:sz w:val="24"/>
          <w:szCs w:val="24"/>
          <w:lang w:val="en-US"/>
        </w:rPr>
        <w:t xml:space="preserve"> logically. </w:t>
      </w:r>
      <w:r w:rsidRPr="00BD101B">
        <w:rPr>
          <w:rFonts w:ascii="Times New Roman" w:eastAsia="Times New Roman" w:hAnsi="Times New Roman" w:cs="Times New Roman"/>
          <w:color w:val="333333"/>
          <w:sz w:val="24"/>
          <w:szCs w:val="24"/>
          <w:lang w:val="en-US"/>
        </w:rPr>
        <w:t xml:space="preserve"> </w:t>
      </w:r>
    </w:p>
    <w:p w14:paraId="51470D6A" w14:textId="1D874873"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 xml:space="preserve">Also, there is no significant difference between GBH and ABH. In the case of </w:t>
      </w:r>
      <w:r w:rsidRPr="00BD101B">
        <w:rPr>
          <w:rFonts w:ascii="Times New Roman" w:eastAsia="Times New Roman" w:hAnsi="Times New Roman" w:cs="Times New Roman"/>
          <w:i/>
          <w:iCs/>
          <w:color w:val="333333"/>
          <w:sz w:val="24"/>
          <w:szCs w:val="24"/>
          <w:lang w:val="en-US"/>
        </w:rPr>
        <w:t>DPP v Smith (1961) AC 290</w:t>
      </w:r>
      <w:r w:rsidRPr="00BD101B">
        <w:rPr>
          <w:rFonts w:ascii="Times New Roman" w:eastAsia="Times New Roman" w:hAnsi="Times New Roman" w:cs="Times New Roman"/>
          <w:color w:val="333333"/>
          <w:sz w:val="24"/>
          <w:szCs w:val="24"/>
          <w:lang w:val="en-US"/>
        </w:rPr>
        <w:t xml:space="preserve">, grievous bodily harm is defined as serious harm that may entail psychiatric injury that is serious in nature together with the permanent loss of the functions of sensory organs. However, in the case of </w:t>
      </w:r>
      <w:r w:rsidRPr="00BD101B">
        <w:rPr>
          <w:rFonts w:ascii="Times New Roman" w:eastAsia="Times New Roman" w:hAnsi="Times New Roman" w:cs="Times New Roman"/>
          <w:i/>
          <w:iCs/>
          <w:color w:val="333333"/>
          <w:sz w:val="24"/>
          <w:szCs w:val="24"/>
          <w:lang w:val="en-US"/>
        </w:rPr>
        <w:t>JCC v Eisenhower [1984] QB 331</w:t>
      </w:r>
      <w:r w:rsidRPr="00BD101B">
        <w:rPr>
          <w:rFonts w:ascii="Times New Roman" w:eastAsia="Times New Roman" w:hAnsi="Times New Roman" w:cs="Times New Roman"/>
          <w:color w:val="333333"/>
          <w:sz w:val="24"/>
          <w:szCs w:val="24"/>
          <w:lang w:val="en-US"/>
        </w:rPr>
        <w:t>, wounding is classified as grievous bodily harm. A minor cut is deemed to be of the same magnitude as permanent disability or disfigurement. The court has discretion in deciding what amounts to serious harm. This poses</w:t>
      </w:r>
      <w:r w:rsidR="00A64076">
        <w:rPr>
          <w:rFonts w:ascii="Times New Roman" w:eastAsia="Times New Roman" w:hAnsi="Times New Roman" w:cs="Times New Roman"/>
          <w:color w:val="333333"/>
          <w:sz w:val="24"/>
          <w:szCs w:val="24"/>
          <w:lang w:val="en-US"/>
        </w:rPr>
        <w:t xml:space="preserve"> considerable d</w:t>
      </w:r>
      <w:r w:rsidRPr="00BD101B">
        <w:rPr>
          <w:rFonts w:ascii="Times New Roman" w:eastAsia="Times New Roman" w:hAnsi="Times New Roman" w:cs="Times New Roman"/>
          <w:color w:val="333333"/>
          <w:sz w:val="24"/>
          <w:szCs w:val="24"/>
          <w:lang w:val="en-US"/>
        </w:rPr>
        <w:t xml:space="preserve">iscrepancy </w:t>
      </w:r>
      <w:r w:rsidR="00A64076">
        <w:rPr>
          <w:rFonts w:ascii="Times New Roman" w:eastAsia="Times New Roman" w:hAnsi="Times New Roman" w:cs="Times New Roman"/>
          <w:color w:val="333333"/>
          <w:sz w:val="24"/>
          <w:szCs w:val="24"/>
          <w:lang w:val="en-US"/>
        </w:rPr>
        <w:t>in t</w:t>
      </w:r>
      <w:r w:rsidRPr="00BD101B">
        <w:rPr>
          <w:rFonts w:ascii="Times New Roman" w:eastAsia="Times New Roman" w:hAnsi="Times New Roman" w:cs="Times New Roman"/>
          <w:color w:val="333333"/>
          <w:sz w:val="24"/>
          <w:szCs w:val="24"/>
          <w:lang w:val="en-US"/>
        </w:rPr>
        <w:t xml:space="preserve">he determination of this issue by the court. The difference between Grievous Bodily Harm and Actual Bodily Harm is the magnitude of </w:t>
      </w:r>
      <w:r w:rsidR="00A64076">
        <w:rPr>
          <w:rFonts w:ascii="Times New Roman" w:eastAsia="Times New Roman" w:hAnsi="Times New Roman" w:cs="Times New Roman"/>
          <w:color w:val="333333"/>
          <w:sz w:val="24"/>
          <w:szCs w:val="24"/>
          <w:lang w:val="en-US"/>
        </w:rPr>
        <w:t xml:space="preserve">the </w:t>
      </w:r>
      <w:r w:rsidRPr="00BD101B">
        <w:rPr>
          <w:rFonts w:ascii="Times New Roman" w:eastAsia="Times New Roman" w:hAnsi="Times New Roman" w:cs="Times New Roman"/>
          <w:color w:val="333333"/>
          <w:sz w:val="24"/>
          <w:szCs w:val="24"/>
          <w:lang w:val="en-US"/>
        </w:rPr>
        <w:t>injury. There</w:t>
      </w:r>
      <w:r w:rsidR="00A64076">
        <w:rPr>
          <w:rFonts w:ascii="Times New Roman" w:eastAsia="Times New Roman" w:hAnsi="Times New Roman" w:cs="Times New Roman"/>
          <w:color w:val="333333"/>
          <w:sz w:val="24"/>
          <w:szCs w:val="24"/>
          <w:lang w:val="en-US"/>
        </w:rPr>
        <w:t xml:space="preserve"> are many similarities</w:t>
      </w:r>
      <w:r w:rsidRPr="00BD101B">
        <w:rPr>
          <w:rFonts w:ascii="Times New Roman" w:eastAsia="Times New Roman" w:hAnsi="Times New Roman" w:cs="Times New Roman"/>
          <w:color w:val="333333"/>
          <w:sz w:val="24"/>
          <w:szCs w:val="24"/>
          <w:lang w:val="en-US"/>
        </w:rPr>
        <w:t xml:space="preserve"> in the penalty of GBH offence as indicated under section 20 of the OAPA and ABH under section 47. However, the penalty for GBH range</w:t>
      </w:r>
      <w:r w:rsidR="00A64076">
        <w:rPr>
          <w:rFonts w:ascii="Times New Roman" w:eastAsia="Times New Roman" w:hAnsi="Times New Roman" w:cs="Times New Roman"/>
          <w:color w:val="333333"/>
          <w:sz w:val="24"/>
          <w:szCs w:val="24"/>
          <w:lang w:val="en-US"/>
        </w:rPr>
        <w:t>s</w:t>
      </w:r>
      <w:r w:rsidRPr="00BD101B">
        <w:rPr>
          <w:rFonts w:ascii="Times New Roman" w:eastAsia="Times New Roman" w:hAnsi="Times New Roman" w:cs="Times New Roman"/>
          <w:color w:val="333333"/>
          <w:sz w:val="24"/>
          <w:szCs w:val="24"/>
          <w:lang w:val="en-US"/>
        </w:rPr>
        <w:t xml:space="preserve"> from 5 years to life imprisonment. </w:t>
      </w:r>
    </w:p>
    <w:p w14:paraId="2DDA7C3E" w14:textId="461DEAB9"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 xml:space="preserve">There </w:t>
      </w:r>
      <w:r w:rsidR="00A64076">
        <w:rPr>
          <w:rFonts w:ascii="Times New Roman" w:eastAsia="Times New Roman" w:hAnsi="Times New Roman" w:cs="Times New Roman"/>
          <w:color w:val="333333"/>
          <w:sz w:val="24"/>
          <w:szCs w:val="24"/>
          <w:lang w:val="en-US"/>
        </w:rPr>
        <w:t xml:space="preserve">are </w:t>
      </w:r>
      <w:r w:rsidRPr="00BD101B">
        <w:rPr>
          <w:rFonts w:ascii="Times New Roman" w:eastAsia="Times New Roman" w:hAnsi="Times New Roman" w:cs="Times New Roman"/>
          <w:color w:val="333333"/>
          <w:sz w:val="24"/>
          <w:szCs w:val="24"/>
          <w:lang w:val="en-US"/>
        </w:rPr>
        <w:t>minor difference</w:t>
      </w:r>
      <w:r w:rsidR="00A64076">
        <w:rPr>
          <w:rFonts w:ascii="Times New Roman" w:eastAsia="Times New Roman" w:hAnsi="Times New Roman" w:cs="Times New Roman"/>
          <w:color w:val="333333"/>
          <w:sz w:val="24"/>
          <w:szCs w:val="24"/>
          <w:lang w:val="en-US"/>
        </w:rPr>
        <w:t>s</w:t>
      </w:r>
      <w:r w:rsidRPr="00BD101B">
        <w:rPr>
          <w:rFonts w:ascii="Times New Roman" w:eastAsia="Times New Roman" w:hAnsi="Times New Roman" w:cs="Times New Roman"/>
          <w:color w:val="333333"/>
          <w:sz w:val="24"/>
          <w:szCs w:val="24"/>
          <w:lang w:val="en-US"/>
        </w:rPr>
        <w:t xml:space="preserve"> between battery and actual bodily harm. In the cases of </w:t>
      </w:r>
      <w:r w:rsidRPr="00BD101B">
        <w:rPr>
          <w:rFonts w:ascii="Times New Roman" w:eastAsia="Times New Roman" w:hAnsi="Times New Roman" w:cs="Times New Roman"/>
          <w:i/>
          <w:iCs/>
          <w:color w:val="333333"/>
          <w:sz w:val="24"/>
          <w:szCs w:val="24"/>
          <w:lang w:val="en-US"/>
        </w:rPr>
        <w:t xml:space="preserve">Faulkner v </w:t>
      </w:r>
      <w:proofErr w:type="spellStart"/>
      <w:r w:rsidRPr="00BD101B">
        <w:rPr>
          <w:rFonts w:ascii="Times New Roman" w:eastAsia="Times New Roman" w:hAnsi="Times New Roman" w:cs="Times New Roman"/>
          <w:i/>
          <w:iCs/>
          <w:color w:val="333333"/>
          <w:sz w:val="24"/>
          <w:szCs w:val="24"/>
          <w:lang w:val="en-US"/>
        </w:rPr>
        <w:t>Tablot</w:t>
      </w:r>
      <w:proofErr w:type="spellEnd"/>
      <w:r w:rsidRPr="00BD101B">
        <w:rPr>
          <w:rFonts w:ascii="Times New Roman" w:eastAsia="Times New Roman" w:hAnsi="Times New Roman" w:cs="Times New Roman"/>
          <w:i/>
          <w:iCs/>
          <w:color w:val="333333"/>
          <w:sz w:val="24"/>
          <w:szCs w:val="24"/>
          <w:lang w:val="en-US"/>
        </w:rPr>
        <w:t xml:space="preserve"> (1981) 3 All ER 468</w:t>
      </w:r>
      <w:r w:rsidRPr="00BD101B">
        <w:rPr>
          <w:rFonts w:ascii="Times New Roman" w:eastAsia="Times New Roman" w:hAnsi="Times New Roman" w:cs="Times New Roman"/>
          <w:color w:val="333333"/>
          <w:sz w:val="24"/>
          <w:szCs w:val="24"/>
          <w:lang w:val="en-US"/>
        </w:rPr>
        <w:t>, the court held that touching of another individual without being granted their consent amounts to battery. Any injury or hurt that can lead to the interference of the comfort of a person amounts to actual bodily harm. However, a person who is guilty of battery can be imprisoned for 6 months. On the other hand, if an individual is found to be guilty of ABH, he or she will be imprisoned for 5 years. </w:t>
      </w:r>
    </w:p>
    <w:p w14:paraId="31DD1D1B"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b/>
          <w:bCs/>
          <w:color w:val="333333"/>
          <w:sz w:val="24"/>
          <w:szCs w:val="24"/>
          <w:lang w:val="en-US"/>
        </w:rPr>
        <w:t>Reforms</w:t>
      </w:r>
      <w:r w:rsidRPr="00BD101B">
        <w:rPr>
          <w:rFonts w:ascii="Times New Roman" w:eastAsia="Times New Roman" w:hAnsi="Times New Roman" w:cs="Times New Roman"/>
          <w:color w:val="333333"/>
          <w:sz w:val="24"/>
          <w:szCs w:val="24"/>
          <w:lang w:val="en-US"/>
        </w:rPr>
        <w:t> </w:t>
      </w:r>
    </w:p>
    <w:p w14:paraId="0AB272B3" w14:textId="1557E1D8"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The Home Office together with Law Commission ha</w:t>
      </w:r>
      <w:r w:rsidR="00A64076">
        <w:rPr>
          <w:rFonts w:ascii="Times New Roman" w:eastAsia="Times New Roman" w:hAnsi="Times New Roman" w:cs="Times New Roman"/>
          <w:color w:val="333333"/>
          <w:sz w:val="24"/>
          <w:szCs w:val="24"/>
          <w:lang w:val="en-US"/>
        </w:rPr>
        <w:t xml:space="preserve">s </w:t>
      </w:r>
      <w:r w:rsidRPr="00BD101B">
        <w:rPr>
          <w:rFonts w:ascii="Times New Roman" w:eastAsia="Times New Roman" w:hAnsi="Times New Roman" w:cs="Times New Roman"/>
          <w:color w:val="333333"/>
          <w:sz w:val="24"/>
          <w:szCs w:val="24"/>
          <w:lang w:val="en-US"/>
        </w:rPr>
        <w:t xml:space="preserve">made attempts to prompt the reforms of OAPA for more than 10 years. The Ministry of Justice has been silent on the shortcomings of the OAPA hence the need for reforms. There are political factors that cause difficulty in </w:t>
      </w:r>
      <w:r w:rsidRPr="00BD101B">
        <w:rPr>
          <w:rFonts w:ascii="Times New Roman" w:eastAsia="Times New Roman" w:hAnsi="Times New Roman" w:cs="Times New Roman"/>
          <w:color w:val="333333"/>
          <w:sz w:val="24"/>
          <w:szCs w:val="24"/>
          <w:lang w:val="en-US"/>
        </w:rPr>
        <w:lastRenderedPageBreak/>
        <w:t xml:space="preserve">reforming Criminal Law. Nonetheless, reforming the OAPA is a matter of public interest as it is a law that has an impact </w:t>
      </w:r>
      <w:r w:rsidR="00A64076">
        <w:rPr>
          <w:rFonts w:ascii="Times New Roman" w:eastAsia="Times New Roman" w:hAnsi="Times New Roman" w:cs="Times New Roman"/>
          <w:color w:val="333333"/>
          <w:sz w:val="24"/>
          <w:szCs w:val="24"/>
          <w:lang w:val="en-US"/>
        </w:rPr>
        <w:t>o</w:t>
      </w:r>
      <w:r w:rsidRPr="00BD101B">
        <w:rPr>
          <w:rFonts w:ascii="Times New Roman" w:eastAsia="Times New Roman" w:hAnsi="Times New Roman" w:cs="Times New Roman"/>
          <w:color w:val="333333"/>
          <w:sz w:val="24"/>
          <w:szCs w:val="24"/>
          <w:lang w:val="en-US"/>
        </w:rPr>
        <w:t xml:space="preserve">n the lives of people. Therefore, it is imperative for </w:t>
      </w:r>
      <w:r w:rsidR="00A64076">
        <w:rPr>
          <w:rFonts w:ascii="Times New Roman" w:eastAsia="Times New Roman" w:hAnsi="Times New Roman" w:cs="Times New Roman"/>
          <w:color w:val="333333"/>
          <w:sz w:val="24"/>
          <w:szCs w:val="24"/>
          <w:lang w:val="en-US"/>
        </w:rPr>
        <w:t>the OAPA</w:t>
      </w:r>
      <w:r w:rsidRPr="00BD101B">
        <w:rPr>
          <w:rFonts w:ascii="Times New Roman" w:eastAsia="Times New Roman" w:hAnsi="Times New Roman" w:cs="Times New Roman"/>
          <w:color w:val="333333"/>
          <w:sz w:val="24"/>
          <w:szCs w:val="24"/>
          <w:lang w:val="en-US"/>
        </w:rPr>
        <w:t xml:space="preserve"> to be more efficient</w:t>
      </w:r>
      <w:r w:rsidR="00A64076">
        <w:rPr>
          <w:rFonts w:ascii="Times New Roman" w:eastAsia="Times New Roman" w:hAnsi="Times New Roman" w:cs="Times New Roman"/>
          <w:color w:val="333333"/>
          <w:sz w:val="24"/>
          <w:szCs w:val="24"/>
          <w:lang w:val="en-US"/>
        </w:rPr>
        <w:t xml:space="preserve">. </w:t>
      </w:r>
    </w:p>
    <w:p w14:paraId="7AE6E0FD" w14:textId="049A81D2"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The Home Office published a consultation paper names “Violence: Reforming the Offences against the Person Act” that included the 1998 Draft Bill. There was also the Criminal Law Revision Commission’s Report. Some of the reforms proposed in the consultation paper was arranging the offences in a logical manner and in simple and pla</w:t>
      </w:r>
      <w:r w:rsidR="00A64076">
        <w:rPr>
          <w:rFonts w:ascii="Times New Roman" w:eastAsia="Times New Roman" w:hAnsi="Times New Roman" w:cs="Times New Roman"/>
          <w:color w:val="333333"/>
          <w:sz w:val="24"/>
          <w:szCs w:val="24"/>
          <w:lang w:val="en-US"/>
        </w:rPr>
        <w:t>i</w:t>
      </w:r>
      <w:r w:rsidRPr="00BD101B">
        <w:rPr>
          <w:rFonts w:ascii="Times New Roman" w:eastAsia="Times New Roman" w:hAnsi="Times New Roman" w:cs="Times New Roman"/>
          <w:color w:val="333333"/>
          <w:sz w:val="24"/>
          <w:szCs w:val="24"/>
          <w:lang w:val="en-US"/>
        </w:rPr>
        <w:t>n English. There was also</w:t>
      </w:r>
      <w:r w:rsidR="00A64076">
        <w:rPr>
          <w:rFonts w:ascii="Times New Roman" w:eastAsia="Times New Roman" w:hAnsi="Times New Roman" w:cs="Times New Roman"/>
          <w:color w:val="333333"/>
          <w:sz w:val="24"/>
          <w:szCs w:val="24"/>
          <w:lang w:val="en-US"/>
        </w:rPr>
        <w:t xml:space="preserve"> a proposal on the</w:t>
      </w:r>
      <w:r w:rsidRPr="00BD101B">
        <w:rPr>
          <w:rFonts w:ascii="Times New Roman" w:eastAsia="Times New Roman" w:hAnsi="Times New Roman" w:cs="Times New Roman"/>
          <w:color w:val="333333"/>
          <w:sz w:val="24"/>
          <w:szCs w:val="24"/>
          <w:lang w:val="en-US"/>
        </w:rPr>
        <w:t xml:space="preserve"> introduction of new offences such as recklessly or intentionally causing injury, recklessly causing serious injury and intentionally causing injury. Despite the high level of clarity of the provisions of the 1998 Draft Bill, it was </w:t>
      </w:r>
      <w:proofErr w:type="spellStart"/>
      <w:r w:rsidRPr="00BD101B">
        <w:rPr>
          <w:rFonts w:ascii="Times New Roman" w:eastAsia="Times New Roman" w:hAnsi="Times New Roman" w:cs="Times New Roman"/>
          <w:color w:val="333333"/>
          <w:sz w:val="24"/>
          <w:szCs w:val="24"/>
          <w:lang w:val="en-US"/>
        </w:rPr>
        <w:t>critici</w:t>
      </w:r>
      <w:r w:rsidR="00A64076">
        <w:rPr>
          <w:rFonts w:ascii="Times New Roman" w:eastAsia="Times New Roman" w:hAnsi="Times New Roman" w:cs="Times New Roman"/>
          <w:color w:val="333333"/>
          <w:sz w:val="24"/>
          <w:szCs w:val="24"/>
          <w:lang w:val="en-US"/>
        </w:rPr>
        <w:t>s</w:t>
      </w:r>
      <w:r w:rsidRPr="00BD101B">
        <w:rPr>
          <w:rFonts w:ascii="Times New Roman" w:eastAsia="Times New Roman" w:hAnsi="Times New Roman" w:cs="Times New Roman"/>
          <w:color w:val="333333"/>
          <w:sz w:val="24"/>
          <w:szCs w:val="24"/>
          <w:lang w:val="en-US"/>
        </w:rPr>
        <w:t>ed</w:t>
      </w:r>
      <w:proofErr w:type="spellEnd"/>
      <w:r w:rsidRPr="00BD101B">
        <w:rPr>
          <w:rFonts w:ascii="Times New Roman" w:eastAsia="Times New Roman" w:hAnsi="Times New Roman" w:cs="Times New Roman"/>
          <w:color w:val="333333"/>
          <w:sz w:val="24"/>
          <w:szCs w:val="24"/>
          <w:lang w:val="en-US"/>
        </w:rPr>
        <w:t xml:space="preserve"> of not having an introduction that is not progressive. Based on this, the Bill was never enacted.  </w:t>
      </w:r>
    </w:p>
    <w:p w14:paraId="0652514F" w14:textId="7A0EFFF5"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Another paper that</w:t>
      </w:r>
      <w:r w:rsidR="00A64076">
        <w:rPr>
          <w:rFonts w:ascii="Times New Roman" w:eastAsia="Times New Roman" w:hAnsi="Times New Roman" w:cs="Times New Roman"/>
          <w:color w:val="333333"/>
          <w:sz w:val="24"/>
          <w:szCs w:val="24"/>
          <w:lang w:val="en-US"/>
        </w:rPr>
        <w:t xml:space="preserve"> proposed</w:t>
      </w:r>
      <w:r w:rsidRPr="00BD101B">
        <w:rPr>
          <w:rFonts w:ascii="Times New Roman" w:eastAsia="Times New Roman" w:hAnsi="Times New Roman" w:cs="Times New Roman"/>
          <w:color w:val="333333"/>
          <w:sz w:val="24"/>
          <w:szCs w:val="24"/>
          <w:lang w:val="en-US"/>
        </w:rPr>
        <w:t xml:space="preserve"> the OAPA reforms was the 2014 – 2015 scoping paper which entailed the offences scheme which w</w:t>
      </w:r>
      <w:r w:rsidR="003E301B">
        <w:rPr>
          <w:rFonts w:ascii="Times New Roman" w:eastAsia="Times New Roman" w:hAnsi="Times New Roman" w:cs="Times New Roman"/>
          <w:color w:val="333333"/>
          <w:sz w:val="24"/>
          <w:szCs w:val="24"/>
          <w:lang w:val="en-US"/>
        </w:rPr>
        <w:t xml:space="preserve">as </w:t>
      </w:r>
      <w:r w:rsidRPr="00BD101B">
        <w:rPr>
          <w:rFonts w:ascii="Times New Roman" w:eastAsia="Times New Roman" w:hAnsi="Times New Roman" w:cs="Times New Roman"/>
          <w:color w:val="333333"/>
          <w:sz w:val="24"/>
          <w:szCs w:val="24"/>
          <w:lang w:val="en-US"/>
        </w:rPr>
        <w:t>also in the 1998 draft bill. The proposals in the 2014 – 2015 scoping paper were as follows: repeal of the Offences Against the Person Act 1861. Also, a new structure of the offences was proposed. This structure is categorized in</w:t>
      </w:r>
      <w:r w:rsidR="003E301B">
        <w:rPr>
          <w:rFonts w:ascii="Times New Roman" w:eastAsia="Times New Roman" w:hAnsi="Times New Roman" w:cs="Times New Roman"/>
          <w:color w:val="333333"/>
          <w:sz w:val="24"/>
          <w:szCs w:val="24"/>
          <w:lang w:val="en-US"/>
        </w:rPr>
        <w:t>to</w:t>
      </w:r>
      <w:r w:rsidRPr="00BD101B">
        <w:rPr>
          <w:rFonts w:ascii="Times New Roman" w:eastAsia="Times New Roman" w:hAnsi="Times New Roman" w:cs="Times New Roman"/>
          <w:color w:val="333333"/>
          <w:sz w:val="24"/>
          <w:szCs w:val="24"/>
          <w:lang w:val="en-US"/>
        </w:rPr>
        <w:t xml:space="preserve"> four categories: a person who is found guilty of committing an offence of causing serious injury to another intentionally should receive life imprisonment. The second category entailed an individual who is guilty of causing serious injury to another person should be imprisoned for seven years. In the third category, a person who is found to be guilty of an offence when he or she causes injury intentionally or recklessly should be imprisoned for five years. </w:t>
      </w:r>
      <w:r w:rsidR="003E301B">
        <w:rPr>
          <w:rFonts w:ascii="Times New Roman" w:eastAsia="Times New Roman" w:hAnsi="Times New Roman" w:cs="Times New Roman"/>
          <w:color w:val="333333"/>
          <w:sz w:val="24"/>
          <w:szCs w:val="24"/>
          <w:lang w:val="en-US"/>
        </w:rPr>
        <w:t>In t</w:t>
      </w:r>
      <w:r w:rsidRPr="00BD101B">
        <w:rPr>
          <w:rFonts w:ascii="Times New Roman" w:eastAsia="Times New Roman" w:hAnsi="Times New Roman" w:cs="Times New Roman"/>
          <w:color w:val="333333"/>
          <w:sz w:val="24"/>
          <w:szCs w:val="24"/>
          <w:lang w:val="en-US"/>
        </w:rPr>
        <w:t>he final category, a person is deemed to be guilty of committing an offence when he or she intentionally or recklessly intentionally applies force on the body of another individual. This is also applicable in instances where a person intentionally or recklessly causes a person to become apprehensive of the impact o</w:t>
      </w:r>
      <w:r w:rsidR="003E301B">
        <w:rPr>
          <w:rFonts w:ascii="Times New Roman" w:eastAsia="Times New Roman" w:hAnsi="Times New Roman" w:cs="Times New Roman"/>
          <w:color w:val="333333"/>
          <w:sz w:val="24"/>
          <w:szCs w:val="24"/>
          <w:lang w:val="en-US"/>
        </w:rPr>
        <w:t xml:space="preserve">f </w:t>
      </w:r>
      <w:r w:rsidRPr="00BD101B">
        <w:rPr>
          <w:rFonts w:ascii="Times New Roman" w:eastAsia="Times New Roman" w:hAnsi="Times New Roman" w:cs="Times New Roman"/>
          <w:color w:val="333333"/>
          <w:sz w:val="24"/>
          <w:szCs w:val="24"/>
          <w:lang w:val="en-US"/>
        </w:rPr>
        <w:t xml:space="preserve">imminent force. Individuals found guilty of the offences </w:t>
      </w:r>
      <w:r w:rsidRPr="00BD101B">
        <w:rPr>
          <w:rFonts w:ascii="Times New Roman" w:eastAsia="Times New Roman" w:hAnsi="Times New Roman" w:cs="Times New Roman"/>
          <w:color w:val="333333"/>
          <w:sz w:val="24"/>
          <w:szCs w:val="24"/>
          <w:lang w:val="en-US"/>
        </w:rPr>
        <w:lastRenderedPageBreak/>
        <w:t xml:space="preserve">mentioned will either be imprisoned for six months or be fined for an amount that does not exceed 5,000 euros. The offence scheme has provided </w:t>
      </w:r>
      <w:r w:rsidR="003E301B">
        <w:rPr>
          <w:rFonts w:ascii="Times New Roman" w:eastAsia="Times New Roman" w:hAnsi="Times New Roman" w:cs="Times New Roman"/>
          <w:color w:val="333333"/>
          <w:sz w:val="24"/>
          <w:szCs w:val="24"/>
          <w:lang w:val="en-US"/>
        </w:rPr>
        <w:t xml:space="preserve">a </w:t>
      </w:r>
      <w:r w:rsidRPr="00BD101B">
        <w:rPr>
          <w:rFonts w:ascii="Times New Roman" w:eastAsia="Times New Roman" w:hAnsi="Times New Roman" w:cs="Times New Roman"/>
          <w:color w:val="333333"/>
          <w:sz w:val="24"/>
          <w:szCs w:val="24"/>
          <w:lang w:val="en-US"/>
        </w:rPr>
        <w:t>comprehensive definition of intention, injury (both physical or psychological injury) or recklessness. </w:t>
      </w:r>
    </w:p>
    <w:p w14:paraId="1F05FFDE" w14:textId="721F0F35"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 xml:space="preserve">Despite the 2014 – 2015 scoping paper being progressive and offering many solutions to the shortcomings of the OAPA, it has been </w:t>
      </w:r>
      <w:proofErr w:type="spellStart"/>
      <w:r w:rsidRPr="00BD101B">
        <w:rPr>
          <w:rFonts w:ascii="Times New Roman" w:eastAsia="Times New Roman" w:hAnsi="Times New Roman" w:cs="Times New Roman"/>
          <w:color w:val="333333"/>
          <w:sz w:val="24"/>
          <w:szCs w:val="24"/>
          <w:lang w:val="en-US"/>
        </w:rPr>
        <w:t>critici</w:t>
      </w:r>
      <w:r w:rsidR="003E301B">
        <w:rPr>
          <w:rFonts w:ascii="Times New Roman" w:eastAsia="Times New Roman" w:hAnsi="Times New Roman" w:cs="Times New Roman"/>
          <w:color w:val="333333"/>
          <w:sz w:val="24"/>
          <w:szCs w:val="24"/>
          <w:lang w:val="en-US"/>
        </w:rPr>
        <w:t>se</w:t>
      </w:r>
      <w:r w:rsidRPr="00BD101B">
        <w:rPr>
          <w:rFonts w:ascii="Times New Roman" w:eastAsia="Times New Roman" w:hAnsi="Times New Roman" w:cs="Times New Roman"/>
          <w:color w:val="333333"/>
          <w:sz w:val="24"/>
          <w:szCs w:val="24"/>
          <w:lang w:val="en-US"/>
        </w:rPr>
        <w:t>d</w:t>
      </w:r>
      <w:proofErr w:type="spellEnd"/>
      <w:r w:rsidRPr="00BD101B">
        <w:rPr>
          <w:rFonts w:ascii="Times New Roman" w:eastAsia="Times New Roman" w:hAnsi="Times New Roman" w:cs="Times New Roman"/>
          <w:color w:val="333333"/>
          <w:sz w:val="24"/>
          <w:szCs w:val="24"/>
          <w:lang w:val="en-US"/>
        </w:rPr>
        <w:t>. One of the criticisms is the simplicity of the language used. The critics state that the offences proposed are too broad and may give the prosecution a lot of discretion.  </w:t>
      </w:r>
    </w:p>
    <w:p w14:paraId="4435BC05" w14:textId="65D2CE56"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 xml:space="preserve">There has been a proposal for </w:t>
      </w:r>
      <w:r w:rsidR="003E301B">
        <w:rPr>
          <w:rFonts w:ascii="Times New Roman" w:eastAsia="Times New Roman" w:hAnsi="Times New Roman" w:cs="Times New Roman"/>
          <w:color w:val="333333"/>
          <w:sz w:val="24"/>
          <w:szCs w:val="24"/>
          <w:lang w:val="en-US"/>
        </w:rPr>
        <w:t>l</w:t>
      </w:r>
      <w:r w:rsidRPr="00BD101B">
        <w:rPr>
          <w:rFonts w:ascii="Times New Roman" w:eastAsia="Times New Roman" w:hAnsi="Times New Roman" w:cs="Times New Roman"/>
          <w:color w:val="333333"/>
          <w:sz w:val="24"/>
          <w:szCs w:val="24"/>
          <w:lang w:val="en-US"/>
        </w:rPr>
        <w:t xml:space="preserve">egislation that gives a distinct definition of what amounts to harm an individual is subjected to. This legislation is deemed to conform with the principle of fair labelling by giving a crime definition which the victim is subjected to as this will aid the offender to have full knowledge of the crime that he or she is being accused of committing and the reasons for the punishment. This proposal has been </w:t>
      </w:r>
      <w:proofErr w:type="spellStart"/>
      <w:r w:rsidRPr="00BD101B">
        <w:rPr>
          <w:rFonts w:ascii="Times New Roman" w:eastAsia="Times New Roman" w:hAnsi="Times New Roman" w:cs="Times New Roman"/>
          <w:color w:val="333333"/>
          <w:sz w:val="24"/>
          <w:szCs w:val="24"/>
          <w:lang w:val="en-US"/>
        </w:rPr>
        <w:t>critici</w:t>
      </w:r>
      <w:r w:rsidR="003E301B">
        <w:rPr>
          <w:rFonts w:ascii="Times New Roman" w:eastAsia="Times New Roman" w:hAnsi="Times New Roman" w:cs="Times New Roman"/>
          <w:color w:val="333333"/>
          <w:sz w:val="24"/>
          <w:szCs w:val="24"/>
          <w:lang w:val="en-US"/>
        </w:rPr>
        <w:t>se</w:t>
      </w:r>
      <w:r w:rsidRPr="00BD101B">
        <w:rPr>
          <w:rFonts w:ascii="Times New Roman" w:eastAsia="Times New Roman" w:hAnsi="Times New Roman" w:cs="Times New Roman"/>
          <w:color w:val="333333"/>
          <w:sz w:val="24"/>
          <w:szCs w:val="24"/>
          <w:lang w:val="en-US"/>
        </w:rPr>
        <w:t>d</w:t>
      </w:r>
      <w:proofErr w:type="spellEnd"/>
      <w:r w:rsidRPr="00BD101B">
        <w:rPr>
          <w:rFonts w:ascii="Times New Roman" w:eastAsia="Times New Roman" w:hAnsi="Times New Roman" w:cs="Times New Roman"/>
          <w:color w:val="333333"/>
          <w:sz w:val="24"/>
          <w:szCs w:val="24"/>
          <w:lang w:val="en-US"/>
        </w:rPr>
        <w:t xml:space="preserve"> as there is a high probability that there will be a high number of appeals by offenders on the conviction on the grounds that they were not charged with a correct assault. This would undermine the need for courts to be more efficient </w:t>
      </w:r>
      <w:r w:rsidR="003E301B">
        <w:rPr>
          <w:rFonts w:ascii="Times New Roman" w:eastAsia="Times New Roman" w:hAnsi="Times New Roman" w:cs="Times New Roman"/>
          <w:color w:val="333333"/>
          <w:sz w:val="24"/>
          <w:szCs w:val="24"/>
          <w:lang w:val="en-US"/>
        </w:rPr>
        <w:t>by c</w:t>
      </w:r>
      <w:r w:rsidRPr="00BD101B">
        <w:rPr>
          <w:rFonts w:ascii="Times New Roman" w:eastAsia="Times New Roman" w:hAnsi="Times New Roman" w:cs="Times New Roman"/>
          <w:color w:val="333333"/>
          <w:sz w:val="24"/>
          <w:szCs w:val="24"/>
          <w:lang w:val="en-US"/>
        </w:rPr>
        <w:t>reating more burden on the criminal justice system. </w:t>
      </w:r>
    </w:p>
    <w:p w14:paraId="5C7AD385" w14:textId="39A87449" w:rsid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color w:val="333333"/>
          <w:sz w:val="24"/>
          <w:szCs w:val="24"/>
          <w:lang w:val="en-US"/>
        </w:rPr>
      </w:pPr>
      <w:r w:rsidRPr="00BD101B">
        <w:rPr>
          <w:rFonts w:ascii="Times New Roman" w:eastAsia="Times New Roman" w:hAnsi="Times New Roman" w:cs="Times New Roman"/>
          <w:color w:val="333333"/>
          <w:sz w:val="24"/>
          <w:szCs w:val="24"/>
          <w:lang w:val="en-US"/>
        </w:rPr>
        <w:t>There is need for the reforms of the Offences Against the Person Act 1861. Its shortcoming</w:t>
      </w:r>
      <w:r w:rsidR="003E301B">
        <w:rPr>
          <w:rFonts w:ascii="Times New Roman" w:eastAsia="Times New Roman" w:hAnsi="Times New Roman" w:cs="Times New Roman"/>
          <w:color w:val="333333"/>
          <w:sz w:val="24"/>
          <w:szCs w:val="24"/>
          <w:lang w:val="en-US"/>
        </w:rPr>
        <w:t>s</w:t>
      </w:r>
      <w:r w:rsidRPr="00BD101B">
        <w:rPr>
          <w:rFonts w:ascii="Times New Roman" w:eastAsia="Times New Roman" w:hAnsi="Times New Roman" w:cs="Times New Roman"/>
          <w:color w:val="333333"/>
          <w:sz w:val="24"/>
          <w:szCs w:val="24"/>
          <w:lang w:val="en-US"/>
        </w:rPr>
        <w:t xml:space="preserve"> </w:t>
      </w:r>
      <w:proofErr w:type="gramStart"/>
      <w:r w:rsidRPr="00BD101B">
        <w:rPr>
          <w:rFonts w:ascii="Times New Roman" w:eastAsia="Times New Roman" w:hAnsi="Times New Roman" w:cs="Times New Roman"/>
          <w:color w:val="333333"/>
          <w:sz w:val="24"/>
          <w:szCs w:val="24"/>
          <w:lang w:val="en-US"/>
        </w:rPr>
        <w:t>undermines</w:t>
      </w:r>
      <w:proofErr w:type="gramEnd"/>
      <w:r w:rsidRPr="00BD101B">
        <w:rPr>
          <w:rFonts w:ascii="Times New Roman" w:eastAsia="Times New Roman" w:hAnsi="Times New Roman" w:cs="Times New Roman"/>
          <w:color w:val="333333"/>
          <w:sz w:val="24"/>
          <w:szCs w:val="24"/>
          <w:lang w:val="en-US"/>
        </w:rPr>
        <w:t xml:space="preserve"> public interest. Some of the shortcoming</w:t>
      </w:r>
      <w:r w:rsidR="003E301B">
        <w:rPr>
          <w:rFonts w:ascii="Times New Roman" w:eastAsia="Times New Roman" w:hAnsi="Times New Roman" w:cs="Times New Roman"/>
          <w:color w:val="333333"/>
          <w:sz w:val="24"/>
          <w:szCs w:val="24"/>
          <w:lang w:val="en-US"/>
        </w:rPr>
        <w:t>s</w:t>
      </w:r>
      <w:r w:rsidRPr="00BD101B">
        <w:rPr>
          <w:rFonts w:ascii="Times New Roman" w:eastAsia="Times New Roman" w:hAnsi="Times New Roman" w:cs="Times New Roman"/>
          <w:color w:val="333333"/>
          <w:sz w:val="24"/>
          <w:szCs w:val="24"/>
          <w:lang w:val="en-US"/>
        </w:rPr>
        <w:t xml:space="preserve"> include archaic and traditional language, flawed hierarchy of offences, non-recognition of psychological injury and the lack of definitions of key terms or phrases. The OAPA </w:t>
      </w:r>
      <w:r w:rsidR="003E301B">
        <w:rPr>
          <w:rFonts w:ascii="Times New Roman" w:eastAsia="Times New Roman" w:hAnsi="Times New Roman" w:cs="Times New Roman"/>
          <w:color w:val="333333"/>
          <w:sz w:val="24"/>
          <w:szCs w:val="24"/>
          <w:lang w:val="en-US"/>
        </w:rPr>
        <w:t xml:space="preserve">was </w:t>
      </w:r>
      <w:r w:rsidRPr="00BD101B">
        <w:rPr>
          <w:rFonts w:ascii="Times New Roman" w:eastAsia="Times New Roman" w:hAnsi="Times New Roman" w:cs="Times New Roman"/>
          <w:color w:val="333333"/>
          <w:sz w:val="24"/>
          <w:szCs w:val="24"/>
          <w:lang w:val="en-US"/>
        </w:rPr>
        <w:t xml:space="preserve">enacted in 1861 which is over 150 years ago, hence due to the constant evolution of dynamics of the society, the legislation </w:t>
      </w:r>
      <w:proofErr w:type="gramStart"/>
      <w:r w:rsidRPr="00BD101B">
        <w:rPr>
          <w:rFonts w:ascii="Times New Roman" w:eastAsia="Times New Roman" w:hAnsi="Times New Roman" w:cs="Times New Roman"/>
          <w:color w:val="333333"/>
          <w:sz w:val="24"/>
          <w:szCs w:val="24"/>
          <w:lang w:val="en-US"/>
        </w:rPr>
        <w:t>is considered to be</w:t>
      </w:r>
      <w:proofErr w:type="gramEnd"/>
      <w:r w:rsidRPr="00BD101B">
        <w:rPr>
          <w:rFonts w:ascii="Times New Roman" w:eastAsia="Times New Roman" w:hAnsi="Times New Roman" w:cs="Times New Roman"/>
          <w:color w:val="333333"/>
          <w:sz w:val="24"/>
          <w:szCs w:val="24"/>
          <w:lang w:val="en-US"/>
        </w:rPr>
        <w:t xml:space="preserve"> non-responsive to the current context. Judges and juries experience a lot of difficulty in making judgments on offences captured in the OAPA. There </w:t>
      </w:r>
      <w:r w:rsidR="008A44FC">
        <w:rPr>
          <w:rFonts w:ascii="Times New Roman" w:eastAsia="Times New Roman" w:hAnsi="Times New Roman" w:cs="Times New Roman"/>
          <w:color w:val="333333"/>
          <w:sz w:val="24"/>
          <w:szCs w:val="24"/>
          <w:lang w:val="en-US"/>
        </w:rPr>
        <w:t>are</w:t>
      </w:r>
      <w:r w:rsidRPr="00BD101B">
        <w:rPr>
          <w:rFonts w:ascii="Times New Roman" w:eastAsia="Times New Roman" w:hAnsi="Times New Roman" w:cs="Times New Roman"/>
          <w:color w:val="333333"/>
          <w:sz w:val="24"/>
          <w:szCs w:val="24"/>
          <w:lang w:val="en-US"/>
        </w:rPr>
        <w:t xml:space="preserve"> a lot of inconsistenc</w:t>
      </w:r>
      <w:r w:rsidR="008A44FC">
        <w:rPr>
          <w:rFonts w:ascii="Times New Roman" w:eastAsia="Times New Roman" w:hAnsi="Times New Roman" w:cs="Times New Roman"/>
          <w:color w:val="333333"/>
          <w:sz w:val="24"/>
          <w:szCs w:val="24"/>
          <w:lang w:val="en-US"/>
        </w:rPr>
        <w:t>i</w:t>
      </w:r>
      <w:r w:rsidRPr="00BD101B">
        <w:rPr>
          <w:rFonts w:ascii="Times New Roman" w:eastAsia="Times New Roman" w:hAnsi="Times New Roman" w:cs="Times New Roman"/>
          <w:color w:val="333333"/>
          <w:sz w:val="24"/>
          <w:szCs w:val="24"/>
          <w:lang w:val="en-US"/>
        </w:rPr>
        <w:t xml:space="preserve">es in the judgments that are given by the courts hence creating a lot of uncertainty of the law. There is </w:t>
      </w:r>
      <w:r w:rsidR="003E301B">
        <w:rPr>
          <w:rFonts w:ascii="Times New Roman" w:eastAsia="Times New Roman" w:hAnsi="Times New Roman" w:cs="Times New Roman"/>
          <w:color w:val="333333"/>
          <w:sz w:val="24"/>
          <w:szCs w:val="24"/>
          <w:lang w:val="en-US"/>
        </w:rPr>
        <w:t xml:space="preserve">a </w:t>
      </w:r>
      <w:r w:rsidRPr="00BD101B">
        <w:rPr>
          <w:rFonts w:ascii="Times New Roman" w:eastAsia="Times New Roman" w:hAnsi="Times New Roman" w:cs="Times New Roman"/>
          <w:color w:val="333333"/>
          <w:sz w:val="24"/>
          <w:szCs w:val="24"/>
          <w:lang w:val="en-US"/>
        </w:rPr>
        <w:t xml:space="preserve">need for consolidating the reforms proposed by the Home Office, Law Commission and those </w:t>
      </w:r>
      <w:r w:rsidRPr="00BD101B">
        <w:rPr>
          <w:rFonts w:ascii="Times New Roman" w:eastAsia="Times New Roman" w:hAnsi="Times New Roman" w:cs="Times New Roman"/>
          <w:color w:val="333333"/>
          <w:sz w:val="24"/>
          <w:szCs w:val="24"/>
          <w:lang w:val="en-US"/>
        </w:rPr>
        <w:lastRenderedPageBreak/>
        <w:t>listed in the 2014 – 2015 scoping paper as they give</w:t>
      </w:r>
      <w:r w:rsidR="003E301B">
        <w:rPr>
          <w:rFonts w:ascii="Times New Roman" w:eastAsia="Times New Roman" w:hAnsi="Times New Roman" w:cs="Times New Roman"/>
          <w:color w:val="333333"/>
          <w:sz w:val="24"/>
          <w:szCs w:val="24"/>
          <w:lang w:val="en-US"/>
        </w:rPr>
        <w:t xml:space="preserve"> a</w:t>
      </w:r>
      <w:r w:rsidRPr="00BD101B">
        <w:rPr>
          <w:rFonts w:ascii="Times New Roman" w:eastAsia="Times New Roman" w:hAnsi="Times New Roman" w:cs="Times New Roman"/>
          <w:color w:val="333333"/>
          <w:sz w:val="24"/>
          <w:szCs w:val="24"/>
          <w:lang w:val="en-US"/>
        </w:rPr>
        <w:t xml:space="preserve"> clear definition of key terms, provide a clear hierarchy of the offences, and widens the scope of the offences. </w:t>
      </w:r>
    </w:p>
    <w:p w14:paraId="39192505"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p>
    <w:p w14:paraId="6F118EFF" w14:textId="14AE1526" w:rsidR="00BD101B" w:rsidRPr="00BD101B" w:rsidRDefault="00BD101B" w:rsidP="00BD101B">
      <w:pPr>
        <w:spacing w:before="100" w:beforeAutospacing="1" w:after="100" w:afterAutospacing="1" w:line="480" w:lineRule="auto"/>
        <w:jc w:val="center"/>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b/>
          <w:bCs/>
          <w:color w:val="333333"/>
          <w:sz w:val="24"/>
          <w:szCs w:val="24"/>
          <w:lang w:val="en-US"/>
        </w:rPr>
        <w:t>REFERENCES</w:t>
      </w:r>
    </w:p>
    <w:p w14:paraId="0FA7CC3E"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b/>
          <w:bCs/>
          <w:color w:val="333333"/>
          <w:sz w:val="24"/>
          <w:szCs w:val="24"/>
          <w:lang w:val="en-US"/>
        </w:rPr>
        <w:t>Legislation</w:t>
      </w:r>
      <w:r w:rsidRPr="00BD101B">
        <w:rPr>
          <w:rFonts w:ascii="Times New Roman" w:eastAsia="Times New Roman" w:hAnsi="Times New Roman" w:cs="Times New Roman"/>
          <w:color w:val="333333"/>
          <w:sz w:val="24"/>
          <w:szCs w:val="24"/>
          <w:lang w:val="en-US"/>
        </w:rPr>
        <w:t> </w:t>
      </w:r>
    </w:p>
    <w:p w14:paraId="335326E3"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Offences Against the Person Act </w:t>
      </w:r>
    </w:p>
    <w:p w14:paraId="1807AD6E"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b/>
          <w:bCs/>
          <w:color w:val="333333"/>
          <w:sz w:val="24"/>
          <w:szCs w:val="24"/>
          <w:lang w:val="en-US"/>
        </w:rPr>
        <w:t>Case laws</w:t>
      </w:r>
      <w:r w:rsidRPr="00BD101B">
        <w:rPr>
          <w:rFonts w:ascii="Times New Roman" w:eastAsia="Times New Roman" w:hAnsi="Times New Roman" w:cs="Times New Roman"/>
          <w:color w:val="333333"/>
          <w:sz w:val="24"/>
          <w:szCs w:val="24"/>
          <w:lang w:val="en-US"/>
        </w:rPr>
        <w:t> </w:t>
      </w:r>
    </w:p>
    <w:p w14:paraId="79951C11"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DPP v Smith (1961) AC 290 </w:t>
      </w:r>
    </w:p>
    <w:p w14:paraId="6862A079"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 xml:space="preserve">Faulkner v </w:t>
      </w:r>
      <w:proofErr w:type="spellStart"/>
      <w:r w:rsidRPr="00BD101B">
        <w:rPr>
          <w:rFonts w:ascii="Times New Roman" w:eastAsia="Times New Roman" w:hAnsi="Times New Roman" w:cs="Times New Roman"/>
          <w:color w:val="333333"/>
          <w:sz w:val="24"/>
          <w:szCs w:val="24"/>
          <w:lang w:val="en-US"/>
        </w:rPr>
        <w:t>Tablot</w:t>
      </w:r>
      <w:proofErr w:type="spellEnd"/>
      <w:r w:rsidRPr="00BD101B">
        <w:rPr>
          <w:rFonts w:ascii="Times New Roman" w:eastAsia="Times New Roman" w:hAnsi="Times New Roman" w:cs="Times New Roman"/>
          <w:color w:val="333333"/>
          <w:sz w:val="24"/>
          <w:szCs w:val="24"/>
          <w:lang w:val="en-US"/>
        </w:rPr>
        <w:t xml:space="preserve"> (1981) 3 All ER 468 </w:t>
      </w:r>
    </w:p>
    <w:p w14:paraId="2AB33C2B"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JCC v Eisenhower [1984] QB 331 </w:t>
      </w:r>
    </w:p>
    <w:p w14:paraId="3917FAEA"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 xml:space="preserve">R v </w:t>
      </w:r>
      <w:proofErr w:type="spellStart"/>
      <w:r w:rsidRPr="00BD101B">
        <w:rPr>
          <w:rFonts w:ascii="Times New Roman" w:eastAsia="Times New Roman" w:hAnsi="Times New Roman" w:cs="Times New Roman"/>
          <w:color w:val="333333"/>
          <w:sz w:val="24"/>
          <w:szCs w:val="24"/>
          <w:lang w:val="en-US"/>
        </w:rPr>
        <w:t>Bustow</w:t>
      </w:r>
      <w:proofErr w:type="spellEnd"/>
      <w:r w:rsidRPr="00BD101B">
        <w:rPr>
          <w:rFonts w:ascii="Times New Roman" w:eastAsia="Times New Roman" w:hAnsi="Times New Roman" w:cs="Times New Roman"/>
          <w:color w:val="333333"/>
          <w:sz w:val="24"/>
          <w:szCs w:val="24"/>
          <w:lang w:val="en-US"/>
        </w:rPr>
        <w:t xml:space="preserve"> (1997) UKHL 34 </w:t>
      </w:r>
    </w:p>
    <w:p w14:paraId="6801ACCF"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R v Constanza</w:t>
      </w:r>
      <w:r w:rsidRPr="00BD101B">
        <w:rPr>
          <w:rFonts w:ascii="Times New Roman" w:eastAsia="Times New Roman" w:hAnsi="Times New Roman" w:cs="Times New Roman"/>
          <w:color w:val="202124"/>
          <w:sz w:val="24"/>
          <w:szCs w:val="24"/>
          <w:lang w:val="en-US"/>
        </w:rPr>
        <w:t xml:space="preserve"> </w:t>
      </w:r>
      <w:r w:rsidRPr="00BD101B">
        <w:rPr>
          <w:rFonts w:ascii="Times New Roman" w:eastAsia="Times New Roman" w:hAnsi="Times New Roman" w:cs="Times New Roman"/>
          <w:color w:val="333333"/>
          <w:sz w:val="24"/>
          <w:szCs w:val="24"/>
          <w:lang w:val="en-US"/>
        </w:rPr>
        <w:t>[1997] Crim LR 576 </w:t>
      </w:r>
    </w:p>
    <w:p w14:paraId="234F7E2F"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 xml:space="preserve">R v Cunningham </w:t>
      </w:r>
      <w:r w:rsidRPr="00BD101B">
        <w:rPr>
          <w:rFonts w:ascii="Times New Roman" w:eastAsia="Times New Roman" w:hAnsi="Times New Roman" w:cs="Times New Roman"/>
          <w:color w:val="4D5156"/>
          <w:sz w:val="24"/>
          <w:szCs w:val="24"/>
          <w:lang w:val="en-US"/>
        </w:rPr>
        <w:t>[</w:t>
      </w:r>
      <w:r w:rsidRPr="00BD101B">
        <w:rPr>
          <w:rFonts w:ascii="Times New Roman" w:eastAsia="Times New Roman" w:hAnsi="Times New Roman" w:cs="Times New Roman"/>
          <w:i/>
          <w:iCs/>
          <w:color w:val="5F6368"/>
          <w:sz w:val="24"/>
          <w:szCs w:val="24"/>
          <w:lang w:val="en-US"/>
        </w:rPr>
        <w:t>1957</w:t>
      </w:r>
      <w:r w:rsidRPr="00BD101B">
        <w:rPr>
          <w:rFonts w:ascii="Times New Roman" w:eastAsia="Times New Roman" w:hAnsi="Times New Roman" w:cs="Times New Roman"/>
          <w:color w:val="4D5156"/>
          <w:sz w:val="24"/>
          <w:szCs w:val="24"/>
          <w:lang w:val="en-US"/>
        </w:rPr>
        <w:t>] 2 QB 396 </w:t>
      </w:r>
    </w:p>
    <w:p w14:paraId="3BA883A7"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R v Ireland (1997) 3 WLR 534 </w:t>
      </w:r>
    </w:p>
    <w:p w14:paraId="4ACF6872"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R v Lynsey (1995) 3 All ER 654 </w:t>
      </w:r>
    </w:p>
    <w:p w14:paraId="11E6C1E5"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R v Martin</w:t>
      </w:r>
      <w:r w:rsidRPr="00BD101B">
        <w:rPr>
          <w:rFonts w:ascii="Times New Roman" w:eastAsia="Times New Roman" w:hAnsi="Times New Roman" w:cs="Times New Roman"/>
          <w:color w:val="4D5156"/>
          <w:sz w:val="24"/>
          <w:szCs w:val="24"/>
          <w:lang w:val="en-US"/>
        </w:rPr>
        <w:t xml:space="preserve"> </w:t>
      </w:r>
      <w:r w:rsidRPr="00BD101B">
        <w:rPr>
          <w:rFonts w:ascii="Times New Roman" w:eastAsia="Times New Roman" w:hAnsi="Times New Roman" w:cs="Times New Roman"/>
          <w:color w:val="333333"/>
          <w:sz w:val="24"/>
          <w:szCs w:val="24"/>
          <w:lang w:val="en-US"/>
        </w:rPr>
        <w:t>(1881) 8 QBD 54  </w:t>
      </w:r>
    </w:p>
    <w:p w14:paraId="5CA937EB"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R v Wilson (1996) 2 Cr App Rep 241 </w:t>
      </w:r>
    </w:p>
    <w:p w14:paraId="62D32862"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b/>
          <w:bCs/>
          <w:sz w:val="24"/>
          <w:szCs w:val="24"/>
          <w:lang w:val="en-US"/>
        </w:rPr>
        <w:lastRenderedPageBreak/>
        <w:t>Journals</w:t>
      </w:r>
      <w:r w:rsidRPr="00BD101B">
        <w:rPr>
          <w:rFonts w:ascii="Times New Roman" w:eastAsia="Times New Roman" w:hAnsi="Times New Roman" w:cs="Times New Roman"/>
          <w:sz w:val="24"/>
          <w:szCs w:val="24"/>
          <w:lang w:val="en-US"/>
        </w:rPr>
        <w:t> </w:t>
      </w:r>
    </w:p>
    <w:p w14:paraId="59C114A9"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sz w:val="24"/>
          <w:szCs w:val="24"/>
          <w:lang w:val="en-US"/>
        </w:rPr>
        <w:t xml:space="preserve">Cowley, D., 1991. The Mental element in Non-Fatal Offences against the Person. </w:t>
      </w:r>
      <w:r w:rsidRPr="00BD101B">
        <w:rPr>
          <w:rFonts w:ascii="Times New Roman" w:eastAsia="Times New Roman" w:hAnsi="Times New Roman" w:cs="Times New Roman"/>
          <w:i/>
          <w:iCs/>
          <w:sz w:val="24"/>
          <w:szCs w:val="24"/>
          <w:lang w:val="en-US"/>
        </w:rPr>
        <w:t xml:space="preserve">The Journal of Criminal Law, </w:t>
      </w:r>
      <w:r w:rsidRPr="00BD101B">
        <w:rPr>
          <w:rFonts w:ascii="Times New Roman" w:eastAsia="Times New Roman" w:hAnsi="Times New Roman" w:cs="Times New Roman"/>
          <w:sz w:val="24"/>
          <w:szCs w:val="24"/>
          <w:lang w:val="en-US"/>
        </w:rPr>
        <w:t>55(2), pp. 216-220. </w:t>
      </w:r>
    </w:p>
    <w:p w14:paraId="5F428829"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sz w:val="24"/>
          <w:szCs w:val="24"/>
          <w:lang w:val="en-US"/>
        </w:rPr>
        <w:t xml:space="preserve">Jefferson, M., 2012. Offences Against the Person: Into the 21st Century. </w:t>
      </w:r>
      <w:r w:rsidRPr="00BD101B">
        <w:rPr>
          <w:rFonts w:ascii="Times New Roman" w:eastAsia="Times New Roman" w:hAnsi="Times New Roman" w:cs="Times New Roman"/>
          <w:i/>
          <w:iCs/>
          <w:sz w:val="24"/>
          <w:szCs w:val="24"/>
          <w:lang w:val="en-US"/>
        </w:rPr>
        <w:t xml:space="preserve">The Journal of Criminal Law, </w:t>
      </w:r>
      <w:r w:rsidRPr="00BD101B">
        <w:rPr>
          <w:rFonts w:ascii="Times New Roman" w:eastAsia="Times New Roman" w:hAnsi="Times New Roman" w:cs="Times New Roman"/>
          <w:sz w:val="24"/>
          <w:szCs w:val="24"/>
          <w:lang w:val="en-US"/>
        </w:rPr>
        <w:t>76(6), pp. 472-492. </w:t>
      </w:r>
    </w:p>
    <w:p w14:paraId="166E74E6"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proofErr w:type="spellStart"/>
      <w:r w:rsidRPr="00BD101B">
        <w:rPr>
          <w:rFonts w:ascii="Times New Roman" w:eastAsia="Times New Roman" w:hAnsi="Times New Roman" w:cs="Times New Roman"/>
          <w:sz w:val="24"/>
          <w:szCs w:val="24"/>
          <w:lang w:val="en-US"/>
        </w:rPr>
        <w:t>McCombe</w:t>
      </w:r>
      <w:proofErr w:type="spellEnd"/>
      <w:r w:rsidRPr="00BD101B">
        <w:rPr>
          <w:rFonts w:ascii="Times New Roman" w:eastAsia="Times New Roman" w:hAnsi="Times New Roman" w:cs="Times New Roman"/>
          <w:sz w:val="24"/>
          <w:szCs w:val="24"/>
          <w:lang w:val="en-US"/>
        </w:rPr>
        <w:t>, C. A., 2017. Non-Fatal Offences Against the Person: Complexities, Difficulties and Reforms.  </w:t>
      </w:r>
    </w:p>
    <w:p w14:paraId="26875387"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sz w:val="24"/>
          <w:szCs w:val="24"/>
          <w:lang w:val="en-US"/>
        </w:rPr>
        <w:t xml:space="preserve">Reed, A., 1995. Offences against the Person: The Need for Reform. </w:t>
      </w:r>
      <w:r w:rsidRPr="00BD101B">
        <w:rPr>
          <w:rFonts w:ascii="Times New Roman" w:eastAsia="Times New Roman" w:hAnsi="Times New Roman" w:cs="Times New Roman"/>
          <w:i/>
          <w:iCs/>
          <w:sz w:val="24"/>
          <w:szCs w:val="24"/>
          <w:lang w:val="en-US"/>
        </w:rPr>
        <w:t xml:space="preserve">The Journal of Criminal Law, </w:t>
      </w:r>
      <w:r w:rsidRPr="00BD101B">
        <w:rPr>
          <w:rFonts w:ascii="Times New Roman" w:eastAsia="Times New Roman" w:hAnsi="Times New Roman" w:cs="Times New Roman"/>
          <w:sz w:val="24"/>
          <w:szCs w:val="24"/>
          <w:lang w:val="en-US"/>
        </w:rPr>
        <w:t>59(2), pp. 187 - 197. </w:t>
      </w:r>
    </w:p>
    <w:p w14:paraId="309C2FD2"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sz w:val="24"/>
          <w:szCs w:val="24"/>
          <w:lang w:val="en-US"/>
        </w:rPr>
        <w:t xml:space="preserve">Rosen, E., 1999. Offences Against the Person. </w:t>
      </w:r>
      <w:r w:rsidRPr="00BD101B">
        <w:rPr>
          <w:rFonts w:ascii="Times New Roman" w:eastAsia="Times New Roman" w:hAnsi="Times New Roman" w:cs="Times New Roman"/>
          <w:i/>
          <w:iCs/>
          <w:sz w:val="24"/>
          <w:szCs w:val="24"/>
          <w:lang w:val="en-US"/>
        </w:rPr>
        <w:t>Routledge.</w:t>
      </w:r>
      <w:r w:rsidRPr="00BD101B">
        <w:rPr>
          <w:rFonts w:ascii="Times New Roman" w:eastAsia="Times New Roman" w:hAnsi="Times New Roman" w:cs="Times New Roman"/>
          <w:sz w:val="24"/>
          <w:szCs w:val="24"/>
          <w:lang w:val="en-US"/>
        </w:rPr>
        <w:t> </w:t>
      </w:r>
    </w:p>
    <w:p w14:paraId="72E35398"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sz w:val="24"/>
          <w:szCs w:val="24"/>
          <w:lang w:val="en-US"/>
        </w:rPr>
        <w:t>  </w:t>
      </w:r>
    </w:p>
    <w:p w14:paraId="160AD2ED"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  </w:t>
      </w:r>
    </w:p>
    <w:p w14:paraId="384A865F"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  </w:t>
      </w:r>
    </w:p>
    <w:p w14:paraId="1E11ADCD"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Times New Roman" w:eastAsia="Times New Roman" w:hAnsi="Times New Roman" w:cs="Times New Roman"/>
          <w:color w:val="333333"/>
          <w:sz w:val="24"/>
          <w:szCs w:val="24"/>
          <w:lang w:val="en-US"/>
        </w:rPr>
        <w:t> </w:t>
      </w:r>
    </w:p>
    <w:p w14:paraId="2745494C" w14:textId="77777777" w:rsidR="00BD101B" w:rsidRPr="00BD101B" w:rsidRDefault="00BD101B" w:rsidP="00BD101B">
      <w:pPr>
        <w:spacing w:before="100" w:beforeAutospacing="1" w:after="100" w:afterAutospacing="1" w:line="480" w:lineRule="auto"/>
        <w:jc w:val="both"/>
        <w:textAlignment w:val="baseline"/>
        <w:rPr>
          <w:rFonts w:ascii="Times New Roman" w:eastAsia="Times New Roman" w:hAnsi="Times New Roman" w:cs="Times New Roman"/>
          <w:sz w:val="24"/>
          <w:szCs w:val="24"/>
          <w:lang w:val="en-US"/>
        </w:rPr>
      </w:pPr>
      <w:r w:rsidRPr="00BD101B">
        <w:rPr>
          <w:rFonts w:ascii="Calibri" w:eastAsia="Times New Roman" w:hAnsi="Calibri" w:cs="Calibri"/>
          <w:lang w:val="en-US"/>
        </w:rPr>
        <w:t> </w:t>
      </w:r>
    </w:p>
    <w:p w14:paraId="45379297" w14:textId="4628DDEA" w:rsidR="005B4DD3" w:rsidRPr="00BD101B" w:rsidRDefault="005B4DD3" w:rsidP="00BD101B">
      <w:pPr>
        <w:spacing w:line="480" w:lineRule="auto"/>
        <w:jc w:val="both"/>
      </w:pPr>
    </w:p>
    <w:sectPr w:rsidR="005B4DD3" w:rsidRPr="00BD10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B1F71"/>
    <w:multiLevelType w:val="multilevel"/>
    <w:tmpl w:val="F000E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zMzQzsLAwtjC2NDFT0lEKTi0uzszPAykwrAUA2dAzNSwAAAA="/>
  </w:docVars>
  <w:rsids>
    <w:rsidRoot w:val="00FB49D5"/>
    <w:rsid w:val="00055434"/>
    <w:rsid w:val="000802C4"/>
    <w:rsid w:val="001D3766"/>
    <w:rsid w:val="001F01CC"/>
    <w:rsid w:val="002268A2"/>
    <w:rsid w:val="00254244"/>
    <w:rsid w:val="003658BB"/>
    <w:rsid w:val="003E301B"/>
    <w:rsid w:val="003E6251"/>
    <w:rsid w:val="00401FEC"/>
    <w:rsid w:val="00480ADF"/>
    <w:rsid w:val="005A5A26"/>
    <w:rsid w:val="005B4DD3"/>
    <w:rsid w:val="00694BA5"/>
    <w:rsid w:val="006A32D4"/>
    <w:rsid w:val="0083764C"/>
    <w:rsid w:val="00841B07"/>
    <w:rsid w:val="00853113"/>
    <w:rsid w:val="008A44FC"/>
    <w:rsid w:val="00942091"/>
    <w:rsid w:val="009E5E70"/>
    <w:rsid w:val="00A11DF2"/>
    <w:rsid w:val="00A64076"/>
    <w:rsid w:val="00B703C6"/>
    <w:rsid w:val="00B71546"/>
    <w:rsid w:val="00BD101B"/>
    <w:rsid w:val="00BF02AC"/>
    <w:rsid w:val="00C42CA2"/>
    <w:rsid w:val="00CA34EA"/>
    <w:rsid w:val="00D7354B"/>
    <w:rsid w:val="00DE579D"/>
    <w:rsid w:val="00E1580D"/>
    <w:rsid w:val="00E32204"/>
    <w:rsid w:val="00E919CC"/>
    <w:rsid w:val="00F4329F"/>
    <w:rsid w:val="00FB22B0"/>
    <w:rsid w:val="00FB49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E1282"/>
  <w15:chartTrackingRefBased/>
  <w15:docId w15:val="{BEDA03C5-CB85-4668-9E85-9CC6B3447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580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link w:val="Heading3Char"/>
    <w:uiPriority w:val="9"/>
    <w:qFormat/>
    <w:rsid w:val="00254244"/>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254244"/>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B49D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254244"/>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254244"/>
    <w:rPr>
      <w:rFonts w:ascii="Times New Roman" w:eastAsia="Times New Roman" w:hAnsi="Times New Roman" w:cs="Times New Roman"/>
      <w:b/>
      <w:bCs/>
      <w:sz w:val="24"/>
      <w:szCs w:val="24"/>
    </w:rPr>
  </w:style>
  <w:style w:type="character" w:styleId="Hyperlink">
    <w:name w:val="Hyperlink"/>
    <w:basedOn w:val="DefaultParagraphFont"/>
    <w:uiPriority w:val="99"/>
    <w:semiHidden/>
    <w:unhideWhenUsed/>
    <w:rsid w:val="00CA34EA"/>
    <w:rPr>
      <w:color w:val="0000FF"/>
      <w:u w:val="single"/>
    </w:rPr>
  </w:style>
  <w:style w:type="character" w:styleId="Strong">
    <w:name w:val="Strong"/>
    <w:basedOn w:val="DefaultParagraphFont"/>
    <w:uiPriority w:val="22"/>
    <w:qFormat/>
    <w:rsid w:val="00C42CA2"/>
    <w:rPr>
      <w:b/>
      <w:bCs/>
    </w:rPr>
  </w:style>
  <w:style w:type="character" w:styleId="Emphasis">
    <w:name w:val="Emphasis"/>
    <w:basedOn w:val="DefaultParagraphFont"/>
    <w:uiPriority w:val="20"/>
    <w:qFormat/>
    <w:rsid w:val="00C42CA2"/>
    <w:rPr>
      <w:i/>
      <w:iCs/>
    </w:rPr>
  </w:style>
  <w:style w:type="character" w:customStyle="1" w:styleId="Heading1Char">
    <w:name w:val="Heading 1 Char"/>
    <w:basedOn w:val="DefaultParagraphFont"/>
    <w:link w:val="Heading1"/>
    <w:uiPriority w:val="9"/>
    <w:rsid w:val="00E1580D"/>
    <w:rPr>
      <w:rFonts w:asciiTheme="majorHAnsi" w:eastAsiaTheme="majorEastAsia" w:hAnsiTheme="majorHAnsi" w:cstheme="majorBidi"/>
      <w:color w:val="2F5496" w:themeColor="accent1" w:themeShade="BF"/>
      <w:sz w:val="32"/>
      <w:szCs w:val="32"/>
      <w:lang w:val="en-US"/>
    </w:rPr>
  </w:style>
  <w:style w:type="paragraph" w:customStyle="1" w:styleId="paragraph">
    <w:name w:val="paragraph"/>
    <w:basedOn w:val="Normal"/>
    <w:rsid w:val="00E1580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E1580D"/>
  </w:style>
  <w:style w:type="character" w:customStyle="1" w:styleId="eop">
    <w:name w:val="eop"/>
    <w:basedOn w:val="DefaultParagraphFont"/>
    <w:rsid w:val="00E1580D"/>
  </w:style>
  <w:style w:type="paragraph" w:styleId="Bibliography">
    <w:name w:val="Bibliography"/>
    <w:basedOn w:val="Normal"/>
    <w:next w:val="Normal"/>
    <w:uiPriority w:val="37"/>
    <w:unhideWhenUsed/>
    <w:rsid w:val="005B4DD3"/>
  </w:style>
  <w:style w:type="character" w:styleId="CommentReference">
    <w:name w:val="annotation reference"/>
    <w:basedOn w:val="DefaultParagraphFont"/>
    <w:uiPriority w:val="99"/>
    <w:semiHidden/>
    <w:unhideWhenUsed/>
    <w:rsid w:val="008A44FC"/>
    <w:rPr>
      <w:sz w:val="16"/>
      <w:szCs w:val="16"/>
    </w:rPr>
  </w:style>
  <w:style w:type="paragraph" w:styleId="CommentText">
    <w:name w:val="annotation text"/>
    <w:basedOn w:val="Normal"/>
    <w:link w:val="CommentTextChar"/>
    <w:uiPriority w:val="99"/>
    <w:semiHidden/>
    <w:unhideWhenUsed/>
    <w:rsid w:val="008A44FC"/>
    <w:pPr>
      <w:spacing w:line="240" w:lineRule="auto"/>
    </w:pPr>
    <w:rPr>
      <w:sz w:val="20"/>
      <w:szCs w:val="20"/>
    </w:rPr>
  </w:style>
  <w:style w:type="character" w:customStyle="1" w:styleId="CommentTextChar">
    <w:name w:val="Comment Text Char"/>
    <w:basedOn w:val="DefaultParagraphFont"/>
    <w:link w:val="CommentText"/>
    <w:uiPriority w:val="99"/>
    <w:semiHidden/>
    <w:rsid w:val="008A44FC"/>
    <w:rPr>
      <w:sz w:val="20"/>
      <w:szCs w:val="20"/>
    </w:rPr>
  </w:style>
  <w:style w:type="paragraph" w:styleId="CommentSubject">
    <w:name w:val="annotation subject"/>
    <w:basedOn w:val="CommentText"/>
    <w:next w:val="CommentText"/>
    <w:link w:val="CommentSubjectChar"/>
    <w:uiPriority w:val="99"/>
    <w:semiHidden/>
    <w:unhideWhenUsed/>
    <w:rsid w:val="008A44FC"/>
    <w:rPr>
      <w:b/>
      <w:bCs/>
    </w:rPr>
  </w:style>
  <w:style w:type="character" w:customStyle="1" w:styleId="CommentSubjectChar">
    <w:name w:val="Comment Subject Char"/>
    <w:basedOn w:val="CommentTextChar"/>
    <w:link w:val="CommentSubject"/>
    <w:uiPriority w:val="99"/>
    <w:semiHidden/>
    <w:rsid w:val="008A44FC"/>
    <w:rPr>
      <w:b/>
      <w:bCs/>
      <w:sz w:val="20"/>
      <w:szCs w:val="20"/>
    </w:rPr>
  </w:style>
  <w:style w:type="paragraph" w:styleId="BalloonText">
    <w:name w:val="Balloon Text"/>
    <w:basedOn w:val="Normal"/>
    <w:link w:val="BalloonTextChar"/>
    <w:uiPriority w:val="99"/>
    <w:semiHidden/>
    <w:unhideWhenUsed/>
    <w:rsid w:val="00A640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407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23792">
      <w:bodyDiv w:val="1"/>
      <w:marLeft w:val="0"/>
      <w:marRight w:val="0"/>
      <w:marTop w:val="0"/>
      <w:marBottom w:val="0"/>
      <w:divBdr>
        <w:top w:val="none" w:sz="0" w:space="0" w:color="auto"/>
        <w:left w:val="none" w:sz="0" w:space="0" w:color="auto"/>
        <w:bottom w:val="none" w:sz="0" w:space="0" w:color="auto"/>
        <w:right w:val="none" w:sz="0" w:space="0" w:color="auto"/>
      </w:divBdr>
    </w:div>
    <w:div w:id="314068454">
      <w:bodyDiv w:val="1"/>
      <w:marLeft w:val="0"/>
      <w:marRight w:val="0"/>
      <w:marTop w:val="0"/>
      <w:marBottom w:val="0"/>
      <w:divBdr>
        <w:top w:val="none" w:sz="0" w:space="0" w:color="auto"/>
        <w:left w:val="none" w:sz="0" w:space="0" w:color="auto"/>
        <w:bottom w:val="none" w:sz="0" w:space="0" w:color="auto"/>
        <w:right w:val="none" w:sz="0" w:space="0" w:color="auto"/>
      </w:divBdr>
    </w:div>
    <w:div w:id="528372557">
      <w:bodyDiv w:val="1"/>
      <w:marLeft w:val="0"/>
      <w:marRight w:val="0"/>
      <w:marTop w:val="0"/>
      <w:marBottom w:val="0"/>
      <w:divBdr>
        <w:top w:val="none" w:sz="0" w:space="0" w:color="auto"/>
        <w:left w:val="none" w:sz="0" w:space="0" w:color="auto"/>
        <w:bottom w:val="none" w:sz="0" w:space="0" w:color="auto"/>
        <w:right w:val="none" w:sz="0" w:space="0" w:color="auto"/>
      </w:divBdr>
      <w:divsChild>
        <w:div w:id="553200938">
          <w:marLeft w:val="0"/>
          <w:marRight w:val="0"/>
          <w:marTop w:val="0"/>
          <w:marBottom w:val="0"/>
          <w:divBdr>
            <w:top w:val="none" w:sz="0" w:space="0" w:color="auto"/>
            <w:left w:val="none" w:sz="0" w:space="0" w:color="auto"/>
            <w:bottom w:val="none" w:sz="0" w:space="0" w:color="auto"/>
            <w:right w:val="none" w:sz="0" w:space="0" w:color="auto"/>
          </w:divBdr>
        </w:div>
        <w:div w:id="736175127">
          <w:marLeft w:val="0"/>
          <w:marRight w:val="0"/>
          <w:marTop w:val="0"/>
          <w:marBottom w:val="0"/>
          <w:divBdr>
            <w:top w:val="none" w:sz="0" w:space="0" w:color="auto"/>
            <w:left w:val="none" w:sz="0" w:space="0" w:color="auto"/>
            <w:bottom w:val="none" w:sz="0" w:space="0" w:color="auto"/>
            <w:right w:val="none" w:sz="0" w:space="0" w:color="auto"/>
          </w:divBdr>
        </w:div>
        <w:div w:id="609046449">
          <w:marLeft w:val="0"/>
          <w:marRight w:val="0"/>
          <w:marTop w:val="0"/>
          <w:marBottom w:val="0"/>
          <w:divBdr>
            <w:top w:val="none" w:sz="0" w:space="0" w:color="auto"/>
            <w:left w:val="none" w:sz="0" w:space="0" w:color="auto"/>
            <w:bottom w:val="none" w:sz="0" w:space="0" w:color="auto"/>
            <w:right w:val="none" w:sz="0" w:space="0" w:color="auto"/>
          </w:divBdr>
        </w:div>
        <w:div w:id="1418672439">
          <w:marLeft w:val="0"/>
          <w:marRight w:val="0"/>
          <w:marTop w:val="0"/>
          <w:marBottom w:val="0"/>
          <w:divBdr>
            <w:top w:val="none" w:sz="0" w:space="0" w:color="auto"/>
            <w:left w:val="none" w:sz="0" w:space="0" w:color="auto"/>
            <w:bottom w:val="none" w:sz="0" w:space="0" w:color="auto"/>
            <w:right w:val="none" w:sz="0" w:space="0" w:color="auto"/>
          </w:divBdr>
        </w:div>
        <w:div w:id="409697459">
          <w:marLeft w:val="0"/>
          <w:marRight w:val="0"/>
          <w:marTop w:val="0"/>
          <w:marBottom w:val="0"/>
          <w:divBdr>
            <w:top w:val="none" w:sz="0" w:space="0" w:color="auto"/>
            <w:left w:val="none" w:sz="0" w:space="0" w:color="auto"/>
            <w:bottom w:val="none" w:sz="0" w:space="0" w:color="auto"/>
            <w:right w:val="none" w:sz="0" w:space="0" w:color="auto"/>
          </w:divBdr>
        </w:div>
        <w:div w:id="281349625">
          <w:marLeft w:val="0"/>
          <w:marRight w:val="0"/>
          <w:marTop w:val="0"/>
          <w:marBottom w:val="0"/>
          <w:divBdr>
            <w:top w:val="none" w:sz="0" w:space="0" w:color="auto"/>
            <w:left w:val="none" w:sz="0" w:space="0" w:color="auto"/>
            <w:bottom w:val="none" w:sz="0" w:space="0" w:color="auto"/>
            <w:right w:val="none" w:sz="0" w:space="0" w:color="auto"/>
          </w:divBdr>
        </w:div>
        <w:div w:id="362099670">
          <w:marLeft w:val="0"/>
          <w:marRight w:val="0"/>
          <w:marTop w:val="0"/>
          <w:marBottom w:val="0"/>
          <w:divBdr>
            <w:top w:val="none" w:sz="0" w:space="0" w:color="auto"/>
            <w:left w:val="none" w:sz="0" w:space="0" w:color="auto"/>
            <w:bottom w:val="none" w:sz="0" w:space="0" w:color="auto"/>
            <w:right w:val="none" w:sz="0" w:space="0" w:color="auto"/>
          </w:divBdr>
        </w:div>
        <w:div w:id="973021564">
          <w:marLeft w:val="0"/>
          <w:marRight w:val="0"/>
          <w:marTop w:val="0"/>
          <w:marBottom w:val="0"/>
          <w:divBdr>
            <w:top w:val="none" w:sz="0" w:space="0" w:color="auto"/>
            <w:left w:val="none" w:sz="0" w:space="0" w:color="auto"/>
            <w:bottom w:val="none" w:sz="0" w:space="0" w:color="auto"/>
            <w:right w:val="none" w:sz="0" w:space="0" w:color="auto"/>
          </w:divBdr>
        </w:div>
        <w:div w:id="371611401">
          <w:marLeft w:val="0"/>
          <w:marRight w:val="0"/>
          <w:marTop w:val="0"/>
          <w:marBottom w:val="0"/>
          <w:divBdr>
            <w:top w:val="none" w:sz="0" w:space="0" w:color="auto"/>
            <w:left w:val="none" w:sz="0" w:space="0" w:color="auto"/>
            <w:bottom w:val="none" w:sz="0" w:space="0" w:color="auto"/>
            <w:right w:val="none" w:sz="0" w:space="0" w:color="auto"/>
          </w:divBdr>
        </w:div>
        <w:div w:id="200634898">
          <w:marLeft w:val="0"/>
          <w:marRight w:val="0"/>
          <w:marTop w:val="0"/>
          <w:marBottom w:val="0"/>
          <w:divBdr>
            <w:top w:val="none" w:sz="0" w:space="0" w:color="auto"/>
            <w:left w:val="none" w:sz="0" w:space="0" w:color="auto"/>
            <w:bottom w:val="none" w:sz="0" w:space="0" w:color="auto"/>
            <w:right w:val="none" w:sz="0" w:space="0" w:color="auto"/>
          </w:divBdr>
        </w:div>
        <w:div w:id="1308704119">
          <w:marLeft w:val="0"/>
          <w:marRight w:val="0"/>
          <w:marTop w:val="0"/>
          <w:marBottom w:val="0"/>
          <w:divBdr>
            <w:top w:val="none" w:sz="0" w:space="0" w:color="auto"/>
            <w:left w:val="none" w:sz="0" w:space="0" w:color="auto"/>
            <w:bottom w:val="none" w:sz="0" w:space="0" w:color="auto"/>
            <w:right w:val="none" w:sz="0" w:space="0" w:color="auto"/>
          </w:divBdr>
        </w:div>
        <w:div w:id="594872810">
          <w:marLeft w:val="0"/>
          <w:marRight w:val="0"/>
          <w:marTop w:val="0"/>
          <w:marBottom w:val="0"/>
          <w:divBdr>
            <w:top w:val="none" w:sz="0" w:space="0" w:color="auto"/>
            <w:left w:val="none" w:sz="0" w:space="0" w:color="auto"/>
            <w:bottom w:val="none" w:sz="0" w:space="0" w:color="auto"/>
            <w:right w:val="none" w:sz="0" w:space="0" w:color="auto"/>
          </w:divBdr>
        </w:div>
        <w:div w:id="1825511710">
          <w:marLeft w:val="0"/>
          <w:marRight w:val="0"/>
          <w:marTop w:val="0"/>
          <w:marBottom w:val="0"/>
          <w:divBdr>
            <w:top w:val="none" w:sz="0" w:space="0" w:color="auto"/>
            <w:left w:val="none" w:sz="0" w:space="0" w:color="auto"/>
            <w:bottom w:val="none" w:sz="0" w:space="0" w:color="auto"/>
            <w:right w:val="none" w:sz="0" w:space="0" w:color="auto"/>
          </w:divBdr>
        </w:div>
        <w:div w:id="872838544">
          <w:marLeft w:val="0"/>
          <w:marRight w:val="0"/>
          <w:marTop w:val="0"/>
          <w:marBottom w:val="0"/>
          <w:divBdr>
            <w:top w:val="none" w:sz="0" w:space="0" w:color="auto"/>
            <w:left w:val="none" w:sz="0" w:space="0" w:color="auto"/>
            <w:bottom w:val="none" w:sz="0" w:space="0" w:color="auto"/>
            <w:right w:val="none" w:sz="0" w:space="0" w:color="auto"/>
          </w:divBdr>
        </w:div>
        <w:div w:id="1332684833">
          <w:marLeft w:val="0"/>
          <w:marRight w:val="0"/>
          <w:marTop w:val="0"/>
          <w:marBottom w:val="0"/>
          <w:divBdr>
            <w:top w:val="none" w:sz="0" w:space="0" w:color="auto"/>
            <w:left w:val="none" w:sz="0" w:space="0" w:color="auto"/>
            <w:bottom w:val="none" w:sz="0" w:space="0" w:color="auto"/>
            <w:right w:val="none" w:sz="0" w:space="0" w:color="auto"/>
          </w:divBdr>
        </w:div>
        <w:div w:id="538251276">
          <w:marLeft w:val="0"/>
          <w:marRight w:val="0"/>
          <w:marTop w:val="0"/>
          <w:marBottom w:val="0"/>
          <w:divBdr>
            <w:top w:val="none" w:sz="0" w:space="0" w:color="auto"/>
            <w:left w:val="none" w:sz="0" w:space="0" w:color="auto"/>
            <w:bottom w:val="none" w:sz="0" w:space="0" w:color="auto"/>
            <w:right w:val="none" w:sz="0" w:space="0" w:color="auto"/>
          </w:divBdr>
        </w:div>
        <w:div w:id="909004204">
          <w:marLeft w:val="0"/>
          <w:marRight w:val="0"/>
          <w:marTop w:val="0"/>
          <w:marBottom w:val="0"/>
          <w:divBdr>
            <w:top w:val="none" w:sz="0" w:space="0" w:color="auto"/>
            <w:left w:val="none" w:sz="0" w:space="0" w:color="auto"/>
            <w:bottom w:val="none" w:sz="0" w:space="0" w:color="auto"/>
            <w:right w:val="none" w:sz="0" w:space="0" w:color="auto"/>
          </w:divBdr>
        </w:div>
        <w:div w:id="1371420613">
          <w:marLeft w:val="0"/>
          <w:marRight w:val="0"/>
          <w:marTop w:val="0"/>
          <w:marBottom w:val="0"/>
          <w:divBdr>
            <w:top w:val="none" w:sz="0" w:space="0" w:color="auto"/>
            <w:left w:val="none" w:sz="0" w:space="0" w:color="auto"/>
            <w:bottom w:val="none" w:sz="0" w:space="0" w:color="auto"/>
            <w:right w:val="none" w:sz="0" w:space="0" w:color="auto"/>
          </w:divBdr>
        </w:div>
        <w:div w:id="297682848">
          <w:marLeft w:val="0"/>
          <w:marRight w:val="0"/>
          <w:marTop w:val="0"/>
          <w:marBottom w:val="0"/>
          <w:divBdr>
            <w:top w:val="none" w:sz="0" w:space="0" w:color="auto"/>
            <w:left w:val="none" w:sz="0" w:space="0" w:color="auto"/>
            <w:bottom w:val="none" w:sz="0" w:space="0" w:color="auto"/>
            <w:right w:val="none" w:sz="0" w:space="0" w:color="auto"/>
          </w:divBdr>
        </w:div>
        <w:div w:id="1458640047">
          <w:marLeft w:val="0"/>
          <w:marRight w:val="0"/>
          <w:marTop w:val="0"/>
          <w:marBottom w:val="0"/>
          <w:divBdr>
            <w:top w:val="none" w:sz="0" w:space="0" w:color="auto"/>
            <w:left w:val="none" w:sz="0" w:space="0" w:color="auto"/>
            <w:bottom w:val="none" w:sz="0" w:space="0" w:color="auto"/>
            <w:right w:val="none" w:sz="0" w:space="0" w:color="auto"/>
          </w:divBdr>
        </w:div>
        <w:div w:id="18899354">
          <w:marLeft w:val="0"/>
          <w:marRight w:val="0"/>
          <w:marTop w:val="0"/>
          <w:marBottom w:val="0"/>
          <w:divBdr>
            <w:top w:val="none" w:sz="0" w:space="0" w:color="auto"/>
            <w:left w:val="none" w:sz="0" w:space="0" w:color="auto"/>
            <w:bottom w:val="none" w:sz="0" w:space="0" w:color="auto"/>
            <w:right w:val="none" w:sz="0" w:space="0" w:color="auto"/>
          </w:divBdr>
        </w:div>
        <w:div w:id="2120221848">
          <w:marLeft w:val="0"/>
          <w:marRight w:val="0"/>
          <w:marTop w:val="0"/>
          <w:marBottom w:val="0"/>
          <w:divBdr>
            <w:top w:val="none" w:sz="0" w:space="0" w:color="auto"/>
            <w:left w:val="none" w:sz="0" w:space="0" w:color="auto"/>
            <w:bottom w:val="none" w:sz="0" w:space="0" w:color="auto"/>
            <w:right w:val="none" w:sz="0" w:space="0" w:color="auto"/>
          </w:divBdr>
        </w:div>
        <w:div w:id="1006639508">
          <w:marLeft w:val="0"/>
          <w:marRight w:val="0"/>
          <w:marTop w:val="0"/>
          <w:marBottom w:val="0"/>
          <w:divBdr>
            <w:top w:val="none" w:sz="0" w:space="0" w:color="auto"/>
            <w:left w:val="none" w:sz="0" w:space="0" w:color="auto"/>
            <w:bottom w:val="none" w:sz="0" w:space="0" w:color="auto"/>
            <w:right w:val="none" w:sz="0" w:space="0" w:color="auto"/>
          </w:divBdr>
        </w:div>
        <w:div w:id="1675650366">
          <w:marLeft w:val="0"/>
          <w:marRight w:val="0"/>
          <w:marTop w:val="0"/>
          <w:marBottom w:val="0"/>
          <w:divBdr>
            <w:top w:val="none" w:sz="0" w:space="0" w:color="auto"/>
            <w:left w:val="none" w:sz="0" w:space="0" w:color="auto"/>
            <w:bottom w:val="none" w:sz="0" w:space="0" w:color="auto"/>
            <w:right w:val="none" w:sz="0" w:space="0" w:color="auto"/>
          </w:divBdr>
        </w:div>
        <w:div w:id="303431728">
          <w:marLeft w:val="0"/>
          <w:marRight w:val="0"/>
          <w:marTop w:val="0"/>
          <w:marBottom w:val="0"/>
          <w:divBdr>
            <w:top w:val="none" w:sz="0" w:space="0" w:color="auto"/>
            <w:left w:val="none" w:sz="0" w:space="0" w:color="auto"/>
            <w:bottom w:val="none" w:sz="0" w:space="0" w:color="auto"/>
            <w:right w:val="none" w:sz="0" w:space="0" w:color="auto"/>
          </w:divBdr>
        </w:div>
        <w:div w:id="704140444">
          <w:marLeft w:val="0"/>
          <w:marRight w:val="0"/>
          <w:marTop w:val="0"/>
          <w:marBottom w:val="0"/>
          <w:divBdr>
            <w:top w:val="none" w:sz="0" w:space="0" w:color="auto"/>
            <w:left w:val="none" w:sz="0" w:space="0" w:color="auto"/>
            <w:bottom w:val="none" w:sz="0" w:space="0" w:color="auto"/>
            <w:right w:val="none" w:sz="0" w:space="0" w:color="auto"/>
          </w:divBdr>
        </w:div>
        <w:div w:id="42294085">
          <w:marLeft w:val="0"/>
          <w:marRight w:val="0"/>
          <w:marTop w:val="0"/>
          <w:marBottom w:val="0"/>
          <w:divBdr>
            <w:top w:val="none" w:sz="0" w:space="0" w:color="auto"/>
            <w:left w:val="none" w:sz="0" w:space="0" w:color="auto"/>
            <w:bottom w:val="none" w:sz="0" w:space="0" w:color="auto"/>
            <w:right w:val="none" w:sz="0" w:space="0" w:color="auto"/>
          </w:divBdr>
        </w:div>
        <w:div w:id="163403899">
          <w:marLeft w:val="0"/>
          <w:marRight w:val="0"/>
          <w:marTop w:val="0"/>
          <w:marBottom w:val="0"/>
          <w:divBdr>
            <w:top w:val="none" w:sz="0" w:space="0" w:color="auto"/>
            <w:left w:val="none" w:sz="0" w:space="0" w:color="auto"/>
            <w:bottom w:val="none" w:sz="0" w:space="0" w:color="auto"/>
            <w:right w:val="none" w:sz="0" w:space="0" w:color="auto"/>
          </w:divBdr>
        </w:div>
        <w:div w:id="17392725">
          <w:marLeft w:val="0"/>
          <w:marRight w:val="0"/>
          <w:marTop w:val="0"/>
          <w:marBottom w:val="0"/>
          <w:divBdr>
            <w:top w:val="none" w:sz="0" w:space="0" w:color="auto"/>
            <w:left w:val="none" w:sz="0" w:space="0" w:color="auto"/>
            <w:bottom w:val="none" w:sz="0" w:space="0" w:color="auto"/>
            <w:right w:val="none" w:sz="0" w:space="0" w:color="auto"/>
          </w:divBdr>
        </w:div>
        <w:div w:id="631251475">
          <w:marLeft w:val="0"/>
          <w:marRight w:val="0"/>
          <w:marTop w:val="0"/>
          <w:marBottom w:val="0"/>
          <w:divBdr>
            <w:top w:val="none" w:sz="0" w:space="0" w:color="auto"/>
            <w:left w:val="none" w:sz="0" w:space="0" w:color="auto"/>
            <w:bottom w:val="none" w:sz="0" w:space="0" w:color="auto"/>
            <w:right w:val="none" w:sz="0" w:space="0" w:color="auto"/>
          </w:divBdr>
        </w:div>
        <w:div w:id="1329600996">
          <w:marLeft w:val="0"/>
          <w:marRight w:val="0"/>
          <w:marTop w:val="0"/>
          <w:marBottom w:val="0"/>
          <w:divBdr>
            <w:top w:val="none" w:sz="0" w:space="0" w:color="auto"/>
            <w:left w:val="none" w:sz="0" w:space="0" w:color="auto"/>
            <w:bottom w:val="none" w:sz="0" w:space="0" w:color="auto"/>
            <w:right w:val="none" w:sz="0" w:space="0" w:color="auto"/>
          </w:divBdr>
        </w:div>
        <w:div w:id="1020424987">
          <w:marLeft w:val="0"/>
          <w:marRight w:val="0"/>
          <w:marTop w:val="0"/>
          <w:marBottom w:val="0"/>
          <w:divBdr>
            <w:top w:val="none" w:sz="0" w:space="0" w:color="auto"/>
            <w:left w:val="none" w:sz="0" w:space="0" w:color="auto"/>
            <w:bottom w:val="none" w:sz="0" w:space="0" w:color="auto"/>
            <w:right w:val="none" w:sz="0" w:space="0" w:color="auto"/>
          </w:divBdr>
        </w:div>
        <w:div w:id="1847940013">
          <w:marLeft w:val="0"/>
          <w:marRight w:val="0"/>
          <w:marTop w:val="0"/>
          <w:marBottom w:val="0"/>
          <w:divBdr>
            <w:top w:val="none" w:sz="0" w:space="0" w:color="auto"/>
            <w:left w:val="none" w:sz="0" w:space="0" w:color="auto"/>
            <w:bottom w:val="none" w:sz="0" w:space="0" w:color="auto"/>
            <w:right w:val="none" w:sz="0" w:space="0" w:color="auto"/>
          </w:divBdr>
        </w:div>
        <w:div w:id="1193961077">
          <w:marLeft w:val="0"/>
          <w:marRight w:val="0"/>
          <w:marTop w:val="0"/>
          <w:marBottom w:val="0"/>
          <w:divBdr>
            <w:top w:val="none" w:sz="0" w:space="0" w:color="auto"/>
            <w:left w:val="none" w:sz="0" w:space="0" w:color="auto"/>
            <w:bottom w:val="none" w:sz="0" w:space="0" w:color="auto"/>
            <w:right w:val="none" w:sz="0" w:space="0" w:color="auto"/>
          </w:divBdr>
        </w:div>
        <w:div w:id="727612239">
          <w:marLeft w:val="0"/>
          <w:marRight w:val="0"/>
          <w:marTop w:val="0"/>
          <w:marBottom w:val="0"/>
          <w:divBdr>
            <w:top w:val="none" w:sz="0" w:space="0" w:color="auto"/>
            <w:left w:val="none" w:sz="0" w:space="0" w:color="auto"/>
            <w:bottom w:val="none" w:sz="0" w:space="0" w:color="auto"/>
            <w:right w:val="none" w:sz="0" w:space="0" w:color="auto"/>
          </w:divBdr>
        </w:div>
        <w:div w:id="1128547170">
          <w:marLeft w:val="0"/>
          <w:marRight w:val="0"/>
          <w:marTop w:val="0"/>
          <w:marBottom w:val="0"/>
          <w:divBdr>
            <w:top w:val="none" w:sz="0" w:space="0" w:color="auto"/>
            <w:left w:val="none" w:sz="0" w:space="0" w:color="auto"/>
            <w:bottom w:val="none" w:sz="0" w:space="0" w:color="auto"/>
            <w:right w:val="none" w:sz="0" w:space="0" w:color="auto"/>
          </w:divBdr>
        </w:div>
        <w:div w:id="725833045">
          <w:marLeft w:val="0"/>
          <w:marRight w:val="0"/>
          <w:marTop w:val="0"/>
          <w:marBottom w:val="0"/>
          <w:divBdr>
            <w:top w:val="none" w:sz="0" w:space="0" w:color="auto"/>
            <w:left w:val="none" w:sz="0" w:space="0" w:color="auto"/>
            <w:bottom w:val="none" w:sz="0" w:space="0" w:color="auto"/>
            <w:right w:val="none" w:sz="0" w:space="0" w:color="auto"/>
          </w:divBdr>
        </w:div>
        <w:div w:id="972564274">
          <w:marLeft w:val="0"/>
          <w:marRight w:val="0"/>
          <w:marTop w:val="0"/>
          <w:marBottom w:val="0"/>
          <w:divBdr>
            <w:top w:val="none" w:sz="0" w:space="0" w:color="auto"/>
            <w:left w:val="none" w:sz="0" w:space="0" w:color="auto"/>
            <w:bottom w:val="none" w:sz="0" w:space="0" w:color="auto"/>
            <w:right w:val="none" w:sz="0" w:space="0" w:color="auto"/>
          </w:divBdr>
        </w:div>
        <w:div w:id="723720417">
          <w:marLeft w:val="0"/>
          <w:marRight w:val="0"/>
          <w:marTop w:val="0"/>
          <w:marBottom w:val="0"/>
          <w:divBdr>
            <w:top w:val="none" w:sz="0" w:space="0" w:color="auto"/>
            <w:left w:val="none" w:sz="0" w:space="0" w:color="auto"/>
            <w:bottom w:val="none" w:sz="0" w:space="0" w:color="auto"/>
            <w:right w:val="none" w:sz="0" w:space="0" w:color="auto"/>
          </w:divBdr>
        </w:div>
        <w:div w:id="2124420304">
          <w:marLeft w:val="0"/>
          <w:marRight w:val="0"/>
          <w:marTop w:val="0"/>
          <w:marBottom w:val="0"/>
          <w:divBdr>
            <w:top w:val="none" w:sz="0" w:space="0" w:color="auto"/>
            <w:left w:val="none" w:sz="0" w:space="0" w:color="auto"/>
            <w:bottom w:val="none" w:sz="0" w:space="0" w:color="auto"/>
            <w:right w:val="none" w:sz="0" w:space="0" w:color="auto"/>
          </w:divBdr>
        </w:div>
        <w:div w:id="270823156">
          <w:marLeft w:val="0"/>
          <w:marRight w:val="0"/>
          <w:marTop w:val="0"/>
          <w:marBottom w:val="0"/>
          <w:divBdr>
            <w:top w:val="none" w:sz="0" w:space="0" w:color="auto"/>
            <w:left w:val="none" w:sz="0" w:space="0" w:color="auto"/>
            <w:bottom w:val="none" w:sz="0" w:space="0" w:color="auto"/>
            <w:right w:val="none" w:sz="0" w:space="0" w:color="auto"/>
          </w:divBdr>
        </w:div>
      </w:divsChild>
    </w:div>
    <w:div w:id="589235046">
      <w:bodyDiv w:val="1"/>
      <w:marLeft w:val="0"/>
      <w:marRight w:val="0"/>
      <w:marTop w:val="0"/>
      <w:marBottom w:val="0"/>
      <w:divBdr>
        <w:top w:val="none" w:sz="0" w:space="0" w:color="auto"/>
        <w:left w:val="none" w:sz="0" w:space="0" w:color="auto"/>
        <w:bottom w:val="none" w:sz="0" w:space="0" w:color="auto"/>
        <w:right w:val="none" w:sz="0" w:space="0" w:color="auto"/>
      </w:divBdr>
    </w:div>
    <w:div w:id="780808524">
      <w:bodyDiv w:val="1"/>
      <w:marLeft w:val="0"/>
      <w:marRight w:val="0"/>
      <w:marTop w:val="0"/>
      <w:marBottom w:val="0"/>
      <w:divBdr>
        <w:top w:val="none" w:sz="0" w:space="0" w:color="auto"/>
        <w:left w:val="none" w:sz="0" w:space="0" w:color="auto"/>
        <w:bottom w:val="none" w:sz="0" w:space="0" w:color="auto"/>
        <w:right w:val="none" w:sz="0" w:space="0" w:color="auto"/>
      </w:divBdr>
    </w:div>
    <w:div w:id="805508374">
      <w:bodyDiv w:val="1"/>
      <w:marLeft w:val="0"/>
      <w:marRight w:val="0"/>
      <w:marTop w:val="0"/>
      <w:marBottom w:val="0"/>
      <w:divBdr>
        <w:top w:val="none" w:sz="0" w:space="0" w:color="auto"/>
        <w:left w:val="none" w:sz="0" w:space="0" w:color="auto"/>
        <w:bottom w:val="none" w:sz="0" w:space="0" w:color="auto"/>
        <w:right w:val="none" w:sz="0" w:space="0" w:color="auto"/>
      </w:divBdr>
    </w:div>
    <w:div w:id="810827891">
      <w:bodyDiv w:val="1"/>
      <w:marLeft w:val="0"/>
      <w:marRight w:val="0"/>
      <w:marTop w:val="0"/>
      <w:marBottom w:val="0"/>
      <w:divBdr>
        <w:top w:val="none" w:sz="0" w:space="0" w:color="auto"/>
        <w:left w:val="none" w:sz="0" w:space="0" w:color="auto"/>
        <w:bottom w:val="none" w:sz="0" w:space="0" w:color="auto"/>
        <w:right w:val="none" w:sz="0" w:space="0" w:color="auto"/>
      </w:divBdr>
    </w:div>
    <w:div w:id="1127897635">
      <w:bodyDiv w:val="1"/>
      <w:marLeft w:val="0"/>
      <w:marRight w:val="0"/>
      <w:marTop w:val="0"/>
      <w:marBottom w:val="0"/>
      <w:divBdr>
        <w:top w:val="none" w:sz="0" w:space="0" w:color="auto"/>
        <w:left w:val="none" w:sz="0" w:space="0" w:color="auto"/>
        <w:bottom w:val="none" w:sz="0" w:space="0" w:color="auto"/>
        <w:right w:val="none" w:sz="0" w:space="0" w:color="auto"/>
      </w:divBdr>
    </w:div>
    <w:div w:id="1162237867">
      <w:bodyDiv w:val="1"/>
      <w:marLeft w:val="0"/>
      <w:marRight w:val="0"/>
      <w:marTop w:val="0"/>
      <w:marBottom w:val="0"/>
      <w:divBdr>
        <w:top w:val="none" w:sz="0" w:space="0" w:color="auto"/>
        <w:left w:val="none" w:sz="0" w:space="0" w:color="auto"/>
        <w:bottom w:val="none" w:sz="0" w:space="0" w:color="auto"/>
        <w:right w:val="none" w:sz="0" w:space="0" w:color="auto"/>
      </w:divBdr>
    </w:div>
    <w:div w:id="1806043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Ema99</b:Tag>
    <b:SourceType>JournalArticle</b:SourceType>
    <b:Guid>{EEB146CD-7249-405D-A2B9-AC955DF0B6E5}</b:Guid>
    <b:Author>
      <b:Author>
        <b:NameList>
          <b:Person>
            <b:Last>Rosen</b:Last>
            <b:First>Emanuel</b:First>
          </b:Person>
        </b:NameList>
      </b:Author>
    </b:Author>
    <b:Title>Offences Against the Person</b:Title>
    <b:JournalName>Routledge</b:JournalName>
    <b:Year>1999</b:Year>
    <b:RefOrder>1</b:RefOrder>
  </b:Source>
  <b:Source>
    <b:Tag>MJe12</b:Tag>
    <b:SourceType>JournalArticle</b:SourceType>
    <b:Guid>{49F5AB5C-DD03-4666-908B-48456222711C}</b:Guid>
    <b:Author>
      <b:Author>
        <b:NameList>
          <b:Person>
            <b:Last>Jefferson</b:Last>
            <b:First>M.</b:First>
          </b:Person>
        </b:NameList>
      </b:Author>
    </b:Author>
    <b:Title>Offences Against the Person: Into the 21st Century</b:Title>
    <b:JournalName>The Journal of Criminal Law</b:JournalName>
    <b:Year>2012</b:Year>
    <b:Pages>472-492</b:Pages>
    <b:Volume>76</b:Volume>
    <b:Issue>6</b:Issue>
    <b:RefOrder>2</b:RefOrder>
  </b:Source>
  <b:Source>
    <b:Tag>All95</b:Tag>
    <b:SourceType>JournalArticle</b:SourceType>
    <b:Guid>{11C157D4-F2E4-49FD-B24E-B5B90B1183DD}</b:Guid>
    <b:Author>
      <b:Author>
        <b:NameList>
          <b:Person>
            <b:Last>Reed</b:Last>
            <b:First>Allan</b:First>
          </b:Person>
        </b:NameList>
      </b:Author>
    </b:Author>
    <b:Title>Offences against the Person: The Need for Reform</b:Title>
    <b:JournalName>The Journal of Criminal Law</b:JournalName>
    <b:Year>1995</b:Year>
    <b:Pages>187 - 197</b:Pages>
    <b:Volume>59</b:Volume>
    <b:Issue>2</b:Issue>
    <b:RefOrder>3</b:RefOrder>
  </b:Source>
  <b:Source>
    <b:Tag>DCo911</b:Tag>
    <b:SourceType>JournalArticle</b:SourceType>
    <b:Guid>{DB750F99-80BB-4EAD-BADD-1437B75A706C}</b:Guid>
    <b:Author>
      <b:Author>
        <b:NameList>
          <b:Person>
            <b:Last>Cowley</b:Last>
            <b:First>D.</b:First>
          </b:Person>
        </b:NameList>
      </b:Author>
    </b:Author>
    <b:Title>The Mental element in Non-Fatal Offences against the Person</b:Title>
    <b:JournalName>The Journal of Criminal Law</b:JournalName>
    <b:Year>1991</b:Year>
    <b:Pages>216-220</b:Pages>
    <b:Volume>55</b:Volume>
    <b:Issue>2</b:Issue>
    <b:RefOrder>4</b:RefOrder>
  </b:Source>
  <b:Source>
    <b:Tag>CAM17</b:Tag>
    <b:SourceType>JournalArticle</b:SourceType>
    <b:Guid>{5D86399A-C794-4A10-80F1-AEB1A9FC5E50}</b:Guid>
    <b:Author>
      <b:Author>
        <b:NameList>
          <b:Person>
            <b:Last>McCombe</b:Last>
            <b:First>C.</b:First>
            <b:Middle>A.</b:Middle>
          </b:Person>
        </b:NameList>
      </b:Author>
    </b:Author>
    <b:Title>Non-Fatal Offences Against the Person: Complexities, Difficulties and Reforms</b:Title>
    <b:Year>2017</b:Year>
    <b:RefOrder>5</b:RefOrder>
  </b:Source>
</b:Sources>
</file>

<file path=customXml/itemProps1.xml><?xml version="1.0" encoding="utf-8"?>
<ds:datastoreItem xmlns:ds="http://schemas.openxmlformats.org/officeDocument/2006/customXml" ds:itemID="{E433AD75-1433-446E-A79D-79F6DBFB70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1943</Words>
  <Characters>11081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Unknown</dc:creator>
  <cp:keywords/>
  <dc:description/>
  <cp:lastModifiedBy>Nagina Bibi (1806584)</cp:lastModifiedBy>
  <cp:revision>2</cp:revision>
  <dcterms:created xsi:type="dcterms:W3CDTF">2021-07-18T21:27:00Z</dcterms:created>
  <dcterms:modified xsi:type="dcterms:W3CDTF">2021-07-18T21:27:00Z</dcterms:modified>
</cp:coreProperties>
</file>