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2C504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B66C2">
              <w:rPr>
                <w:rFonts w:ascii="Times New Roman" w:hAnsi="Times New Roman" w:cs="Times New Roman"/>
                <w:b/>
                <w:color w:val="auto"/>
                <w:sz w:val="48"/>
              </w:rPr>
              <w:t>Adam Spencer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08F060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66C2">
              <w:rPr>
                <w:rFonts w:ascii="Times New Roman" w:hAnsi="Times New Roman" w:cs="Times New Roman"/>
                <w:b/>
                <w:color w:val="auto"/>
                <w:sz w:val="48"/>
              </w:rPr>
              <w:t xml:space="preserve"> </w:t>
            </w:r>
            <w:hyperlink r:id="rId11" w:history="1">
              <w:r w:rsidR="009B66C2" w:rsidRPr="00504C8E">
                <w:rPr>
                  <w:rStyle w:val="Hyperlink"/>
                  <w:rFonts w:ascii="Times New Roman" w:hAnsi="Times New Roman" w:cs="Times New Roman"/>
                  <w:b/>
                  <w:sz w:val="48"/>
                </w:rPr>
                <w:t>adampeterspencer@gwynedd.llyw.cymru</w:t>
              </w:r>
            </w:hyperlink>
            <w:r w:rsidR="009B66C2">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60346F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B66C2">
              <w:t xml:space="preserve"> </w:t>
            </w:r>
            <w:hyperlink r:id="rId12" w:history="1">
              <w:r w:rsidR="009B66C2" w:rsidRPr="001D426E">
                <w:rPr>
                  <w:rStyle w:val="Hyperlink"/>
                  <w:rFonts w:ascii="Times New Roman" w:hAnsi="Times New Roman" w:cs="Times New Roman"/>
                  <w:color w:val="28235D"/>
                  <w:sz w:val="24"/>
                  <w:szCs w:val="24"/>
                  <w:u w:val="none"/>
                </w:rPr>
                <w:t>2418998</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8129346" w14:textId="2E1209E1" w:rsidR="00876FA3" w:rsidRDefault="00423B46" w:rsidP="00876FA3">
            <w:pPr>
              <w:pStyle w:val="NormalWeb"/>
              <w:spacing w:line="360" w:lineRule="auto"/>
              <w:jc w:val="both"/>
            </w:pPr>
            <w:r w:rsidRPr="00AC01E5">
              <w:t>An adult at risk is defined under the Social Services and Well-being (Wales) Act 2014 (“SSWBA 2014”) as a person aged 18 and over who is</w:t>
            </w:r>
            <w:r w:rsidR="00876FA3">
              <w:t>:</w:t>
            </w:r>
          </w:p>
          <w:p w14:paraId="7BA8D3EB" w14:textId="77777777" w:rsidR="00876FA3" w:rsidRPr="00876FA3" w:rsidRDefault="00876FA3" w:rsidP="00876FA3">
            <w:pPr>
              <w:pStyle w:val="NormalWeb"/>
              <w:spacing w:line="360" w:lineRule="auto"/>
              <w:jc w:val="both"/>
              <w:rPr>
                <w:color w:val="000000"/>
              </w:rPr>
            </w:pPr>
            <w:r w:rsidRPr="00876FA3">
              <w:rPr>
                <w:color w:val="000000"/>
              </w:rPr>
              <w:t>a) is experiencing or is at risk of abuse or neglect;</w:t>
            </w:r>
          </w:p>
          <w:p w14:paraId="16D6E95E" w14:textId="77777777" w:rsidR="00876FA3" w:rsidRPr="00876FA3" w:rsidRDefault="00876FA3" w:rsidP="00876FA3">
            <w:pPr>
              <w:pStyle w:val="NormalWeb"/>
              <w:spacing w:line="360" w:lineRule="auto"/>
              <w:jc w:val="both"/>
              <w:rPr>
                <w:color w:val="000000"/>
              </w:rPr>
            </w:pPr>
            <w:r w:rsidRPr="00876FA3">
              <w:rPr>
                <w:color w:val="000000"/>
              </w:rPr>
              <w:t>b) has needs for care and support (</w:t>
            </w:r>
            <w:proofErr w:type="gramStart"/>
            <w:r w:rsidRPr="00876FA3">
              <w:rPr>
                <w:color w:val="000000"/>
              </w:rPr>
              <w:t>whether or not</w:t>
            </w:r>
            <w:proofErr w:type="gramEnd"/>
            <w:r w:rsidRPr="00876FA3">
              <w:rPr>
                <w:color w:val="000000"/>
              </w:rPr>
              <w:t xml:space="preserve"> the local authority is meeting those needs); and</w:t>
            </w:r>
          </w:p>
          <w:p w14:paraId="4DC36C87" w14:textId="77777777" w:rsidR="00876FA3" w:rsidRPr="00876FA3" w:rsidRDefault="00876FA3" w:rsidP="00876FA3">
            <w:pPr>
              <w:pStyle w:val="NormalWeb"/>
              <w:spacing w:line="360" w:lineRule="auto"/>
              <w:jc w:val="both"/>
              <w:rPr>
                <w:color w:val="000000"/>
              </w:rPr>
            </w:pPr>
            <w:r w:rsidRPr="00876FA3">
              <w:rPr>
                <w:color w:val="000000"/>
              </w:rPr>
              <w:t xml:space="preserve">c) </w:t>
            </w:r>
            <w:proofErr w:type="gramStart"/>
            <w:r w:rsidRPr="00876FA3">
              <w:rPr>
                <w:color w:val="000000"/>
              </w:rPr>
              <w:t>as a result of</w:t>
            </w:r>
            <w:proofErr w:type="gramEnd"/>
            <w:r w:rsidRPr="00876FA3">
              <w:rPr>
                <w:color w:val="000000"/>
              </w:rPr>
              <w:t xml:space="preserve"> those needs is unable to protect themselves against the abuse or neglect, or the risk of it.</w:t>
            </w:r>
          </w:p>
          <w:p w14:paraId="72CC616E" w14:textId="131288FA" w:rsidR="00876FA3" w:rsidRPr="00876FA3" w:rsidRDefault="00423B46" w:rsidP="00876FA3">
            <w:pPr>
              <w:pStyle w:val="NormalWeb"/>
              <w:spacing w:line="360" w:lineRule="auto"/>
              <w:jc w:val="both"/>
            </w:pPr>
            <w:r w:rsidRPr="00AC01E5">
              <w:t xml:space="preserve">The Local Authority has a duty under s126 of the SSWBA 2014 to make enquiries regarding the information shared, </w:t>
            </w:r>
            <w:proofErr w:type="gramStart"/>
            <w:r w:rsidRPr="00AC01E5">
              <w:t>make a decision</w:t>
            </w:r>
            <w:proofErr w:type="gramEnd"/>
            <w:r w:rsidRPr="00AC01E5">
              <w:t xml:space="preserve"> on whether any action is needed to safeguard the adult at the centre of the enquiry.</w:t>
            </w:r>
            <w:r w:rsidR="00876FA3">
              <w:t xml:space="preserve"> F</w:t>
            </w:r>
            <w:r w:rsidR="00876FA3" w:rsidRPr="00876FA3">
              <w:t>ollowing receipt of a safeguarding concern, the Local Authority must consider whether the adult meets the definition of an adult at risk under s126 of the SSWBA 2014 and whether enquiries are required. Those enquiries may involve gathering information from partner agencies, speaking with the adult, assessing immediate risk and determining what action is necessary to safeguard them. Outcomes may include the provision of care and support, risk management planning, referrals to other agencies, or no further safeguarding action where the threshold is not met.</w:t>
            </w:r>
          </w:p>
          <w:p w14:paraId="338FCAA5" w14:textId="77777777" w:rsidR="00423B46" w:rsidRPr="00AC01E5" w:rsidRDefault="00423B46" w:rsidP="00AC01E5">
            <w:pPr>
              <w:spacing w:line="360" w:lineRule="auto"/>
              <w:jc w:val="both"/>
              <w:rPr>
                <w:rFonts w:ascii="Times New Roman" w:hAnsi="Times New Roman" w:cs="Times New Roman"/>
                <w:sz w:val="24"/>
                <w:szCs w:val="24"/>
              </w:rPr>
            </w:pPr>
          </w:p>
          <w:p w14:paraId="629A0EA2" w14:textId="5893F6BA" w:rsidR="00423B46" w:rsidRPr="00AC01E5" w:rsidRDefault="00423B46" w:rsidP="00AC01E5">
            <w:pPr>
              <w:spacing w:line="360" w:lineRule="auto"/>
              <w:jc w:val="both"/>
              <w:rPr>
                <w:rFonts w:ascii="Times New Roman" w:hAnsi="Times New Roman" w:cs="Times New Roman"/>
                <w:sz w:val="24"/>
                <w:szCs w:val="24"/>
              </w:rPr>
            </w:pPr>
            <w:r w:rsidRPr="00AC01E5">
              <w:rPr>
                <w:rFonts w:ascii="Times New Roman" w:hAnsi="Times New Roman" w:cs="Times New Roman"/>
                <w:sz w:val="24"/>
                <w:szCs w:val="24"/>
              </w:rPr>
              <w:t xml:space="preserve">Adult safeguarding in Wales is overseen by national and regional boards and organisationally specific </w:t>
            </w:r>
            <w:proofErr w:type="spellStart"/>
            <w:r w:rsidRPr="00AC01E5">
              <w:rPr>
                <w:rFonts w:ascii="Times New Roman" w:hAnsi="Times New Roman" w:cs="Times New Roman"/>
                <w:sz w:val="24"/>
                <w:szCs w:val="24"/>
              </w:rPr>
              <w:t>polices</w:t>
            </w:r>
            <w:proofErr w:type="spellEnd"/>
            <w:r w:rsidRPr="00AC01E5">
              <w:rPr>
                <w:rFonts w:ascii="Times New Roman" w:hAnsi="Times New Roman" w:cs="Times New Roman"/>
                <w:sz w:val="24"/>
                <w:szCs w:val="24"/>
              </w:rPr>
              <w:t xml:space="preserve"> and procedures. The idea being that safeguarding is consistent across the country. The Wales </w:t>
            </w:r>
            <w:r w:rsidRPr="00AC01E5">
              <w:rPr>
                <w:rFonts w:ascii="Times New Roman" w:hAnsi="Times New Roman" w:cs="Times New Roman"/>
                <w:sz w:val="24"/>
                <w:szCs w:val="24"/>
              </w:rPr>
              <w:lastRenderedPageBreak/>
              <w:t xml:space="preserve">Safeguarding Procedures share guidance on how to recognise, report, and deal with an adult at risk of neglect or abuse. Regional Safeguarding Boards have oversight on partner agencies, such as police and health, who work with the Local Authority to safeguard adults. The regional boards put into practice safeguarding procedures, bring together multi-agency partners to effectively safeguard, and monitor the safeguarding responses from agencies within the region. At a Local Authority level, procedures are in place to dictate how information is reported, how information is shared (this is also governed by the Data Protection Act 2018 nationally), and what </w:t>
            </w:r>
            <w:r w:rsidR="00470CB6">
              <w:rPr>
                <w:rFonts w:ascii="Times New Roman" w:hAnsi="Times New Roman" w:cs="Times New Roman"/>
                <w:sz w:val="24"/>
                <w:szCs w:val="24"/>
              </w:rPr>
              <w:t xml:space="preserve">decisions within the legislative framework </w:t>
            </w:r>
            <w:r w:rsidRPr="00AC01E5">
              <w:rPr>
                <w:rFonts w:ascii="Times New Roman" w:hAnsi="Times New Roman" w:cs="Times New Roman"/>
                <w:sz w:val="24"/>
                <w:szCs w:val="24"/>
              </w:rPr>
              <w:t xml:space="preserve">are taken with respect to the concerns. A strong theme across all levels is the need for multi-agency working and responses that promote the </w:t>
            </w:r>
            <w:proofErr w:type="gramStart"/>
            <w:r w:rsidRPr="00AC01E5">
              <w:rPr>
                <w:rFonts w:ascii="Times New Roman" w:hAnsi="Times New Roman" w:cs="Times New Roman"/>
                <w:sz w:val="24"/>
                <w:szCs w:val="24"/>
              </w:rPr>
              <w:t>individuals</w:t>
            </w:r>
            <w:proofErr w:type="gramEnd"/>
            <w:r w:rsidRPr="00AC01E5">
              <w:rPr>
                <w:rFonts w:ascii="Times New Roman" w:hAnsi="Times New Roman" w:cs="Times New Roman"/>
                <w:sz w:val="24"/>
                <w:szCs w:val="24"/>
              </w:rPr>
              <w:t xml:space="preserve"> wellbeing, their protection, and their dignity.</w:t>
            </w:r>
          </w:p>
          <w:p w14:paraId="6D8CB8AF" w14:textId="77777777" w:rsidR="00FC0334" w:rsidRPr="00AC01E5" w:rsidRDefault="00FC0334" w:rsidP="00AC01E5">
            <w:pPr>
              <w:spacing w:line="360" w:lineRule="auto"/>
              <w:jc w:val="both"/>
              <w:rPr>
                <w:rFonts w:ascii="Times New Roman" w:hAnsi="Times New Roman" w:cs="Times New Roman"/>
                <w:sz w:val="24"/>
                <w:szCs w:val="24"/>
              </w:rPr>
            </w:pPr>
          </w:p>
          <w:p w14:paraId="60683D76" w14:textId="7ADAE3FA" w:rsidR="00223971" w:rsidRPr="00AC01E5" w:rsidRDefault="00223971" w:rsidP="00AC01E5">
            <w:pPr>
              <w:spacing w:line="360" w:lineRule="auto"/>
              <w:jc w:val="both"/>
              <w:rPr>
                <w:rFonts w:ascii="Times New Roman" w:hAnsi="Times New Roman" w:cs="Times New Roman"/>
                <w:sz w:val="24"/>
                <w:szCs w:val="24"/>
              </w:rPr>
            </w:pPr>
            <w:r w:rsidRPr="00AC01E5">
              <w:rPr>
                <w:rFonts w:ascii="Times New Roman" w:hAnsi="Times New Roman" w:cs="Times New Roman"/>
                <w:sz w:val="24"/>
                <w:szCs w:val="24"/>
              </w:rPr>
              <w:t>With adults there are factors they may increase their vulnerability to abuse or neglect and their ability to protect themselves, such as physical or cognitive disabilities, dementia, mental illness, substance use, their relationships with others, amongst other things. There are several types of abuse and neglect, such as physical, sexual, financial, emotional abuse, as well as self-neglect. Abuse or neglect indicators will vary depending on the individual and their context. Physical abuse may look like inconsistent explanations of injuries, emotional abuse may present as changes in emotional presentation or erratic behaviours, neglect may be indicated by poor personal hygiene or deteriorating home conditions and unmet home conditions. Those indicators would then need curiosity and enquiry</w:t>
            </w:r>
            <w:r w:rsidR="00AC01E5" w:rsidRPr="00AC01E5">
              <w:rPr>
                <w:rFonts w:ascii="Times New Roman" w:hAnsi="Times New Roman" w:cs="Times New Roman"/>
                <w:sz w:val="24"/>
                <w:szCs w:val="24"/>
              </w:rPr>
              <w:t xml:space="preserve"> </w:t>
            </w:r>
            <w:proofErr w:type="gramStart"/>
            <w:r w:rsidR="00AC01E5" w:rsidRPr="00AC01E5">
              <w:rPr>
                <w:rFonts w:ascii="Times New Roman" w:hAnsi="Times New Roman" w:cs="Times New Roman"/>
                <w:sz w:val="24"/>
                <w:szCs w:val="24"/>
              </w:rPr>
              <w:t>in order to</w:t>
            </w:r>
            <w:proofErr w:type="gramEnd"/>
            <w:r w:rsidR="00AC01E5" w:rsidRPr="00AC01E5">
              <w:rPr>
                <w:rFonts w:ascii="Times New Roman" w:hAnsi="Times New Roman" w:cs="Times New Roman"/>
                <w:sz w:val="24"/>
                <w:szCs w:val="24"/>
              </w:rPr>
              <w:t xml:space="preserve"> better understand them.</w:t>
            </w:r>
          </w:p>
          <w:p w14:paraId="2789BBD7" w14:textId="77777777" w:rsidR="00223971" w:rsidRPr="00AC01E5" w:rsidRDefault="00223971" w:rsidP="00AC01E5">
            <w:pPr>
              <w:spacing w:line="360" w:lineRule="auto"/>
              <w:jc w:val="both"/>
              <w:rPr>
                <w:rFonts w:ascii="Times New Roman" w:hAnsi="Times New Roman" w:cs="Times New Roman"/>
                <w:sz w:val="24"/>
                <w:szCs w:val="24"/>
              </w:rPr>
            </w:pPr>
          </w:p>
          <w:p w14:paraId="22EE78C2" w14:textId="1A0AB335" w:rsidR="00223971" w:rsidRPr="00AC01E5" w:rsidRDefault="00223971" w:rsidP="00AC01E5">
            <w:pPr>
              <w:spacing w:line="360" w:lineRule="auto"/>
              <w:jc w:val="both"/>
              <w:rPr>
                <w:rFonts w:ascii="Times New Roman" w:hAnsi="Times New Roman" w:cs="Times New Roman"/>
                <w:sz w:val="24"/>
                <w:szCs w:val="24"/>
              </w:rPr>
            </w:pPr>
            <w:r w:rsidRPr="00AC01E5">
              <w:rPr>
                <w:rFonts w:ascii="Times New Roman" w:hAnsi="Times New Roman" w:cs="Times New Roman"/>
                <w:sz w:val="24"/>
                <w:szCs w:val="24"/>
              </w:rPr>
              <w:t>The autonomy of the individual is an overarching feature of safeguarding adults, and this is captured by the Making Safeguarding Personal guidance that prioritises working collaboratively with the service user to achieve what they wish to achieve. This could be maintaining relationships, accessing support, prioritising their independence etc. Complicating this is when these priorities conflict with safeguarding.</w:t>
            </w:r>
          </w:p>
          <w:p w14:paraId="60D8C669" w14:textId="77777777" w:rsidR="00FC0334" w:rsidRPr="00AC01E5" w:rsidRDefault="00FC0334" w:rsidP="00AC01E5">
            <w:pPr>
              <w:spacing w:line="360" w:lineRule="auto"/>
              <w:jc w:val="both"/>
              <w:rPr>
                <w:rFonts w:ascii="Times New Roman" w:hAnsi="Times New Roman" w:cs="Times New Roman"/>
                <w:sz w:val="24"/>
                <w:szCs w:val="24"/>
              </w:rPr>
            </w:pPr>
          </w:p>
          <w:p w14:paraId="6688CD76" w14:textId="136A309E" w:rsidR="00AC01E5" w:rsidRPr="00AC01E5" w:rsidRDefault="00AC01E5" w:rsidP="00AC01E5">
            <w:pPr>
              <w:spacing w:line="360" w:lineRule="auto"/>
              <w:jc w:val="both"/>
              <w:rPr>
                <w:rFonts w:ascii="Times New Roman" w:hAnsi="Times New Roman" w:cs="Times New Roman"/>
                <w:sz w:val="24"/>
                <w:szCs w:val="24"/>
              </w:rPr>
            </w:pPr>
            <w:r w:rsidRPr="00AC01E5">
              <w:rPr>
                <w:rFonts w:ascii="Times New Roman" w:hAnsi="Times New Roman" w:cs="Times New Roman"/>
                <w:sz w:val="24"/>
                <w:szCs w:val="24"/>
              </w:rPr>
              <w:t xml:space="preserve">Word count: </w:t>
            </w:r>
            <w:r w:rsidR="00DD4E49">
              <w:rPr>
                <w:rFonts w:ascii="Times New Roman" w:hAnsi="Times New Roman" w:cs="Times New Roman"/>
                <w:sz w:val="24"/>
                <w:szCs w:val="24"/>
              </w:rPr>
              <w:t>5</w:t>
            </w:r>
            <w:r w:rsidR="00470CB6">
              <w:rPr>
                <w:rFonts w:ascii="Times New Roman" w:hAnsi="Times New Roman" w:cs="Times New Roman"/>
                <w:sz w:val="24"/>
                <w:szCs w:val="24"/>
              </w:rPr>
              <w:t>42</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2070C909" w14:textId="4659366B" w:rsidR="00DF5FE3" w:rsidRPr="00470CB6" w:rsidRDefault="00DF5FE3" w:rsidP="00470CB6">
            <w:pPr>
              <w:spacing w:line="360" w:lineRule="auto"/>
              <w:jc w:val="both"/>
              <w:rPr>
                <w:rFonts w:ascii="Times New Roman" w:hAnsi="Times New Roman" w:cs="Times New Roman"/>
                <w:sz w:val="24"/>
                <w:szCs w:val="24"/>
              </w:rPr>
            </w:pPr>
            <w:r w:rsidRPr="00470CB6">
              <w:rPr>
                <w:rFonts w:ascii="Times New Roman" w:hAnsi="Times New Roman" w:cs="Times New Roman"/>
                <w:sz w:val="24"/>
                <w:szCs w:val="24"/>
              </w:rPr>
              <w:t xml:space="preserve">In Children’s Services, the child or family’s preferred outcome is </w:t>
            </w:r>
            <w:r w:rsidR="005B6532" w:rsidRPr="00470CB6">
              <w:rPr>
                <w:rFonts w:ascii="Times New Roman" w:hAnsi="Times New Roman" w:cs="Times New Roman"/>
                <w:sz w:val="24"/>
                <w:szCs w:val="24"/>
              </w:rPr>
              <w:t>important,</w:t>
            </w:r>
            <w:r w:rsidRPr="00470CB6">
              <w:rPr>
                <w:rFonts w:ascii="Times New Roman" w:hAnsi="Times New Roman" w:cs="Times New Roman"/>
                <w:sz w:val="24"/>
                <w:szCs w:val="24"/>
              </w:rPr>
              <w:t xml:space="preserve"> but</w:t>
            </w:r>
            <w:r w:rsidR="005B6532" w:rsidRPr="00470CB6">
              <w:rPr>
                <w:rFonts w:ascii="Times New Roman" w:hAnsi="Times New Roman" w:cs="Times New Roman"/>
                <w:sz w:val="24"/>
                <w:szCs w:val="24"/>
              </w:rPr>
              <w:t xml:space="preserve"> it</w:t>
            </w:r>
            <w:r w:rsidRPr="00470CB6">
              <w:rPr>
                <w:rFonts w:ascii="Times New Roman" w:hAnsi="Times New Roman" w:cs="Times New Roman"/>
                <w:sz w:val="24"/>
                <w:szCs w:val="24"/>
              </w:rPr>
              <w:t xml:space="preserve"> does not override </w:t>
            </w:r>
            <w:r w:rsidR="002E5E59" w:rsidRPr="00470CB6">
              <w:rPr>
                <w:rFonts w:ascii="Times New Roman" w:hAnsi="Times New Roman" w:cs="Times New Roman"/>
                <w:sz w:val="24"/>
                <w:szCs w:val="24"/>
              </w:rPr>
              <w:t>the</w:t>
            </w:r>
            <w:r w:rsidRPr="00470CB6">
              <w:rPr>
                <w:rFonts w:ascii="Times New Roman" w:hAnsi="Times New Roman" w:cs="Times New Roman"/>
                <w:sz w:val="24"/>
                <w:szCs w:val="24"/>
              </w:rPr>
              <w:t xml:space="preserve"> safeguarding </w:t>
            </w:r>
            <w:r w:rsidR="002E5E59" w:rsidRPr="00470CB6">
              <w:rPr>
                <w:rFonts w:ascii="Times New Roman" w:hAnsi="Times New Roman" w:cs="Times New Roman"/>
                <w:sz w:val="24"/>
                <w:szCs w:val="24"/>
              </w:rPr>
              <w:t>duties in the Children Act 1989 which were further developed in later legislation and case law</w:t>
            </w:r>
            <w:r w:rsidRPr="00470CB6">
              <w:rPr>
                <w:rFonts w:ascii="Times New Roman" w:hAnsi="Times New Roman" w:cs="Times New Roman"/>
                <w:sz w:val="24"/>
                <w:szCs w:val="24"/>
              </w:rPr>
              <w:t>. For example, though a young child may wish to remain with their family, if the risks are significant enough the Local Authority may need to take legal action to separate the child from the family whilst support is put in place to reduce the risks. Whereas in adults safeguarding, the tolerance for risk is higher</w:t>
            </w:r>
            <w:r w:rsidR="005B6532" w:rsidRPr="00470CB6">
              <w:rPr>
                <w:rFonts w:ascii="Times New Roman" w:hAnsi="Times New Roman" w:cs="Times New Roman"/>
                <w:sz w:val="24"/>
                <w:szCs w:val="24"/>
              </w:rPr>
              <w:t>;</w:t>
            </w:r>
            <w:r w:rsidRPr="00470CB6">
              <w:rPr>
                <w:rFonts w:ascii="Times New Roman" w:hAnsi="Times New Roman" w:cs="Times New Roman"/>
                <w:sz w:val="24"/>
                <w:szCs w:val="24"/>
              </w:rPr>
              <w:t xml:space="preserve"> especially when the adult understands the risks </w:t>
            </w:r>
            <w:r w:rsidR="002E5E59" w:rsidRPr="00470CB6">
              <w:rPr>
                <w:rFonts w:ascii="Times New Roman" w:hAnsi="Times New Roman" w:cs="Times New Roman"/>
                <w:sz w:val="24"/>
                <w:szCs w:val="24"/>
              </w:rPr>
              <w:t xml:space="preserve">and has capacity (Mental Capacity Act 2005) </w:t>
            </w:r>
            <w:r w:rsidRPr="00470CB6">
              <w:rPr>
                <w:rFonts w:ascii="Times New Roman" w:hAnsi="Times New Roman" w:cs="Times New Roman"/>
                <w:sz w:val="24"/>
                <w:szCs w:val="24"/>
              </w:rPr>
              <w:t xml:space="preserve">but prioritises </w:t>
            </w:r>
            <w:r w:rsidR="005B6532" w:rsidRPr="00470CB6">
              <w:rPr>
                <w:rFonts w:ascii="Times New Roman" w:hAnsi="Times New Roman" w:cs="Times New Roman"/>
                <w:sz w:val="24"/>
                <w:szCs w:val="24"/>
              </w:rPr>
              <w:t xml:space="preserve">exposing themselves to the risk. </w:t>
            </w:r>
            <w:r w:rsidR="005B6532" w:rsidRPr="00470CB6">
              <w:rPr>
                <w:rFonts w:ascii="Times New Roman" w:hAnsi="Times New Roman" w:cs="Times New Roman"/>
                <w:sz w:val="24"/>
                <w:szCs w:val="24"/>
              </w:rPr>
              <w:br/>
            </w:r>
            <w:r w:rsidR="005B6532" w:rsidRPr="00470CB6">
              <w:rPr>
                <w:rFonts w:ascii="Times New Roman" w:hAnsi="Times New Roman" w:cs="Times New Roman"/>
                <w:sz w:val="24"/>
                <w:szCs w:val="24"/>
              </w:rPr>
              <w:br/>
              <w:t xml:space="preserve">A person under the age of 18 may be determined Gillick competent </w:t>
            </w:r>
            <w:r w:rsidR="002E5E59" w:rsidRPr="00470CB6">
              <w:rPr>
                <w:rFonts w:ascii="Times New Roman" w:hAnsi="Times New Roman" w:cs="Times New Roman"/>
                <w:sz w:val="24"/>
                <w:szCs w:val="24"/>
              </w:rPr>
              <w:t>(</w:t>
            </w:r>
            <w:r w:rsidR="002E5E59" w:rsidRPr="00470CB6">
              <w:rPr>
                <w:rStyle w:val="Emphasis"/>
                <w:rFonts w:ascii="Times New Roman" w:hAnsi="Times New Roman" w:cs="Times New Roman"/>
                <w:i w:val="0"/>
                <w:iCs w:val="0"/>
                <w:sz w:val="24"/>
                <w:szCs w:val="24"/>
              </w:rPr>
              <w:t>Gillick v West Norfolk and Wisbech Area Health Authority, 1985</w:t>
            </w:r>
            <w:r w:rsidR="002E5E59" w:rsidRPr="00470CB6">
              <w:rPr>
                <w:rFonts w:ascii="Times New Roman" w:hAnsi="Times New Roman" w:cs="Times New Roman"/>
                <w:sz w:val="24"/>
                <w:szCs w:val="24"/>
              </w:rPr>
              <w:t>)</w:t>
            </w:r>
            <w:r w:rsidR="00470CB6" w:rsidRPr="00470CB6">
              <w:rPr>
                <w:rFonts w:ascii="Times New Roman" w:hAnsi="Times New Roman" w:cs="Times New Roman"/>
                <w:sz w:val="24"/>
                <w:szCs w:val="24"/>
              </w:rPr>
              <w:t xml:space="preserve"> and assessed in accordance with Fraser Guidelines to make</w:t>
            </w:r>
            <w:r w:rsidR="002E5E59" w:rsidRPr="00470CB6">
              <w:rPr>
                <w:rFonts w:ascii="Times New Roman" w:hAnsi="Times New Roman" w:cs="Times New Roman"/>
                <w:sz w:val="24"/>
                <w:szCs w:val="24"/>
              </w:rPr>
              <w:t xml:space="preserve"> </w:t>
            </w:r>
            <w:r w:rsidR="005B6532" w:rsidRPr="00470CB6">
              <w:rPr>
                <w:rFonts w:ascii="Times New Roman" w:hAnsi="Times New Roman" w:cs="Times New Roman"/>
                <w:sz w:val="24"/>
                <w:szCs w:val="24"/>
              </w:rPr>
              <w:t>and can take informed decisions regarding their health, but if serious abuse occurred at home their understanding of the risk</w:t>
            </w:r>
            <w:r w:rsidR="004607D1" w:rsidRPr="00470CB6">
              <w:rPr>
                <w:rFonts w:ascii="Times New Roman" w:hAnsi="Times New Roman" w:cs="Times New Roman"/>
                <w:sz w:val="24"/>
                <w:szCs w:val="24"/>
              </w:rPr>
              <w:t xml:space="preserve"> and desired outcome</w:t>
            </w:r>
            <w:r w:rsidR="005B6532" w:rsidRPr="00470CB6">
              <w:rPr>
                <w:rFonts w:ascii="Times New Roman" w:hAnsi="Times New Roman" w:cs="Times New Roman"/>
                <w:sz w:val="24"/>
                <w:szCs w:val="24"/>
              </w:rPr>
              <w:t xml:space="preserve"> may not change the safeguarding response. Whereas an adult may make informed decisions with an understanding of the risk and their decision, as an adult with capacity, carries more legal weight. For example, a</w:t>
            </w:r>
            <w:r w:rsidR="002E5E59" w:rsidRPr="00470CB6">
              <w:rPr>
                <w:rFonts w:ascii="Times New Roman" w:hAnsi="Times New Roman" w:cs="Times New Roman"/>
                <w:sz w:val="24"/>
                <w:szCs w:val="24"/>
              </w:rPr>
              <w:t>n adult</w:t>
            </w:r>
            <w:r w:rsidR="005B6532" w:rsidRPr="00470CB6">
              <w:rPr>
                <w:rFonts w:ascii="Times New Roman" w:hAnsi="Times New Roman" w:cs="Times New Roman"/>
                <w:sz w:val="24"/>
                <w:szCs w:val="24"/>
              </w:rPr>
              <w:t xml:space="preserve"> parent may wish to continue a relationship with a financially abusive child.</w:t>
            </w:r>
            <w:r w:rsidR="002E5E59" w:rsidRPr="00470CB6">
              <w:rPr>
                <w:rFonts w:ascii="Times New Roman" w:hAnsi="Times New Roman" w:cs="Times New Roman"/>
                <w:sz w:val="24"/>
                <w:szCs w:val="24"/>
              </w:rPr>
              <w:t xml:space="preserve"> The response from the Local Authority would </w:t>
            </w:r>
            <w:r w:rsidR="004607D1" w:rsidRPr="00470CB6">
              <w:rPr>
                <w:rFonts w:ascii="Times New Roman" w:hAnsi="Times New Roman" w:cs="Times New Roman"/>
                <w:sz w:val="24"/>
                <w:szCs w:val="24"/>
              </w:rPr>
              <w:t>seek to understand the adult’s desired outcome and support them to manage the risks.</w:t>
            </w:r>
            <w:r w:rsidR="002E5E59" w:rsidRPr="00470CB6">
              <w:rPr>
                <w:rFonts w:ascii="Times New Roman" w:hAnsi="Times New Roman" w:cs="Times New Roman"/>
                <w:sz w:val="24"/>
                <w:szCs w:val="24"/>
              </w:rPr>
              <w:t xml:space="preserve"> </w:t>
            </w:r>
            <w:r w:rsidR="004607D1" w:rsidRPr="00470CB6">
              <w:rPr>
                <w:rFonts w:ascii="Times New Roman" w:hAnsi="Times New Roman" w:cs="Times New Roman"/>
                <w:sz w:val="21"/>
                <w:szCs w:val="21"/>
              </w:rPr>
              <w:t xml:space="preserve"> </w:t>
            </w:r>
            <w:r w:rsidR="004607D1" w:rsidRPr="00470CB6">
              <w:rPr>
                <w:rFonts w:ascii="Times New Roman" w:hAnsi="Times New Roman" w:cs="Times New Roman"/>
                <w:sz w:val="24"/>
                <w:szCs w:val="24"/>
              </w:rPr>
              <w:t>Where the adult has capacity to make the relevant decision, weight must be given to their autonomy and right to make decisions that professionals may consider not in their best interests.</w:t>
            </w:r>
            <w:r w:rsidR="002E5E59" w:rsidRPr="00470CB6">
              <w:rPr>
                <w:rFonts w:ascii="Times New Roman" w:hAnsi="Times New Roman" w:cs="Times New Roman"/>
                <w:sz w:val="24"/>
                <w:szCs w:val="24"/>
              </w:rPr>
              <w:t xml:space="preserve"> </w:t>
            </w:r>
            <w:r w:rsidR="004607D1" w:rsidRPr="00470CB6">
              <w:rPr>
                <w:rFonts w:ascii="Times New Roman" w:hAnsi="Times New Roman" w:cs="Times New Roman"/>
                <w:sz w:val="21"/>
                <w:szCs w:val="21"/>
              </w:rPr>
              <w:t xml:space="preserve"> </w:t>
            </w:r>
            <w:r w:rsidR="004607D1" w:rsidRPr="00470CB6">
              <w:rPr>
                <w:rFonts w:ascii="Times New Roman" w:hAnsi="Times New Roman" w:cs="Times New Roman"/>
                <w:sz w:val="24"/>
                <w:szCs w:val="24"/>
              </w:rPr>
              <w:t xml:space="preserve">This highlights that safeguarding does not necessarily mean removing all risk. Instead, adult safeguarding can require professionals to balance protection from harm against autonomy, capacity and the individual's preferred outcomes. </w:t>
            </w:r>
            <w:r w:rsidR="005B6532" w:rsidRPr="00470CB6">
              <w:rPr>
                <w:rFonts w:ascii="Times New Roman" w:hAnsi="Times New Roman" w:cs="Times New Roman"/>
                <w:sz w:val="24"/>
                <w:szCs w:val="24"/>
              </w:rPr>
              <w:t xml:space="preserve">Therefore, with adults’ safeguarding, it’s about what the adult’s desired outcome is and how we can support to manage the risk. With children’s safeguarding, to a certain extent, it can be about removing the risk in conflict with the child’s wishes. </w:t>
            </w:r>
          </w:p>
          <w:p w14:paraId="478D2F84" w14:textId="77777777" w:rsidR="00FC0334" w:rsidRPr="00470CB6" w:rsidRDefault="00FC0334" w:rsidP="00470CB6">
            <w:pPr>
              <w:spacing w:line="360" w:lineRule="auto"/>
              <w:jc w:val="both"/>
              <w:rPr>
                <w:rFonts w:ascii="Times New Roman" w:hAnsi="Times New Roman" w:cs="Times New Roman"/>
                <w:sz w:val="24"/>
                <w:szCs w:val="24"/>
              </w:rPr>
            </w:pPr>
          </w:p>
          <w:p w14:paraId="0E64B386" w14:textId="1D90AE7D" w:rsidR="00FC0334" w:rsidRPr="00470CB6" w:rsidRDefault="002E5E59" w:rsidP="00470CB6">
            <w:pPr>
              <w:spacing w:line="360" w:lineRule="auto"/>
              <w:jc w:val="both"/>
              <w:rPr>
                <w:rFonts w:ascii="Times New Roman" w:hAnsi="Times New Roman" w:cs="Times New Roman"/>
                <w:sz w:val="24"/>
                <w:szCs w:val="24"/>
              </w:rPr>
            </w:pPr>
            <w:r w:rsidRPr="00470CB6">
              <w:rPr>
                <w:rFonts w:ascii="Times New Roman" w:hAnsi="Times New Roman" w:cs="Times New Roman"/>
                <w:sz w:val="24"/>
                <w:szCs w:val="24"/>
              </w:rPr>
              <w:t>I suspect this significant and foundational difference would be difficult to navigate</w:t>
            </w:r>
            <w:r w:rsidR="004607D1" w:rsidRPr="00470CB6">
              <w:rPr>
                <w:rFonts w:ascii="Times New Roman" w:hAnsi="Times New Roman" w:cs="Times New Roman"/>
                <w:sz w:val="24"/>
                <w:szCs w:val="24"/>
              </w:rPr>
              <w:t xml:space="preserve"> at first</w:t>
            </w:r>
            <w:r w:rsidRPr="00470CB6">
              <w:rPr>
                <w:rFonts w:ascii="Times New Roman" w:hAnsi="Times New Roman" w:cs="Times New Roman"/>
                <w:sz w:val="24"/>
                <w:szCs w:val="24"/>
              </w:rPr>
              <w:t xml:space="preserve">, were I to move into adult’s work. I approach risk and safeguarding from a protective lens, having work in </w:t>
            </w:r>
            <w:r w:rsidR="004607D1" w:rsidRPr="00470CB6">
              <w:rPr>
                <w:rFonts w:ascii="Times New Roman" w:hAnsi="Times New Roman" w:cs="Times New Roman"/>
                <w:sz w:val="24"/>
                <w:szCs w:val="24"/>
              </w:rPr>
              <w:t>c</w:t>
            </w:r>
            <w:r w:rsidRPr="00470CB6">
              <w:rPr>
                <w:rFonts w:ascii="Times New Roman" w:hAnsi="Times New Roman" w:cs="Times New Roman"/>
                <w:sz w:val="24"/>
                <w:szCs w:val="24"/>
              </w:rPr>
              <w:t xml:space="preserve">hildren’s </w:t>
            </w:r>
            <w:r w:rsidR="004607D1" w:rsidRPr="00470CB6">
              <w:rPr>
                <w:rFonts w:ascii="Times New Roman" w:hAnsi="Times New Roman" w:cs="Times New Roman"/>
                <w:sz w:val="24"/>
                <w:szCs w:val="24"/>
              </w:rPr>
              <w:t>safeguarding.</w:t>
            </w:r>
            <w:r w:rsidRPr="00470CB6">
              <w:rPr>
                <w:rFonts w:ascii="Times New Roman" w:hAnsi="Times New Roman" w:cs="Times New Roman"/>
                <w:sz w:val="24"/>
                <w:szCs w:val="24"/>
              </w:rPr>
              <w:t xml:space="preserve"> </w:t>
            </w:r>
            <w:r w:rsidR="004607D1" w:rsidRPr="00470CB6">
              <w:rPr>
                <w:rFonts w:ascii="Times New Roman" w:hAnsi="Times New Roman" w:cs="Times New Roman"/>
                <w:sz w:val="24"/>
                <w:szCs w:val="24"/>
              </w:rPr>
              <w:t>A</w:t>
            </w:r>
            <w:r w:rsidRPr="00470CB6">
              <w:rPr>
                <w:rFonts w:ascii="Times New Roman" w:hAnsi="Times New Roman" w:cs="Times New Roman"/>
                <w:sz w:val="24"/>
                <w:szCs w:val="24"/>
              </w:rPr>
              <w:t>dult’s</w:t>
            </w:r>
            <w:r w:rsidR="004607D1" w:rsidRPr="00470CB6">
              <w:rPr>
                <w:rFonts w:ascii="Times New Roman" w:hAnsi="Times New Roman" w:cs="Times New Roman"/>
                <w:sz w:val="24"/>
                <w:szCs w:val="24"/>
              </w:rPr>
              <w:t xml:space="preserve"> safeguarding</w:t>
            </w:r>
            <w:r w:rsidRPr="00470CB6">
              <w:rPr>
                <w:rFonts w:ascii="Times New Roman" w:hAnsi="Times New Roman" w:cs="Times New Roman"/>
                <w:sz w:val="24"/>
                <w:szCs w:val="24"/>
              </w:rPr>
              <w:t xml:space="preserve"> would require me to think differently about the risk, </w:t>
            </w:r>
            <w:r w:rsidRPr="00470CB6">
              <w:rPr>
                <w:rFonts w:ascii="Times New Roman" w:hAnsi="Times New Roman" w:cs="Times New Roman"/>
                <w:sz w:val="24"/>
                <w:szCs w:val="24"/>
              </w:rPr>
              <w:lastRenderedPageBreak/>
              <w:t xml:space="preserve">requiring a greater tolerance of risk and an understanding that unwanted intervention may undermine the adult’s autonomy. </w:t>
            </w:r>
          </w:p>
          <w:p w14:paraId="4847C39E" w14:textId="77777777" w:rsidR="00FC0334" w:rsidRPr="00470CB6" w:rsidRDefault="00FC0334" w:rsidP="00470CB6">
            <w:pPr>
              <w:spacing w:line="360" w:lineRule="auto"/>
              <w:jc w:val="both"/>
              <w:rPr>
                <w:rFonts w:ascii="Times New Roman" w:hAnsi="Times New Roman" w:cs="Times New Roman"/>
                <w:sz w:val="24"/>
                <w:szCs w:val="24"/>
              </w:rPr>
            </w:pPr>
          </w:p>
          <w:p w14:paraId="04285720" w14:textId="77777777" w:rsidR="00FC0334" w:rsidRPr="00470CB6" w:rsidRDefault="00FC0334" w:rsidP="00470CB6">
            <w:pPr>
              <w:spacing w:line="360" w:lineRule="auto"/>
              <w:jc w:val="both"/>
              <w:rPr>
                <w:rFonts w:ascii="Times New Roman" w:hAnsi="Times New Roman" w:cs="Times New Roman"/>
                <w:sz w:val="24"/>
                <w:szCs w:val="24"/>
              </w:rPr>
            </w:pPr>
          </w:p>
          <w:p w14:paraId="1AA3081F" w14:textId="334ECEEF" w:rsidR="00FC0334" w:rsidRPr="00470CB6" w:rsidRDefault="004607D1" w:rsidP="00470CB6">
            <w:pPr>
              <w:spacing w:line="360" w:lineRule="auto"/>
              <w:jc w:val="both"/>
              <w:rPr>
                <w:rFonts w:ascii="Times New Roman" w:hAnsi="Times New Roman" w:cs="Times New Roman"/>
                <w:sz w:val="24"/>
                <w:szCs w:val="24"/>
              </w:rPr>
            </w:pPr>
            <w:r w:rsidRPr="00470CB6">
              <w:rPr>
                <w:rFonts w:ascii="Times New Roman" w:hAnsi="Times New Roman" w:cs="Times New Roman"/>
                <w:sz w:val="24"/>
                <w:szCs w:val="24"/>
              </w:rPr>
              <w:t>Word count: 3</w:t>
            </w:r>
            <w:r w:rsidR="00470CB6" w:rsidRPr="00470CB6">
              <w:rPr>
                <w:rFonts w:ascii="Times New Roman" w:hAnsi="Times New Roman" w:cs="Times New Roman"/>
                <w:sz w:val="24"/>
                <w:szCs w:val="24"/>
              </w:rPr>
              <w:t>97</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AB4C021" w14:textId="77777777" w:rsidR="004149AD" w:rsidRDefault="004149AD">
      <w:r>
        <w:separator/>
      </w:r>
    </w:p>
  </w:endnote>
  <w:endnote w:type="continuationSeparator" w:id="0">
    <w:p w14:paraId="11A630B4" w14:textId="77777777" w:rsidR="004149AD" w:rsidRDefault="00414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12113F" w14:textId="77777777" w:rsidR="004149AD" w:rsidRDefault="004149AD">
      <w:r>
        <w:separator/>
      </w:r>
    </w:p>
  </w:footnote>
  <w:footnote w:type="continuationSeparator" w:id="0">
    <w:p w14:paraId="4C50D667" w14:textId="77777777" w:rsidR="004149AD" w:rsidRDefault="004149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D0269"/>
    <w:multiLevelType w:val="hybridMultilevel"/>
    <w:tmpl w:val="3AB6A146"/>
    <w:lvl w:ilvl="0" w:tplc="6CCEBBE4">
      <w:start w:val="1"/>
      <w:numFmt w:val="bullet"/>
      <w:lvlText w:val="•"/>
      <w:lvlJc w:val="left"/>
      <w:pPr>
        <w:tabs>
          <w:tab w:val="num" w:pos="720"/>
        </w:tabs>
        <w:ind w:left="720" w:hanging="360"/>
      </w:pPr>
      <w:rPr>
        <w:rFonts w:ascii="Arial" w:hAnsi="Arial" w:hint="default"/>
      </w:rPr>
    </w:lvl>
    <w:lvl w:ilvl="1" w:tplc="A8600A40" w:tentative="1">
      <w:start w:val="1"/>
      <w:numFmt w:val="bullet"/>
      <w:lvlText w:val="•"/>
      <w:lvlJc w:val="left"/>
      <w:pPr>
        <w:tabs>
          <w:tab w:val="num" w:pos="1440"/>
        </w:tabs>
        <w:ind w:left="1440" w:hanging="360"/>
      </w:pPr>
      <w:rPr>
        <w:rFonts w:ascii="Arial" w:hAnsi="Arial" w:hint="default"/>
      </w:rPr>
    </w:lvl>
    <w:lvl w:ilvl="2" w:tplc="BC302480" w:tentative="1">
      <w:start w:val="1"/>
      <w:numFmt w:val="bullet"/>
      <w:lvlText w:val="•"/>
      <w:lvlJc w:val="left"/>
      <w:pPr>
        <w:tabs>
          <w:tab w:val="num" w:pos="2160"/>
        </w:tabs>
        <w:ind w:left="2160" w:hanging="360"/>
      </w:pPr>
      <w:rPr>
        <w:rFonts w:ascii="Arial" w:hAnsi="Arial" w:hint="default"/>
      </w:rPr>
    </w:lvl>
    <w:lvl w:ilvl="3" w:tplc="97E231C8" w:tentative="1">
      <w:start w:val="1"/>
      <w:numFmt w:val="bullet"/>
      <w:lvlText w:val="•"/>
      <w:lvlJc w:val="left"/>
      <w:pPr>
        <w:tabs>
          <w:tab w:val="num" w:pos="2880"/>
        </w:tabs>
        <w:ind w:left="2880" w:hanging="360"/>
      </w:pPr>
      <w:rPr>
        <w:rFonts w:ascii="Arial" w:hAnsi="Arial" w:hint="default"/>
      </w:rPr>
    </w:lvl>
    <w:lvl w:ilvl="4" w:tplc="2092EEF4" w:tentative="1">
      <w:start w:val="1"/>
      <w:numFmt w:val="bullet"/>
      <w:lvlText w:val="•"/>
      <w:lvlJc w:val="left"/>
      <w:pPr>
        <w:tabs>
          <w:tab w:val="num" w:pos="3600"/>
        </w:tabs>
        <w:ind w:left="3600" w:hanging="360"/>
      </w:pPr>
      <w:rPr>
        <w:rFonts w:ascii="Arial" w:hAnsi="Arial" w:hint="default"/>
      </w:rPr>
    </w:lvl>
    <w:lvl w:ilvl="5" w:tplc="AD4E1B20" w:tentative="1">
      <w:start w:val="1"/>
      <w:numFmt w:val="bullet"/>
      <w:lvlText w:val="•"/>
      <w:lvlJc w:val="left"/>
      <w:pPr>
        <w:tabs>
          <w:tab w:val="num" w:pos="4320"/>
        </w:tabs>
        <w:ind w:left="4320" w:hanging="360"/>
      </w:pPr>
      <w:rPr>
        <w:rFonts w:ascii="Arial" w:hAnsi="Arial" w:hint="default"/>
      </w:rPr>
    </w:lvl>
    <w:lvl w:ilvl="6" w:tplc="DD00E342" w:tentative="1">
      <w:start w:val="1"/>
      <w:numFmt w:val="bullet"/>
      <w:lvlText w:val="•"/>
      <w:lvlJc w:val="left"/>
      <w:pPr>
        <w:tabs>
          <w:tab w:val="num" w:pos="5040"/>
        </w:tabs>
        <w:ind w:left="5040" w:hanging="360"/>
      </w:pPr>
      <w:rPr>
        <w:rFonts w:ascii="Arial" w:hAnsi="Arial" w:hint="default"/>
      </w:rPr>
    </w:lvl>
    <w:lvl w:ilvl="7" w:tplc="1332BBF4" w:tentative="1">
      <w:start w:val="1"/>
      <w:numFmt w:val="bullet"/>
      <w:lvlText w:val="•"/>
      <w:lvlJc w:val="left"/>
      <w:pPr>
        <w:tabs>
          <w:tab w:val="num" w:pos="5760"/>
        </w:tabs>
        <w:ind w:left="5760" w:hanging="360"/>
      </w:pPr>
      <w:rPr>
        <w:rFonts w:ascii="Arial" w:hAnsi="Arial" w:hint="default"/>
      </w:rPr>
    </w:lvl>
    <w:lvl w:ilvl="8" w:tplc="FCC243E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D36F86"/>
    <w:multiLevelType w:val="hybridMultilevel"/>
    <w:tmpl w:val="77AEC5AA"/>
    <w:lvl w:ilvl="0" w:tplc="B15496CE">
      <w:start w:val="1"/>
      <w:numFmt w:val="bullet"/>
      <w:lvlText w:val="•"/>
      <w:lvlJc w:val="left"/>
      <w:pPr>
        <w:tabs>
          <w:tab w:val="num" w:pos="720"/>
        </w:tabs>
        <w:ind w:left="720" w:hanging="360"/>
      </w:pPr>
      <w:rPr>
        <w:rFonts w:ascii="Arial" w:hAnsi="Arial" w:hint="default"/>
      </w:rPr>
    </w:lvl>
    <w:lvl w:ilvl="1" w:tplc="057A9752" w:tentative="1">
      <w:start w:val="1"/>
      <w:numFmt w:val="bullet"/>
      <w:lvlText w:val="•"/>
      <w:lvlJc w:val="left"/>
      <w:pPr>
        <w:tabs>
          <w:tab w:val="num" w:pos="1440"/>
        </w:tabs>
        <w:ind w:left="1440" w:hanging="360"/>
      </w:pPr>
      <w:rPr>
        <w:rFonts w:ascii="Arial" w:hAnsi="Arial" w:hint="default"/>
      </w:rPr>
    </w:lvl>
    <w:lvl w:ilvl="2" w:tplc="ABAC8BA4" w:tentative="1">
      <w:start w:val="1"/>
      <w:numFmt w:val="bullet"/>
      <w:lvlText w:val="•"/>
      <w:lvlJc w:val="left"/>
      <w:pPr>
        <w:tabs>
          <w:tab w:val="num" w:pos="2160"/>
        </w:tabs>
        <w:ind w:left="2160" w:hanging="360"/>
      </w:pPr>
      <w:rPr>
        <w:rFonts w:ascii="Arial" w:hAnsi="Arial" w:hint="default"/>
      </w:rPr>
    </w:lvl>
    <w:lvl w:ilvl="3" w:tplc="9692F7B2" w:tentative="1">
      <w:start w:val="1"/>
      <w:numFmt w:val="bullet"/>
      <w:lvlText w:val="•"/>
      <w:lvlJc w:val="left"/>
      <w:pPr>
        <w:tabs>
          <w:tab w:val="num" w:pos="2880"/>
        </w:tabs>
        <w:ind w:left="2880" w:hanging="360"/>
      </w:pPr>
      <w:rPr>
        <w:rFonts w:ascii="Arial" w:hAnsi="Arial" w:hint="default"/>
      </w:rPr>
    </w:lvl>
    <w:lvl w:ilvl="4" w:tplc="21E81108" w:tentative="1">
      <w:start w:val="1"/>
      <w:numFmt w:val="bullet"/>
      <w:lvlText w:val="•"/>
      <w:lvlJc w:val="left"/>
      <w:pPr>
        <w:tabs>
          <w:tab w:val="num" w:pos="3600"/>
        </w:tabs>
        <w:ind w:left="3600" w:hanging="360"/>
      </w:pPr>
      <w:rPr>
        <w:rFonts w:ascii="Arial" w:hAnsi="Arial" w:hint="default"/>
      </w:rPr>
    </w:lvl>
    <w:lvl w:ilvl="5" w:tplc="D37A9B5C" w:tentative="1">
      <w:start w:val="1"/>
      <w:numFmt w:val="bullet"/>
      <w:lvlText w:val="•"/>
      <w:lvlJc w:val="left"/>
      <w:pPr>
        <w:tabs>
          <w:tab w:val="num" w:pos="4320"/>
        </w:tabs>
        <w:ind w:left="4320" w:hanging="360"/>
      </w:pPr>
      <w:rPr>
        <w:rFonts w:ascii="Arial" w:hAnsi="Arial" w:hint="default"/>
      </w:rPr>
    </w:lvl>
    <w:lvl w:ilvl="6" w:tplc="AADA0F82" w:tentative="1">
      <w:start w:val="1"/>
      <w:numFmt w:val="bullet"/>
      <w:lvlText w:val="•"/>
      <w:lvlJc w:val="left"/>
      <w:pPr>
        <w:tabs>
          <w:tab w:val="num" w:pos="5040"/>
        </w:tabs>
        <w:ind w:left="5040" w:hanging="360"/>
      </w:pPr>
      <w:rPr>
        <w:rFonts w:ascii="Arial" w:hAnsi="Arial" w:hint="default"/>
      </w:rPr>
    </w:lvl>
    <w:lvl w:ilvl="7" w:tplc="49FCDEE4" w:tentative="1">
      <w:start w:val="1"/>
      <w:numFmt w:val="bullet"/>
      <w:lvlText w:val="•"/>
      <w:lvlJc w:val="left"/>
      <w:pPr>
        <w:tabs>
          <w:tab w:val="num" w:pos="5760"/>
        </w:tabs>
        <w:ind w:left="5760" w:hanging="360"/>
      </w:pPr>
      <w:rPr>
        <w:rFonts w:ascii="Arial" w:hAnsi="Arial" w:hint="default"/>
      </w:rPr>
    </w:lvl>
    <w:lvl w:ilvl="8" w:tplc="5596F5DC"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BA6DEC"/>
    <w:multiLevelType w:val="hybridMultilevel"/>
    <w:tmpl w:val="AED0F384"/>
    <w:lvl w:ilvl="0" w:tplc="C2468EE2">
      <w:start w:val="1"/>
      <w:numFmt w:val="bullet"/>
      <w:lvlText w:val="•"/>
      <w:lvlJc w:val="left"/>
      <w:pPr>
        <w:tabs>
          <w:tab w:val="num" w:pos="720"/>
        </w:tabs>
        <w:ind w:left="720" w:hanging="360"/>
      </w:pPr>
      <w:rPr>
        <w:rFonts w:ascii="Arial" w:hAnsi="Arial" w:hint="default"/>
      </w:rPr>
    </w:lvl>
    <w:lvl w:ilvl="1" w:tplc="E72E6E68" w:tentative="1">
      <w:start w:val="1"/>
      <w:numFmt w:val="bullet"/>
      <w:lvlText w:val="•"/>
      <w:lvlJc w:val="left"/>
      <w:pPr>
        <w:tabs>
          <w:tab w:val="num" w:pos="1440"/>
        </w:tabs>
        <w:ind w:left="1440" w:hanging="360"/>
      </w:pPr>
      <w:rPr>
        <w:rFonts w:ascii="Arial" w:hAnsi="Arial" w:hint="default"/>
      </w:rPr>
    </w:lvl>
    <w:lvl w:ilvl="2" w:tplc="21201938" w:tentative="1">
      <w:start w:val="1"/>
      <w:numFmt w:val="bullet"/>
      <w:lvlText w:val="•"/>
      <w:lvlJc w:val="left"/>
      <w:pPr>
        <w:tabs>
          <w:tab w:val="num" w:pos="2160"/>
        </w:tabs>
        <w:ind w:left="2160" w:hanging="360"/>
      </w:pPr>
      <w:rPr>
        <w:rFonts w:ascii="Arial" w:hAnsi="Arial" w:hint="default"/>
      </w:rPr>
    </w:lvl>
    <w:lvl w:ilvl="3" w:tplc="CEBCB992" w:tentative="1">
      <w:start w:val="1"/>
      <w:numFmt w:val="bullet"/>
      <w:lvlText w:val="•"/>
      <w:lvlJc w:val="left"/>
      <w:pPr>
        <w:tabs>
          <w:tab w:val="num" w:pos="2880"/>
        </w:tabs>
        <w:ind w:left="2880" w:hanging="360"/>
      </w:pPr>
      <w:rPr>
        <w:rFonts w:ascii="Arial" w:hAnsi="Arial" w:hint="default"/>
      </w:rPr>
    </w:lvl>
    <w:lvl w:ilvl="4" w:tplc="8D069BFC" w:tentative="1">
      <w:start w:val="1"/>
      <w:numFmt w:val="bullet"/>
      <w:lvlText w:val="•"/>
      <w:lvlJc w:val="left"/>
      <w:pPr>
        <w:tabs>
          <w:tab w:val="num" w:pos="3600"/>
        </w:tabs>
        <w:ind w:left="3600" w:hanging="360"/>
      </w:pPr>
      <w:rPr>
        <w:rFonts w:ascii="Arial" w:hAnsi="Arial" w:hint="default"/>
      </w:rPr>
    </w:lvl>
    <w:lvl w:ilvl="5" w:tplc="9F6C9D90" w:tentative="1">
      <w:start w:val="1"/>
      <w:numFmt w:val="bullet"/>
      <w:lvlText w:val="•"/>
      <w:lvlJc w:val="left"/>
      <w:pPr>
        <w:tabs>
          <w:tab w:val="num" w:pos="4320"/>
        </w:tabs>
        <w:ind w:left="4320" w:hanging="360"/>
      </w:pPr>
      <w:rPr>
        <w:rFonts w:ascii="Arial" w:hAnsi="Arial" w:hint="default"/>
      </w:rPr>
    </w:lvl>
    <w:lvl w:ilvl="6" w:tplc="4DD44E34" w:tentative="1">
      <w:start w:val="1"/>
      <w:numFmt w:val="bullet"/>
      <w:lvlText w:val="•"/>
      <w:lvlJc w:val="left"/>
      <w:pPr>
        <w:tabs>
          <w:tab w:val="num" w:pos="5040"/>
        </w:tabs>
        <w:ind w:left="5040" w:hanging="360"/>
      </w:pPr>
      <w:rPr>
        <w:rFonts w:ascii="Arial" w:hAnsi="Arial" w:hint="default"/>
      </w:rPr>
    </w:lvl>
    <w:lvl w:ilvl="7" w:tplc="A112BB82" w:tentative="1">
      <w:start w:val="1"/>
      <w:numFmt w:val="bullet"/>
      <w:lvlText w:val="•"/>
      <w:lvlJc w:val="left"/>
      <w:pPr>
        <w:tabs>
          <w:tab w:val="num" w:pos="5760"/>
        </w:tabs>
        <w:ind w:left="5760" w:hanging="360"/>
      </w:pPr>
      <w:rPr>
        <w:rFonts w:ascii="Arial" w:hAnsi="Arial" w:hint="default"/>
      </w:rPr>
    </w:lvl>
    <w:lvl w:ilvl="8" w:tplc="16BEF2E4"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4"/>
  </w:num>
  <w:num w:numId="26" w16cid:durableId="1104690971">
    <w:abstractNumId w:val="36"/>
  </w:num>
  <w:num w:numId="27" w16cid:durableId="1201670287">
    <w:abstractNumId w:val="43"/>
  </w:num>
  <w:num w:numId="28" w16cid:durableId="598562144">
    <w:abstractNumId w:val="20"/>
  </w:num>
  <w:num w:numId="29" w16cid:durableId="871068292">
    <w:abstractNumId w:val="46"/>
  </w:num>
  <w:num w:numId="30" w16cid:durableId="482159744">
    <w:abstractNumId w:val="32"/>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1463616339">
    <w:abstractNumId w:val="37"/>
  </w:num>
  <w:num w:numId="55" w16cid:durableId="1180200186">
    <w:abstractNumId w:val="28"/>
  </w:num>
  <w:num w:numId="56" w16cid:durableId="1679035478">
    <w:abstractNumId w:val="41"/>
  </w:num>
  <w:numIdMacAtCleanup w:val="5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3971"/>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E5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9AD"/>
    <w:rsid w:val="00423B46"/>
    <w:rsid w:val="00425160"/>
    <w:rsid w:val="00430DE3"/>
    <w:rsid w:val="004348AE"/>
    <w:rsid w:val="004376C0"/>
    <w:rsid w:val="0044223A"/>
    <w:rsid w:val="00450B67"/>
    <w:rsid w:val="00451851"/>
    <w:rsid w:val="0045189A"/>
    <w:rsid w:val="00453343"/>
    <w:rsid w:val="004538C3"/>
    <w:rsid w:val="004607D1"/>
    <w:rsid w:val="004608B9"/>
    <w:rsid w:val="00463B55"/>
    <w:rsid w:val="00465947"/>
    <w:rsid w:val="004667B1"/>
    <w:rsid w:val="00467F66"/>
    <w:rsid w:val="00470461"/>
    <w:rsid w:val="00470BB1"/>
    <w:rsid w:val="00470CB6"/>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FF0"/>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532"/>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64B"/>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FA3"/>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66C2"/>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01E5"/>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E49"/>
    <w:rsid w:val="00DD5020"/>
    <w:rsid w:val="00DD63BE"/>
    <w:rsid w:val="00DE4296"/>
    <w:rsid w:val="00DE58BB"/>
    <w:rsid w:val="00DF2469"/>
    <w:rsid w:val="00DF5FE3"/>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FE3"/>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2E5E59"/>
    <w:rPr>
      <w:i/>
      <w:iCs/>
    </w:rPr>
  </w:style>
  <w:style w:type="paragraph" w:styleId="NormalWeb">
    <w:name w:val="Normal (Web)"/>
    <w:basedOn w:val="Normal"/>
    <w:uiPriority w:val="99"/>
    <w:semiHidden/>
    <w:unhideWhenUsed/>
    <w:rsid w:val="00876F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B6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189%39%38@%73%74%75%64%65%6et%2e%75%77%74%73%64%2e%61%63%2eu%6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dampeterspencer@gwynedd.llyw.cymru"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5</Pages>
  <Words>1132</Words>
  <Characters>6458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Spencer (2418998)</cp:lastModifiedBy>
  <cp:revision>8</cp:revision>
  <cp:lastPrinted>2020-02-11T19:20:00Z</cp:lastPrinted>
  <dcterms:created xsi:type="dcterms:W3CDTF">2022-09-29T11:35:00Z</dcterms:created>
  <dcterms:modified xsi:type="dcterms:W3CDTF">2026-10-07T09:47:00Z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