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51D4E3B">
      <w:pPr>
        <w:spacing w:after="0" w:line="360" w:lineRule="auto"/>
        <w:jc w:val="center"/>
        <w:rPr>
          <w:rFonts w:ascii="Times New Roman" w:hAnsi="Times New Roman" w:eastAsia="宋体" w:cs="Times New Roman"/>
          <w:b/>
          <w:bCs/>
          <w:color w:val="auto"/>
          <w:sz w:val="24"/>
          <w:szCs w:val="24"/>
          <w:lang w:eastAsia="zh-CN"/>
        </w:rPr>
      </w:pPr>
      <w:r>
        <w:rPr>
          <w:rFonts w:ascii="Times New Roman" w:hAnsi="Times New Roman" w:cs="Times New Roman"/>
          <w:b/>
          <w:bCs/>
          <w:color w:val="auto"/>
          <w:sz w:val="24"/>
          <w:szCs w:val="24"/>
        </w:rPr>
        <w:t>GIS-Based Habitat Suitability Analysis for Skylark in Cardiff</w:t>
      </w:r>
    </w:p>
    <w:p w14:paraId="604F16EE">
      <w:pPr>
        <w:pStyle w:val="3"/>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Introduction: GIS and Habitat Management</w:t>
      </w:r>
    </w:p>
    <w:p w14:paraId="7BE97B32">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Habitat management is now carried out under the circumstances of accelerating biodiversity loss, land-use change and fragmented ecological information. The previous way of management was based on field surveys, local knowledge and maps; therefore, when a large number of environmental indicators in various areas need to be compared, paper maps or individual survey data are not feasible. A Geoinformation System will be used to store, analyse and spread spatial data in a common coordinate system. The above is because habitats are not isolated areas but are connected to soils, hydrology, topography, land-use rights, species migration routes, disturbances and all other development plans.</w:t>
      </w:r>
    </w:p>
    <w:p w14:paraId="47282BA5">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GIS will show new maps and achieve other goals. It may result in a spatial problem for the habitat manager that is not listed in the field notes. For example, GIS can determine whether the existing habitat patches are connected or isolated; therefore, restoration efforts can be more effectively directed to strengthen a corridor, areas that have not been surveyed sufficiently, and conflicts with built-up areas, protected sites or accessibility limitations in management activities. Remote sensing technology can be used to detect changes in the range of vegetation and land-use type over a long period, as well as other seasonal changes. Biodiversity loss is also caused by many reasons and does not result from a single, obvious local source.</w:t>
      </w:r>
    </w:p>
    <w:p w14:paraId="6B1F23CB">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GIS can be used for habitat management now. A management recommendation can be traced back to the datasets and assumptions used in its creation, such as land-cover categories, slope thresholds, distance from roads, or distance from woodland edge. Thus, the conservationists, local governments and land managers will be able to determine whether the suggestion is supported by data and reproducible. It can be used for other places too. For example, a habitat suitability model can show how the priority areas for a species change under different weightings of food resources, nesting habitat and human disturbance.</w:t>
      </w:r>
    </w:p>
    <w:p w14:paraId="24AD0E32">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Geographic Information Systems (GIS) will support the decision-making process for ecological judgments. A map shows where a species is located, but it cannot confirm whether that species actually exists in that place, determine whether the environment is suitable for it, or judge whether management measures will be effective. The Quality of the output will be affected by the Quality, Resolution and Ecological Relevance of the input layer. Habitat categories are too general to describe the structure of vegetation, and remote sensing can only provide proxies for the ecological process of interest. Therefore, the most feasible GIS-based habitat management will be one that combines desktop analysis and field verification, and clearly shows uncertainty. Habitat suitability analysis in this paper investigates the distribution of skylarks in Cardiff.</w:t>
      </w:r>
    </w:p>
    <w:p w14:paraId="5A57810C">
      <w:pPr>
        <w:spacing w:after="0" w:line="360" w:lineRule="auto"/>
        <w:ind w:firstLine="480" w:firstLineChars="200"/>
        <w:jc w:val="left"/>
        <w:rPr>
          <w:rFonts w:ascii="Times New Roman" w:hAnsi="Times New Roman" w:eastAsia="宋体" w:cs="Times New Roman"/>
          <w:sz w:val="24"/>
          <w:szCs w:val="24"/>
          <w:lang w:eastAsia="zh-CN"/>
        </w:rPr>
      </w:pPr>
      <w:r>
        <w:rPr>
          <w:rFonts w:ascii="Times New Roman" w:hAnsi="Times New Roman" w:cs="Times New Roman"/>
          <w:color w:val="auto"/>
          <w:sz w:val="24"/>
          <w:szCs w:val="24"/>
        </w:rPr>
        <w:t>Recently, it has been suggested that a GIS will be deployed in the UK and Wales. According to the 2023 report by the State of Nature, biodiversity in the UK continues to decline; also, the latest wild bird statistics published by Defra show that breeding farmland bird populations in the UK have been decreasing significantly since 1970 and have further dropped in the most recent five-year assessment period (State of Nature Partnership, 2023; Defra, 2025). Natural Resources Wales also considers the health of the ecosystem in Wales under the 'soNaRR 2025' plan for managing land. For a farmland bird such as a skylark, the above trends show that habitat management cannot be separated from the spatial decisions of where to maintain open areas, how they are connected, and where to focus practical measures.</w:t>
      </w:r>
    </w:p>
    <w:p w14:paraId="62EDB841">
      <w:pPr>
        <w:pStyle w:val="3"/>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Habitat Suitability Analysis as a GIS Application</w:t>
      </w:r>
    </w:p>
    <w:p w14:paraId="718887C9">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Habitat management is one of the first places where GIS is being applied now. It transforms the ecological demands of a specific species or habitat into spatial indices, and based on these indices, determines whether an area is more or less suitable for conservation and restoration, etc. As shown above, the GIS methods for the above are weighted overlay, multi-criteria decision analysis, species distribution modelling, or rule-based suitability scoring. Ecological knowledge is generally expressed spatially; for example, a demand for open space to house young can be transformed into a land-cover or distance-to-edge variable, and a threat such as urban disturbance can be shown as a distance-from-settlement or road-pressure variable.</w:t>
      </w:r>
    </w:p>
    <w:p w14:paraId="1DCE1984">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Purpose of Suitability Analysis is to list the assumed facts. Instead of saying generally that skylarks need open farmland, the model should specify what constitutes open land, which land-cover classes are excluded, how far a site should be from woodland or buildings, and how nesting habitat should be shown when direct vegetation-height data are unavailable. It will help manage the environment by offering some data for the conservation plan. A good map does not have to be perfect; it only needs to generate some hypotheses and show that certain areas are more suitable for fieldwork and management. It can also show the final map and explain where the best place for action will be through communication.</w:t>
      </w:r>
    </w:p>
    <w:p w14:paraId="06B59B39">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At the same time, if it is used without consideration, the suitability analysis will be too simple. Species are influenced by several factors, and a specific type of land-use area may be suitable or not suitable at different times of the year or due to human intervention, etc. For a ground-nesting farmland bird, for instance, a grass field may be suitable in a land-cover dataset but will no longer be suitable if it is often cut during the breeding season. In other words, the methods should provide reasons for their selection, recognise that some are substitutes, and show how the results will be verified in practice. The suitability analysis in this report is intended to be a practical case study of habitat management; it will identify potential areas in Cardiff that appear to meet the requirements of skylark habitat, and then fieldwork or targeted management can be conducted to test and improve the model.</w:t>
      </w:r>
    </w:p>
    <w:p w14:paraId="69FEA13E">
      <w:pPr>
        <w:spacing w:after="0" w:line="360" w:lineRule="auto"/>
        <w:ind w:firstLine="480" w:firstLineChars="200"/>
        <w:jc w:val="left"/>
        <w:rPr>
          <w:rFonts w:ascii="Times New Roman" w:hAnsi="Times New Roman" w:eastAsia="宋体" w:cs="Times New Roman"/>
          <w:sz w:val="24"/>
          <w:szCs w:val="24"/>
          <w:lang w:eastAsia="zh-CN"/>
        </w:rPr>
      </w:pPr>
      <w:r>
        <w:rPr>
          <w:rFonts w:ascii="Times New Roman" w:hAnsi="Times New Roman" w:cs="Times New Roman"/>
          <w:color w:val="auto"/>
          <w:sz w:val="24"/>
          <w:szCs w:val="24"/>
        </w:rPr>
        <w:t xml:space="preserve">This is in line with the new suitability-model literature. Although GIS-based multi-criteria methods are suitable for spatially explicit conservation priority setting, the scoring and weight-determination stages are not transparent due to high variability in expert judgment ( </w:t>
      </w:r>
      <w:r>
        <w:rPr>
          <w:rFonts w:hint="eastAsia" w:ascii="Times New Roman" w:hAnsi="Times New Roman" w:cs="Times New Roman"/>
          <w:color w:val="auto"/>
          <w:sz w:val="24"/>
          <w:szCs w:val="24"/>
        </w:rPr>
        <w:t>Rodríguez-Merino</w:t>
      </w:r>
      <w:r>
        <w:rPr>
          <w:rFonts w:hint="default" w:ascii="Times New Roman" w:hAnsi="Times New Roman" w:cs="Times New Roman"/>
          <w:color w:val="auto"/>
          <w:sz w:val="24"/>
          <w:szCs w:val="24"/>
          <w:lang w:val="en-US"/>
        </w:rPr>
        <w:t xml:space="preserve"> </w:t>
      </w:r>
      <w:r>
        <w:rPr>
          <w:rFonts w:ascii="Times New Roman" w:hAnsi="Times New Roman" w:cs="Times New Roman"/>
          <w:color w:val="auto"/>
          <w:sz w:val="24"/>
          <w:szCs w:val="24"/>
        </w:rPr>
        <w:t>et al., 2020). Species distribution modelling guidance also indicates that the spatial model should clearly state its assumptions, choices for predictors, data deficiencies and validation methods (Zurell et al., 2020). Although remote sensing and high-resolution environmental data can provide an ecological basis for the study of birds and grassland species, interpretation according to the structure of local habitats and behaviour of these species is still required (Crispim-Mendes et al., 2024; Radovic, Kapelj and Taylor, 2025). Therefore, the Cardiff model should be viewed as an open-displaying model rather than a certain prognosis for breeding success.</w:t>
      </w:r>
    </w:p>
    <w:p w14:paraId="41FA6137">
      <w:pPr>
        <w:pStyle w:val="3"/>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Methods: Species and Site Selection</w:t>
      </w:r>
    </w:p>
    <w:p w14:paraId="3D7062D5">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Target Species: Skylark</w:t>
      </w:r>
    </w:p>
    <w:p w14:paraId="60B7CF57">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Alauda arvensis is the subject of this paper. Skylark is a suitable subject for this assessment because it is endangered, and its required habitats can be shown on a map. Britain is known for its open fields and pastures, and as a result, the number of farmland birds has declined significantly there. RSPB has designated this bird as red-listed in the UK, and BTO BirdFacts also indicates that it is a red conservation object at the UK, European and global levels (RSPB, n.d.; BTO, 2026). Therefore, skylarks are both species in themselves and indicators of changes in the broader pattern of agricultural land use.</w:t>
      </w:r>
    </w:p>
    <w:p w14:paraId="069A250F">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Conservation work for the Skylark is also conservation of the environment. The species builds its nest on the ground and needs a certain structure of short- or open-vegetation for nest-building access, but this structure should not be overly disturbed to cause harm to the nests. Food will also be needed at all times, and other plant materials will be required during the off-season for seeds and other plants, as well as invertebrates to feed the chicks. The above reasons are affected by the type of crops, grassland cutting, grazing pressure, herbicide and pesticide use, field size, loss of winter stubble, and the conversion of open land to development or woodland. Therefore, skylarks are suitable subjects for a GIS-based habitat suitability model because their needs can be expressed in terms of quantifiable spatial variables, and ecological judgment and field validation are still required.</w:t>
      </w:r>
    </w:p>
    <w:p w14:paraId="628C6BDE">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Skylark can be used to demonstrate the strengths and weaknesses of GIS in teaching as well. Some of its requirements, such as avoiding urban areas, woodlands and waters, are relatively simple to map with the standard land-cover and topographic datasets. Other requirements, such as the height of the vegetation, density of the sward, recent mowing or availability of invertebrate prey, are not easily mapped and may need to be obtained through proxy indicators or field notes. Therefore, this species is a typical case of habitat management: although the GIS model can identify potentially suitable open areas, actual assessment of whether they are effective breeding habitats still needs to be based on ground inspection.</w:t>
      </w:r>
    </w:p>
    <w:p w14:paraId="687CB956">
      <w:pPr>
        <w:spacing w:after="0" w:line="360" w:lineRule="auto"/>
        <w:ind w:firstLine="480" w:firstLineChars="200"/>
        <w:jc w:val="left"/>
        <w:rPr>
          <w:rFonts w:ascii="Times New Roman" w:hAnsi="Times New Roman" w:eastAsia="宋体" w:cs="Times New Roman"/>
          <w:sz w:val="24"/>
          <w:szCs w:val="24"/>
          <w:lang w:eastAsia="zh-CN"/>
        </w:rPr>
      </w:pPr>
      <w:r>
        <w:rPr>
          <w:rFonts w:ascii="Times New Roman" w:hAnsi="Times New Roman" w:cs="Times New Roman"/>
          <w:color w:val="auto"/>
          <w:sz w:val="24"/>
          <w:szCs w:val="24"/>
        </w:rPr>
        <w:t>A Skylark has also been identified in the recent observation data. The BTO/JNCC/RSPB Breeding Bird Survey remains a primary data source for monitoring changes in the UK's breeding bird populations, and the 2024 report has pointed out the need for extended-term data collection to pinpoint specific species and habitats that require management intervention (Heywood et al., 2025). Rigal and others in Europe have shown that the common bird decline is largely due to intensified farming; thus, Farmland practices should be included in the reasons for the reduction of avian diversity, not just a background factor. The above studies have increased the rationale for choosing a species closely related to the conservation status of agricultural land cover, crop structure and field-level management.</w:t>
      </w:r>
    </w:p>
    <w:p w14:paraId="05E75E39">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Study Area: Cardiff</w:t>
      </w:r>
    </w:p>
    <w:p w14:paraId="2DA84AD5">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Selected Area of Study is Cardiff, South Wales. This site has the following three reasons. First, it is local and easy to obtain in the field, as required by the assessment brief. A GIS model will be more realistic if some of the premises used to construct it can be directly verified through on-site observation, such as determining whether the mapped grassland is indeed undepressed, evaluating the reasonableness of its structure in the field, and identifying potential harmful factors to it, such as high-frequency mowing or public disturbance.</w:t>
      </w:r>
    </w:p>
    <w:p w14:paraId="2C4B9529">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Second, Cardiff is an urban-rural transition area that has a practical application for habitat suitability analysis. The city has high-density urban areas, transportation facilities, parks, open-air grasslands, river valleys, coast and estuary regions, farmland or semi-rural areas at its periphery, etc. Skylark will probably be able to find a place to live in an open grassland or farmland outside the urban area rather than in a city. A GIS model can be used to identify areas that are obviously unsuitable for development, and therefore excluded from the list of required surveys or management efforts. It can also show the locations where the remaining open habitats have been divided by roads, settlement edges, etc.</w:t>
      </w:r>
    </w:p>
    <w:p w14:paraId="6AA6202E">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Third, Cardiff is suitable for the Skylark ecologically. According to the sustainability assessment baseline of the Cardiff Local Development Plan (Cardiff Council, 2016), skylarks are year-round residents of the grasslands in Cardiff. Therefore, the selection of the site is suitable, as the species has not been modelled at an arbitrary location and there is local evidence that Cardiff has breeding habitats. The area needs to be protected as a place for habitat and is also facing pressure from construction and other development activities. If suitable skylark habitats are concentrated in particular grassland or farmland areas, GIS can be used to identify the locations that would be most effective for surveys, mitigation, mowing regimes, arable management or habitat restoration.</w:t>
      </w:r>
    </w:p>
    <w:p w14:paraId="1A0C5043">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Cardiff is also connected to the policy requirements mentioned above. Under the Section 6 biodiversity duty, public authorities in Wales must strive to protect and improve biodiversity and strengthen the resilience of ecosystems (Welsh Government, 2025). A suitable model of a skylark can offer support for such a decision by identifying areas where habitat management will benefit a declining farmland bird, and at the same time strengthen the evidence base for local green infrastructure and development planning.</w:t>
      </w:r>
    </w:p>
    <w:p w14:paraId="13DF1513">
      <w:pPr>
        <w:jc w:val="left"/>
        <w:rPr>
          <w:rFonts w:ascii="Times New Roman" w:hAnsi="Times New Roman" w:cs="Times New Roman"/>
          <w:sz w:val="24"/>
          <w:szCs w:val="24"/>
        </w:rPr>
      </w:pPr>
      <w:r>
        <w:rPr>
          <w:rFonts w:ascii="Times New Roman" w:hAnsi="Times New Roman" w:cs="Times New Roman"/>
          <w:sz w:val="24"/>
          <w:szCs w:val="24"/>
        </w:rPr>
        <w:t>The Cardiff focus also makes the data limitations visible. The Phase 1 habitat survey layer available through DataMapWales is a valuable national dataset because it provides comprehensive habitat-cover information for Wales, but it was derived from field recording that began in 1979 and continued through the lowland survey period before later digitisation and release as open spatial data (Natural Resources Wales, 2023). This means it is appropriate for a broad suitability screen, but it should not be treated as a perfect representation of current vegetation condition. In an urban-rural landscape such as Cardiff, where land cover can change through development, recreation and agricultural management, this is a strong reason to combine GIS analysis with field checking.</w:t>
      </w:r>
    </w:p>
    <w:p w14:paraId="656FE664">
      <w:pPr>
        <w:pStyle w:val="3"/>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Habitat Suitability Requirements for Skylark</w:t>
      </w:r>
    </w:p>
    <w:p w14:paraId="10E6722F">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 xml:space="preserve">The first set of ecological features are called nesting, food resources and mortality or threat factors. The above themes are in line with what was learned in class and can be translated into criteria for testing in GIS. </w:t>
      </w:r>
    </w:p>
    <w:p w14:paraId="73B71F1B">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Nesting Requirements</w:t>
      </w:r>
    </w:p>
    <w:p w14:paraId="07D88CFB">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Skylarks are ground-nesting birds in open areas. A suitable nesting habitat should be close to the ground, somewhat covered with vegetation for shelter, and have a low risk of damage to the nest during the breeding season. RSPB farmer advice notes that skylark plots should be located away from field boundaries and tramlines, and these plots are to provide open spaces in the crop areas for skylarks to access nesting and foraging sites (RSPB, n.d.b). FAS also suggests that, in the same way, these species need open areas and are negatively affected by overly dense vegetation or land-use disturbances during the nesting season (FAS, 2024). Therefore, the Cardiff model will likely be the most suitable for nesting in open grassland or arable land with a relatively open structure, and less suitable for nesting in woodland, dense scrub, urban areas, water bodies, and heavily disturbed recreational areas.</w:t>
      </w:r>
    </w:p>
    <w:p w14:paraId="251E5E5C">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As direct vegetation height data are unavailable, proxies must be used in the GIS analysis. Potential proxies include land-cover class, crop or grassland type, NDVI or seasonal vegetation index (if available), and field observations from site visits. The problem to be solved will be introduced in the method. A grassland polygon in the land-cover layer is not necessarily suitable for nesting; it may be too high, too frequently mowed, excessively grazed or disturbed, etc. Therefore, the suitability model should be used as an initial spatial screen rather than as a final judgment on breeding quality.</w:t>
      </w:r>
    </w:p>
    <w:p w14:paraId="1916B4CF">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Food Requirements</w:t>
      </w:r>
    </w:p>
    <w:p w14:paraId="67CD7B6E">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Skylarks need food all the time. Adult birds are not breeding at this time and eat seeds and plants; the chicks need to eat invertebrates. Therefore, a suitable place for the nest should be close to food sources for feeding. GWCT reports that skylarks are found in farmlands, and they are seed- and insect-eating species; the Wildlife Trust lists open fields and grasslands as some of the habitats for skylarks (GWCT, n.d.; Suffolk Wildlife Trust, n.d.; The Wildlife Trust of South and West Wales, n.d.). Food availability can be expressed as proxies for land cover and management in GIS, such as rough grassland, mixed farmland, field margins, winter stubble, uncultivated plots, or less intensively managed grassland.</w:t>
      </w:r>
    </w:p>
    <w:p w14:paraId="3A351D54">
      <w:pPr>
        <w:spacing w:after="0" w:line="360" w:lineRule="auto"/>
        <w:ind w:firstLine="480" w:firstLineChars="200"/>
        <w:rPr>
          <w:rFonts w:ascii="Times New Roman" w:hAnsi="Times New Roman" w:eastAsia="宋体" w:cs="Times New Roman"/>
          <w:color w:val="auto"/>
          <w:sz w:val="24"/>
          <w:szCs w:val="24"/>
          <w:lang w:eastAsia="zh-CN"/>
        </w:rPr>
      </w:pPr>
      <w:r>
        <w:rPr>
          <w:rFonts w:ascii="Times New Roman" w:hAnsi="Times New Roman" w:cs="Times New Roman"/>
          <w:color w:val="auto"/>
          <w:sz w:val="24"/>
          <w:szCs w:val="24"/>
        </w:rPr>
        <w:t>Therefore, Cardiff should not use an unrefined land-cover model. Amenity grassland can be open but is not suitable for food if it is mown or herbicide-treated too frequently. Semi-improved grassland, rough grassland, field margins and low-intensity agricultural areas may have good foraging conditions but are not as neat to the eye. If the management information is not available, record the visible features of the field, such as sward type, bare ground, presence of flowering plants, recent mowing, grazing intensity and surrounding land-use conditions.</w:t>
      </w:r>
    </w:p>
    <w:p w14:paraId="22B2FA8E">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Mortality and Threat Factors</w:t>
      </w:r>
    </w:p>
    <w:p w14:paraId="0FEF22B3">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main reasons for a decline in skylark breeding success according to a suitability model are a lack of habitat, insufficient food supply, and increased disturbance. Field-level problems include early or frequent grass mowing, intensive grazing, dense crop growth, pesticide application, loss of winter stubble, and all others that reduce suitability. Forests and tall hedgerows are at the landscape scale, and they may reduce open space, thus increasing predation or other disturbances. Roads, recreational pressure and development will further fragment the open habitats that remain. The above risks are serious because, for the survival of the skylark, grassland or agricultural land is required; this land also needs to be managed to provide suitable nesting and foraging habitats for the skylarks.</w:t>
      </w:r>
    </w:p>
    <w:p w14:paraId="6412E5E5">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Threat factors in the GIS analysis can be displayed as exclusion layers or penalty scores. Urban land, woodland, water and dense scrub can all be considered unsuitable. Distance-to-edge variables can be employed to reduce the suitability near woodland, built-up areas and main roads. If the boundary data of the field are available, then the model can determine which part is inside a field and thus avoid assuming that the entire field has the same value. If the management data are unavailable, this will be noted as a limitation and partially addressed through fieldwork. Therefore, the model should return a ranked suitability map instead of just saying that all high-scoring areas are skylark habitats.</w:t>
      </w:r>
    </w:p>
    <w:p w14:paraId="703844E7">
      <w:pPr>
        <w:spacing w:after="0" w:line="360" w:lineRule="auto"/>
        <w:ind w:firstLine="480" w:firstLineChars="200"/>
        <w:jc w:val="left"/>
        <w:rPr>
          <w:rFonts w:ascii="Times New Roman" w:hAnsi="Times New Roman" w:cs="Times New Roman"/>
          <w:sz w:val="24"/>
          <w:szCs w:val="24"/>
        </w:rPr>
      </w:pPr>
      <w:r>
        <w:rPr>
          <w:rFonts w:ascii="Times New Roman" w:hAnsi="Times New Roman" w:cs="Times New Roman"/>
          <w:color w:val="auto"/>
          <w:sz w:val="24"/>
          <w:szCs w:val="24"/>
        </w:rPr>
        <w:t>Skylark management studies in recent years have also been conducting research on field structure rather than only on habitat category. Beninde and Hunke (2025) found that the density of skylarks was relatively high in winter cereal fields with skylark plots in Germany, but its actual effect varied based on other factors. More research in agriculture and the environment shows that long-term fallow farming, seed-rich options, and winter cover are particularly favourable for farmland birds (Staggenborg and Anthes, 2022). The above results are relevant to the GIS model because they show why high Phase 1 suitability should be interpreted in conjunction with management factors not fully represented in the available layers, such as crop diversity, timing of operations, and the presence of in-field plots or margins</w:t>
      </w:r>
      <w:r>
        <w:rPr>
          <w:rFonts w:ascii="Times New Roman" w:hAnsi="Times New Roman" w:cs="Times New Roman"/>
          <w:sz w:val="24"/>
          <w:szCs w:val="24"/>
        </w:rPr>
        <w:t>.</w:t>
      </w:r>
    </w:p>
    <w:p w14:paraId="6BEBDD0A">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Additional species-specific literature has strengthened the use of habitat type and open-landscape variables in the Cardiff model. Chamberlain and Gregory (1999) found that the breeding grounds of Skylarks in the UK have habitat associations at both coarse and fine spatial scales; therefore, broad land-cover information can be used in the first stage of a GIS filter, and local field-scale changes are still identified. The BTO organic and conventional farmland report and related research in the Journal of Applied Ecology have also linked Skylark territory distribution and breeding success to farmland conditions, vegetation structure and management intensity (Wilson and Browne, 1993; Wilson et al., 1997). Copland et al. (2012) reached a similar conclusion for Irish farmland; that is to say, breeding Skylark habitat associations have direct implications for agri-environment planning. Together, these studies support using Phase 1 habitat data, open grassland or farmland categories, and field validation as the core of suitability analysis.</w:t>
      </w:r>
    </w:p>
    <w:p w14:paraId="52BE8282">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above study also supports the management interpretation of the GIS results. Skylark is consistently described as a species of open countryside, grassland and farmland, and this is consistent with the suitability scores assigned to open habitat classes in the model (The Wildlife Trusts). More specific studies of farmland show that the requirements for suitability are not only that the land is agricultural but also whether there is an available foraging area in the landscape and a certain degree of structural diversity. Puttmanns et al. (2022) have found that heterogeneous farmlands can offer foraging spaces for breeding Skylarks, and Ottens et al. (2014) have shown that field margins can expand the food sources for Skylarks in intensive farmland. Support for the final recommendations on field margins, reduced disturbance, winter stubble, low-intensity grassland, and survey-based refinement of the model.</w:t>
      </w:r>
    </w:p>
    <w:p w14:paraId="5541359F">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Final GIS Criteria and Scoring</w:t>
      </w:r>
    </w:p>
    <w:p w14:paraId="41B2F4E5">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three indices of the final model are: Phase 1 habitat suitability, distance from hedgerows, and distance from red fox presence. All the layers were reclassified to the same suitability score before running the weighted multiplication overlay. Table 1 shows the scores decided upon in the experiment.</w:t>
      </w:r>
    </w:p>
    <w:tbl>
      <w:tblPr>
        <w:tblStyle w:val="32"/>
        <w:tblW w:w="9488" w:type="dxa"/>
        <w:tblInd w:w="-8" w:type="dxa"/>
        <w:tblBorders>
          <w:top w:val="single" w:color="B8C4D6" w:sz="6" w:space="0"/>
          <w:left w:val="single" w:color="B8C4D6" w:sz="6" w:space="0"/>
          <w:bottom w:val="single" w:color="B8C4D6" w:sz="6" w:space="0"/>
          <w:right w:val="single" w:color="B8C4D6" w:sz="6" w:space="0"/>
          <w:insideH w:val="single" w:color="B8C4D6" w:sz="6" w:space="0"/>
          <w:insideV w:val="single" w:color="B8C4D6" w:sz="6" w:space="0"/>
        </w:tblBorders>
        <w:tblLayout w:type="fixed"/>
        <w:tblCellMar>
          <w:top w:w="0" w:type="dxa"/>
          <w:left w:w="108" w:type="dxa"/>
          <w:bottom w:w="0" w:type="dxa"/>
          <w:right w:w="108" w:type="dxa"/>
        </w:tblCellMar>
      </w:tblPr>
      <w:tblGrid>
        <w:gridCol w:w="2072"/>
        <w:gridCol w:w="3096"/>
        <w:gridCol w:w="928"/>
        <w:gridCol w:w="3392"/>
      </w:tblGrid>
      <w:tr w14:paraId="1F75E5B8">
        <w:trPr>
          <w:cantSplit/>
          <w:tblHeader/>
        </w:trPr>
        <w:tc>
          <w:tcPr>
            <w:tcW w:w="2072" w:type="dxa"/>
            <w:tcMar>
              <w:top w:w="80" w:type="dxa"/>
              <w:left w:w="120" w:type="dxa"/>
              <w:bottom w:w="80" w:type="dxa"/>
              <w:right w:w="120" w:type="dxa"/>
            </w:tcMar>
            <w:vAlign w:val="center"/>
          </w:tcPr>
          <w:p w14:paraId="0969D0C2">
            <w:pPr>
              <w:spacing w:after="0" w:line="240" w:lineRule="auto"/>
              <w:jc w:val="left"/>
              <w:rPr>
                <w:rFonts w:ascii="Times New Roman" w:hAnsi="Times New Roman" w:cs="Times New Roman"/>
                <w:color w:val="auto"/>
                <w:sz w:val="21"/>
                <w:szCs w:val="21"/>
              </w:rPr>
            </w:pPr>
            <w:r>
              <w:rPr>
                <w:rFonts w:ascii="Times New Roman" w:hAnsi="Times New Roman" w:cs="Times New Roman"/>
                <w:b/>
                <w:color w:val="auto"/>
                <w:sz w:val="21"/>
                <w:szCs w:val="21"/>
              </w:rPr>
              <w:t>Criterion / data layer</w:t>
            </w:r>
          </w:p>
        </w:tc>
        <w:tc>
          <w:tcPr>
            <w:tcW w:w="3096" w:type="dxa"/>
            <w:tcMar>
              <w:top w:w="80" w:type="dxa"/>
              <w:left w:w="120" w:type="dxa"/>
              <w:bottom w:w="80" w:type="dxa"/>
              <w:right w:w="120" w:type="dxa"/>
            </w:tcMar>
            <w:vAlign w:val="center"/>
          </w:tcPr>
          <w:p w14:paraId="3B7A549B">
            <w:pPr>
              <w:spacing w:after="0" w:line="240" w:lineRule="auto"/>
              <w:jc w:val="left"/>
              <w:rPr>
                <w:rFonts w:ascii="Times New Roman" w:hAnsi="Times New Roman" w:cs="Times New Roman"/>
                <w:color w:val="auto"/>
                <w:sz w:val="21"/>
                <w:szCs w:val="21"/>
              </w:rPr>
            </w:pPr>
            <w:r>
              <w:rPr>
                <w:rFonts w:ascii="Times New Roman" w:hAnsi="Times New Roman" w:cs="Times New Roman"/>
                <w:b/>
                <w:color w:val="auto"/>
                <w:sz w:val="21"/>
                <w:szCs w:val="21"/>
              </w:rPr>
              <w:t>Reclassification applied</w:t>
            </w:r>
          </w:p>
        </w:tc>
        <w:tc>
          <w:tcPr>
            <w:tcW w:w="928" w:type="dxa"/>
            <w:tcMar>
              <w:top w:w="80" w:type="dxa"/>
              <w:left w:w="120" w:type="dxa"/>
              <w:bottom w:w="80" w:type="dxa"/>
              <w:right w:w="120" w:type="dxa"/>
            </w:tcMar>
            <w:vAlign w:val="center"/>
          </w:tcPr>
          <w:p w14:paraId="5F0C85A4">
            <w:pPr>
              <w:spacing w:after="0" w:line="240" w:lineRule="auto"/>
              <w:jc w:val="left"/>
              <w:rPr>
                <w:rFonts w:ascii="Times New Roman" w:hAnsi="Times New Roman" w:cs="Times New Roman"/>
                <w:color w:val="auto"/>
                <w:sz w:val="21"/>
                <w:szCs w:val="21"/>
              </w:rPr>
            </w:pPr>
            <w:r>
              <w:rPr>
                <w:rFonts w:ascii="Times New Roman" w:hAnsi="Times New Roman" w:cs="Times New Roman"/>
                <w:b/>
                <w:color w:val="auto"/>
                <w:sz w:val="21"/>
                <w:szCs w:val="21"/>
              </w:rPr>
              <w:t>Weight</w:t>
            </w:r>
          </w:p>
        </w:tc>
        <w:tc>
          <w:tcPr>
            <w:tcW w:w="3392" w:type="dxa"/>
            <w:tcMar>
              <w:top w:w="80" w:type="dxa"/>
              <w:left w:w="120" w:type="dxa"/>
              <w:bottom w:w="80" w:type="dxa"/>
              <w:right w:w="120" w:type="dxa"/>
            </w:tcMar>
            <w:vAlign w:val="center"/>
          </w:tcPr>
          <w:p w14:paraId="7E6FBB6B">
            <w:pPr>
              <w:spacing w:after="0" w:line="240" w:lineRule="auto"/>
              <w:jc w:val="left"/>
              <w:rPr>
                <w:rFonts w:ascii="Times New Roman" w:hAnsi="Times New Roman" w:cs="Times New Roman"/>
                <w:color w:val="auto"/>
                <w:sz w:val="21"/>
                <w:szCs w:val="21"/>
              </w:rPr>
            </w:pPr>
            <w:r>
              <w:rPr>
                <w:rFonts w:ascii="Times New Roman" w:hAnsi="Times New Roman" w:cs="Times New Roman"/>
                <w:b/>
                <w:color w:val="auto"/>
                <w:sz w:val="21"/>
                <w:szCs w:val="21"/>
              </w:rPr>
              <w:t>Decision-making rationale</w:t>
            </w:r>
          </w:p>
        </w:tc>
      </w:tr>
      <w:tr w14:paraId="530E3941">
        <w:trPr>
          <w:cantSplit/>
        </w:trPr>
        <w:tc>
          <w:tcPr>
            <w:tcW w:w="2072" w:type="dxa"/>
            <w:tcMar>
              <w:top w:w="80" w:type="dxa"/>
              <w:left w:w="120" w:type="dxa"/>
              <w:bottom w:w="80" w:type="dxa"/>
              <w:right w:w="120" w:type="dxa"/>
            </w:tcMar>
            <w:vAlign w:val="center"/>
          </w:tcPr>
          <w:p w14:paraId="08FA826A">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Phase 1 habitat suitability</w:t>
            </w:r>
          </w:p>
        </w:tc>
        <w:tc>
          <w:tcPr>
            <w:tcW w:w="3096" w:type="dxa"/>
            <w:tcMar>
              <w:top w:w="80" w:type="dxa"/>
              <w:left w:w="120" w:type="dxa"/>
              <w:bottom w:w="80" w:type="dxa"/>
              <w:right w:w="120" w:type="dxa"/>
            </w:tcMar>
            <w:vAlign w:val="center"/>
          </w:tcPr>
          <w:p w14:paraId="0D69C353">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0 = not suitable; 1 = poor; 2 = moderate; 3 = good. Higher scores were assigned to open grassland, rough grassland, arable and open mosaic classes. Woodland, dense scrub, water, built-up land and unsuitable artificial surfaces were set low or zero.</w:t>
            </w:r>
          </w:p>
        </w:tc>
        <w:tc>
          <w:tcPr>
            <w:tcW w:w="928" w:type="dxa"/>
            <w:tcMar>
              <w:top w:w="80" w:type="dxa"/>
              <w:left w:w="120" w:type="dxa"/>
              <w:bottom w:w="80" w:type="dxa"/>
              <w:right w:w="120" w:type="dxa"/>
            </w:tcMar>
            <w:vAlign w:val="center"/>
          </w:tcPr>
          <w:p w14:paraId="2D76FE14">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0.5</w:t>
            </w:r>
          </w:p>
        </w:tc>
        <w:tc>
          <w:tcPr>
            <w:tcW w:w="3392" w:type="dxa"/>
            <w:tcMar>
              <w:top w:w="80" w:type="dxa"/>
              <w:left w:w="120" w:type="dxa"/>
              <w:bottom w:w="80" w:type="dxa"/>
              <w:right w:w="120" w:type="dxa"/>
            </w:tcMar>
            <w:vAlign w:val="center"/>
          </w:tcPr>
          <w:p w14:paraId="48FDFE36">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Core ecological constraint because skylarks require open ground for nesting and nearby foraging. Unsuitable habitat cannot become suitable only because a distance variable is favourable.</w:t>
            </w:r>
          </w:p>
        </w:tc>
      </w:tr>
      <w:tr w14:paraId="625B7E13">
        <w:trPr>
          <w:cantSplit/>
        </w:trPr>
        <w:tc>
          <w:tcPr>
            <w:tcW w:w="2072" w:type="dxa"/>
            <w:tcMar>
              <w:top w:w="80" w:type="dxa"/>
              <w:left w:w="120" w:type="dxa"/>
              <w:bottom w:w="80" w:type="dxa"/>
              <w:right w:w="120" w:type="dxa"/>
            </w:tcMar>
            <w:vAlign w:val="center"/>
          </w:tcPr>
          <w:p w14:paraId="63B75212">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Distance from hedgerows</w:t>
            </w:r>
          </w:p>
        </w:tc>
        <w:tc>
          <w:tcPr>
            <w:tcW w:w="3096" w:type="dxa"/>
            <w:tcMar>
              <w:top w:w="80" w:type="dxa"/>
              <w:left w:w="120" w:type="dxa"/>
              <w:bottom w:w="80" w:type="dxa"/>
              <w:right w:w="120" w:type="dxa"/>
            </w:tcMar>
            <w:vAlign w:val="center"/>
          </w:tcPr>
          <w:p w14:paraId="0AD4661E">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The hedgerow distance raster was reclassified as 0-10 m = 1, 10-100 m = 2 and more than 100 m = 1.</w:t>
            </w:r>
          </w:p>
        </w:tc>
        <w:tc>
          <w:tcPr>
            <w:tcW w:w="928" w:type="dxa"/>
            <w:tcMar>
              <w:top w:w="80" w:type="dxa"/>
              <w:left w:w="120" w:type="dxa"/>
              <w:bottom w:w="80" w:type="dxa"/>
              <w:right w:w="120" w:type="dxa"/>
            </w:tcMar>
            <w:vAlign w:val="center"/>
          </w:tcPr>
          <w:p w14:paraId="115E3DC1">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0.3</w:t>
            </w:r>
          </w:p>
        </w:tc>
        <w:tc>
          <w:tcPr>
            <w:tcW w:w="3392" w:type="dxa"/>
            <w:tcMar>
              <w:top w:w="80" w:type="dxa"/>
              <w:left w:w="120" w:type="dxa"/>
              <w:bottom w:w="80" w:type="dxa"/>
              <w:right w:w="120" w:type="dxa"/>
            </w:tcMar>
            <w:vAlign w:val="center"/>
          </w:tcPr>
          <w:p w14:paraId="6773D912">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Represents field-edge and vertical-feature effects. The intermediate band avoids the immediate hedgerow edge while remaining within an open field landscape.</w:t>
            </w:r>
          </w:p>
        </w:tc>
      </w:tr>
      <w:tr w14:paraId="296470F9">
        <w:trPr>
          <w:cantSplit/>
        </w:trPr>
        <w:tc>
          <w:tcPr>
            <w:tcW w:w="2072" w:type="dxa"/>
            <w:tcMar>
              <w:top w:w="80" w:type="dxa"/>
              <w:left w:w="120" w:type="dxa"/>
              <w:bottom w:w="80" w:type="dxa"/>
              <w:right w:w="120" w:type="dxa"/>
            </w:tcMar>
            <w:vAlign w:val="center"/>
          </w:tcPr>
          <w:p w14:paraId="6B008660">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Distance from red fox presence</w:t>
            </w:r>
          </w:p>
        </w:tc>
        <w:tc>
          <w:tcPr>
            <w:tcW w:w="3096" w:type="dxa"/>
            <w:tcMar>
              <w:top w:w="80" w:type="dxa"/>
              <w:left w:w="120" w:type="dxa"/>
              <w:bottom w:w="80" w:type="dxa"/>
              <w:right w:w="120" w:type="dxa"/>
            </w:tcMar>
            <w:vAlign w:val="center"/>
          </w:tcPr>
          <w:p w14:paraId="0E300B29">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The red fox proximity raster was reclassified as 0-500 m = 0, 500-1000 m = 1, 1000-2000 m = 2 and more than 2000 m = 3.</w:t>
            </w:r>
          </w:p>
        </w:tc>
        <w:tc>
          <w:tcPr>
            <w:tcW w:w="928" w:type="dxa"/>
            <w:tcMar>
              <w:top w:w="80" w:type="dxa"/>
              <w:left w:w="120" w:type="dxa"/>
              <w:bottom w:w="80" w:type="dxa"/>
              <w:right w:w="120" w:type="dxa"/>
            </w:tcMar>
            <w:vAlign w:val="center"/>
          </w:tcPr>
          <w:p w14:paraId="6428E827">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0.2</w:t>
            </w:r>
          </w:p>
        </w:tc>
        <w:tc>
          <w:tcPr>
            <w:tcW w:w="3392" w:type="dxa"/>
            <w:tcMar>
              <w:top w:w="80" w:type="dxa"/>
              <w:left w:w="120" w:type="dxa"/>
              <w:bottom w:w="80" w:type="dxa"/>
              <w:right w:w="120" w:type="dxa"/>
            </w:tcMar>
            <w:vAlign w:val="center"/>
          </w:tcPr>
          <w:p w14:paraId="105F0C38">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Acts as a predation-risk penalty. Suitability increases with distance from recorded red fox presence.</w:t>
            </w:r>
          </w:p>
        </w:tc>
      </w:tr>
      <w:tr w14:paraId="3FF7780D">
        <w:trPr>
          <w:cantSplit/>
        </w:trPr>
        <w:tc>
          <w:tcPr>
            <w:tcW w:w="2072" w:type="dxa"/>
            <w:tcMar>
              <w:top w:w="80" w:type="dxa"/>
              <w:left w:w="120" w:type="dxa"/>
              <w:bottom w:w="80" w:type="dxa"/>
              <w:right w:w="120" w:type="dxa"/>
            </w:tcMar>
            <w:vAlign w:val="center"/>
          </w:tcPr>
          <w:p w14:paraId="0D4ED5E1">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Combined suitability calculation</w:t>
            </w:r>
          </w:p>
        </w:tc>
        <w:tc>
          <w:tcPr>
            <w:tcW w:w="3096" w:type="dxa"/>
            <w:tcMar>
              <w:top w:w="80" w:type="dxa"/>
              <w:left w:w="120" w:type="dxa"/>
              <w:bottom w:w="80" w:type="dxa"/>
              <w:right w:w="120" w:type="dxa"/>
            </w:tcMar>
            <w:vAlign w:val="center"/>
          </w:tcPr>
          <w:p w14:paraId="246FCEEA">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Final suitability = (Phase 1 score x 0.5) x (hedgerow score x 0.3) x (red fox score x 0.2). The maximum possible score was therefore 0.54.</w:t>
            </w:r>
          </w:p>
        </w:tc>
        <w:tc>
          <w:tcPr>
            <w:tcW w:w="928" w:type="dxa"/>
            <w:tcMar>
              <w:top w:w="80" w:type="dxa"/>
              <w:left w:w="120" w:type="dxa"/>
              <w:bottom w:w="80" w:type="dxa"/>
              <w:right w:w="120" w:type="dxa"/>
            </w:tcMar>
            <w:vAlign w:val="center"/>
          </w:tcPr>
          <w:p w14:paraId="7061A6FE">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n/a</w:t>
            </w:r>
          </w:p>
        </w:tc>
        <w:tc>
          <w:tcPr>
            <w:tcW w:w="3392" w:type="dxa"/>
            <w:tcMar>
              <w:top w:w="80" w:type="dxa"/>
              <w:left w:w="120" w:type="dxa"/>
              <w:bottom w:w="80" w:type="dxa"/>
              <w:right w:w="120" w:type="dxa"/>
            </w:tcMar>
            <w:vAlign w:val="center"/>
          </w:tcPr>
          <w:p w14:paraId="6D50631E">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A conservative product model. A zero or very low score in one ecological constraint strongly reduces the final output.</w:t>
            </w:r>
          </w:p>
        </w:tc>
      </w:tr>
    </w:tbl>
    <w:p w14:paraId="13C551D5">
      <w:pPr>
        <w:spacing w:after="0" w:line="360" w:lineRule="auto"/>
        <w:rPr>
          <w:rFonts w:ascii="Times New Roman" w:hAnsi="Times New Roman" w:cs="Times New Roman"/>
          <w:color w:val="auto"/>
          <w:sz w:val="24"/>
          <w:szCs w:val="24"/>
        </w:rPr>
      </w:pPr>
    </w:p>
    <w:p w14:paraId="13E11A52">
      <w:pPr>
        <w:pStyle w:val="3"/>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Completed GIS Workflow and Overlay Method</w:t>
      </w:r>
    </w:p>
    <w:p w14:paraId="13956973">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Cardiff was chosen as the area of study for the GIS workflow in QGIS. Clip the input layers to the Cardiff boundary and treat them as equivalent spatial layers for reclassification. The Phase 1 habitat layer is a broad-scale ecological suitability of the land cover. A distance band was added to show the field-edge effect of the hedgerow layer spatially. The presence layer of the red fox was also converted into distance bands, and proximity to a potential nest predator could be used as a penalty term in the model.</w:t>
      </w:r>
    </w:p>
    <w:p w14:paraId="65FB2929">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Normalise the indicator by converting it into a suitability score instead of using its original units. Habitat codes, hedgerow distances and fox distances are not the same; therefore, this is required. Standardisation has made the decisions clearer, and now the model shows not only where the data is located but also what it considers to be an ecological judgement of skylark habitat suitability for each dataset. Suitability modelling combines individual criteria to construct an all-encompassing suitability map through such integration (Berry, 2004; Malczewski, 2004).</w:t>
      </w:r>
    </w:p>
    <w:p w14:paraId="6F66E634">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Finally, a multiplier was employed in the overlay instead of direct addition. Skylark is only suitable when many of these conditions are met simultaneously, so it was not selected on purpose. If a cell had a high Phase 1 habitat score but was very close to a red fox area, then the final score was reduced. If a cell had a score of zero in one layer, then the final multiplied score would also be zero. Therefore, the model is relatively conservative, but it is suitable for habitat management because it does not conceal a serious ecological deficiency with a single favourable factor.</w:t>
      </w:r>
    </w:p>
    <w:p w14:paraId="599A50B3">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Field verification of the map as proof of skylark settlement has not yet been carried out. The current output should be added to the high-priority list for the next round of surveys and management.</w:t>
      </w:r>
    </w:p>
    <w:p w14:paraId="369EE92C">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 xml:space="preserve">The Red Fox Layer should also be handled with the same care. The model uses red fox presence as a spatial proxy for predation risk, but occurrence records in biodiversity databases are not systematic predator-density surveys. The NBN Atlas guidance notes that the occurrence records come from several data partners and datasets, so when these are used in analysis, issues of attribution, licence and recording effort need to be taken into account (NBN Trust, 2026). Therefore, the red fox layer in this report serves as a general warning indicator of high predation pressure and is not evidence that all areas with low scores are subject to such high predation. </w:t>
      </w:r>
    </w:p>
    <w:p w14:paraId="75AFB182">
      <w:pPr>
        <w:spacing w:after="0" w:line="360" w:lineRule="auto"/>
        <w:jc w:val="left"/>
        <w:rPr>
          <w:rFonts w:ascii="Times New Roman" w:hAnsi="Times New Roman" w:cs="Times New Roman"/>
          <w:color w:val="auto"/>
          <w:sz w:val="24"/>
          <w:szCs w:val="24"/>
        </w:rPr>
      </w:pPr>
    </w:p>
    <w:p w14:paraId="08CE5682">
      <w:pPr>
        <w:spacing w:after="0" w:line="360" w:lineRule="auto"/>
        <w:jc w:val="left"/>
        <w:rPr>
          <w:rFonts w:ascii="Times New Roman" w:hAnsi="Times New Roman" w:cs="Times New Roman"/>
          <w:color w:val="auto"/>
          <w:sz w:val="24"/>
          <w:szCs w:val="24"/>
        </w:rPr>
      </w:pPr>
    </w:p>
    <w:p w14:paraId="6C0C1434">
      <w:pPr>
        <w:spacing w:after="0" w:line="360" w:lineRule="auto"/>
        <w:jc w:val="left"/>
        <w:rPr>
          <w:rFonts w:ascii="Times New Roman" w:hAnsi="Times New Roman" w:cs="Times New Roman"/>
          <w:color w:val="auto"/>
          <w:sz w:val="24"/>
          <w:szCs w:val="24"/>
        </w:rPr>
      </w:pPr>
    </w:p>
    <w:p w14:paraId="7223EFE0">
      <w:pPr>
        <w:spacing w:after="0" w:line="360" w:lineRule="auto"/>
        <w:jc w:val="left"/>
        <w:rPr>
          <w:rFonts w:ascii="Times New Roman" w:hAnsi="Times New Roman" w:cs="Times New Roman"/>
          <w:color w:val="auto"/>
          <w:sz w:val="24"/>
          <w:szCs w:val="24"/>
        </w:rPr>
      </w:pPr>
    </w:p>
    <w:p w14:paraId="3B9B74BD">
      <w:pPr>
        <w:spacing w:after="0" w:line="360" w:lineRule="auto"/>
        <w:jc w:val="left"/>
        <w:rPr>
          <w:rFonts w:ascii="Times New Roman" w:hAnsi="Times New Roman" w:cs="Times New Roman"/>
          <w:color w:val="auto"/>
          <w:sz w:val="24"/>
          <w:szCs w:val="24"/>
        </w:rPr>
      </w:pPr>
    </w:p>
    <w:p w14:paraId="2169CFD2">
      <w:pPr>
        <w:spacing w:after="0" w:line="360" w:lineRule="auto"/>
        <w:jc w:val="left"/>
        <w:rPr>
          <w:rFonts w:ascii="Times New Roman" w:hAnsi="Times New Roman" w:cs="Times New Roman"/>
          <w:color w:val="auto"/>
          <w:sz w:val="24"/>
          <w:szCs w:val="24"/>
        </w:rPr>
      </w:pPr>
    </w:p>
    <w:p w14:paraId="5D927E61">
      <w:pPr>
        <w:spacing w:after="0" w:line="360" w:lineRule="auto"/>
        <w:jc w:val="left"/>
        <w:rPr>
          <w:rFonts w:ascii="Times New Roman" w:hAnsi="Times New Roman" w:cs="Times New Roman"/>
          <w:color w:val="auto"/>
          <w:sz w:val="24"/>
          <w:szCs w:val="24"/>
        </w:rPr>
      </w:pPr>
    </w:p>
    <w:p w14:paraId="21D616AE">
      <w:pPr>
        <w:spacing w:after="0" w:line="360" w:lineRule="auto"/>
        <w:jc w:val="left"/>
        <w:rPr>
          <w:rFonts w:ascii="Times New Roman" w:hAnsi="Times New Roman" w:cs="Times New Roman"/>
          <w:color w:val="auto"/>
          <w:sz w:val="24"/>
          <w:szCs w:val="24"/>
        </w:rPr>
      </w:pPr>
    </w:p>
    <w:p w14:paraId="5A63225A">
      <w:pPr>
        <w:spacing w:after="0" w:line="360" w:lineRule="auto"/>
        <w:jc w:val="left"/>
        <w:rPr>
          <w:rFonts w:ascii="Times New Roman" w:hAnsi="Times New Roman" w:cs="Times New Roman"/>
          <w:color w:val="auto"/>
          <w:sz w:val="24"/>
          <w:szCs w:val="24"/>
        </w:rPr>
      </w:pPr>
    </w:p>
    <w:p w14:paraId="7B905D48">
      <w:pPr>
        <w:spacing w:after="0" w:line="360" w:lineRule="auto"/>
        <w:jc w:val="left"/>
        <w:rPr>
          <w:rFonts w:ascii="Times New Roman" w:hAnsi="Times New Roman" w:cs="Times New Roman"/>
          <w:color w:val="auto"/>
          <w:sz w:val="24"/>
          <w:szCs w:val="24"/>
        </w:rPr>
      </w:pPr>
    </w:p>
    <w:p w14:paraId="510C318F">
      <w:pPr>
        <w:spacing w:after="0" w:line="360" w:lineRule="auto"/>
        <w:jc w:val="left"/>
        <w:rPr>
          <w:rFonts w:ascii="Times New Roman" w:hAnsi="Times New Roman" w:cs="Times New Roman"/>
          <w:color w:val="auto"/>
          <w:sz w:val="24"/>
          <w:szCs w:val="24"/>
        </w:rPr>
      </w:pPr>
    </w:p>
    <w:p w14:paraId="384BED6C">
      <w:pPr>
        <w:spacing w:after="0" w:line="360" w:lineRule="auto"/>
        <w:jc w:val="left"/>
        <w:rPr>
          <w:rFonts w:ascii="Times New Roman" w:hAnsi="Times New Roman" w:cs="Times New Roman"/>
          <w:color w:val="auto"/>
          <w:sz w:val="24"/>
          <w:szCs w:val="24"/>
        </w:rPr>
      </w:pPr>
    </w:p>
    <w:p w14:paraId="720B842C">
      <w:pPr>
        <w:spacing w:after="0" w:line="360" w:lineRule="auto"/>
        <w:jc w:val="left"/>
        <w:rPr>
          <w:rFonts w:ascii="Times New Roman" w:hAnsi="Times New Roman" w:cs="Times New Roman"/>
          <w:color w:val="auto"/>
          <w:sz w:val="24"/>
          <w:szCs w:val="24"/>
        </w:rPr>
      </w:pPr>
    </w:p>
    <w:p w14:paraId="485B33B2">
      <w:pPr>
        <w:spacing w:after="0" w:line="360" w:lineRule="auto"/>
        <w:jc w:val="left"/>
        <w:rPr>
          <w:rFonts w:ascii="Times New Roman" w:hAnsi="Times New Roman" w:cs="Times New Roman"/>
          <w:color w:val="auto"/>
          <w:sz w:val="24"/>
          <w:szCs w:val="24"/>
        </w:rPr>
      </w:pPr>
      <w:r>
        <w:rPr>
          <w:rFonts w:ascii="Times New Roman" w:hAnsi="Times New Roman" w:cs="Times New Roman"/>
          <w:color w:val="auto"/>
          <w:sz w:val="24"/>
          <w:szCs w:val="24"/>
        </w:rPr>
        <w:t>Results</w:t>
      </w:r>
    </w:p>
    <w:p w14:paraId="6DDAFE71">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individual criterion maps show that suitability is spatially uneven in Cardiff. The Phase 1 habitat layer is adjacent to the dense urban area and other unsuitable land-cover types, but is adjacent to open grassland, farmland and semi-natural areas in the outer districts of the city. Skylarks are unlikely to be part of the project in areas that do not meet the basic requirements of an open-habitat.</w:t>
      </w:r>
    </w:p>
    <w:p w14:paraId="05601989">
      <w:pPr>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color w:val="auto"/>
          <w:sz w:val="24"/>
          <w:szCs w:val="24"/>
        </w:rPr>
        <w:drawing>
          <wp:inline distT="0" distB="0" distL="0" distR="0">
            <wp:extent cx="5760720" cy="4073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760720" cy="4073879"/>
                    </a:xfrm>
                    <a:prstGeom prst="rect">
                      <a:avLst/>
                    </a:prstGeom>
                  </pic:spPr>
                </pic:pic>
              </a:graphicData>
            </a:graphic>
          </wp:inline>
        </w:drawing>
      </w:r>
    </w:p>
    <w:p w14:paraId="52C04036">
      <w:pPr>
        <w:pStyle w:val="15"/>
        <w:spacing w:after="0" w:line="360" w:lineRule="auto"/>
        <w:ind w:firstLine="480" w:firstLineChars="200"/>
        <w:jc w:val="center"/>
        <w:rPr>
          <w:rFonts w:ascii="Times New Roman" w:hAnsi="Times New Roman" w:cs="Times New Roman"/>
          <w:i/>
          <w:color w:val="auto"/>
          <w:sz w:val="24"/>
          <w:szCs w:val="24"/>
        </w:rPr>
      </w:pPr>
      <w:r>
        <w:rPr>
          <w:rFonts w:ascii="Times New Roman" w:hAnsi="Times New Roman" w:cs="Times New Roman"/>
          <w:i/>
          <w:color w:val="auto"/>
          <w:sz w:val="24"/>
          <w:szCs w:val="24"/>
        </w:rPr>
        <w:t>Figure 1. Reclassified Phase 1 habitat suitability map for Cardiff.</w:t>
      </w:r>
    </w:p>
    <w:p w14:paraId="64F0C498">
      <w:pPr>
        <w:rPr>
          <w:rFonts w:ascii="Times New Roman" w:hAnsi="Times New Roman" w:cs="Times New Roman"/>
          <w:i/>
          <w:color w:val="auto"/>
          <w:sz w:val="24"/>
          <w:szCs w:val="24"/>
        </w:rPr>
      </w:pPr>
    </w:p>
    <w:p w14:paraId="68819765">
      <w:pPr>
        <w:rPr>
          <w:rFonts w:ascii="Times New Roman" w:hAnsi="Times New Roman" w:cs="Times New Roman"/>
          <w:i/>
          <w:color w:val="auto"/>
          <w:sz w:val="24"/>
          <w:szCs w:val="24"/>
        </w:rPr>
      </w:pPr>
    </w:p>
    <w:p w14:paraId="22FE0531">
      <w:pPr>
        <w:rPr>
          <w:rFonts w:ascii="Times New Roman" w:hAnsi="Times New Roman" w:cs="Times New Roman"/>
          <w:i/>
          <w:color w:val="auto"/>
          <w:sz w:val="24"/>
          <w:szCs w:val="24"/>
        </w:rPr>
      </w:pPr>
    </w:p>
    <w:p w14:paraId="0F282133">
      <w:pPr>
        <w:rPr>
          <w:rFonts w:ascii="Times New Roman" w:hAnsi="Times New Roman" w:cs="Times New Roman"/>
          <w:i/>
          <w:color w:val="auto"/>
          <w:sz w:val="24"/>
          <w:szCs w:val="24"/>
        </w:rPr>
      </w:pPr>
    </w:p>
    <w:p w14:paraId="4B425BE9">
      <w:pPr>
        <w:rPr>
          <w:rFonts w:ascii="Times New Roman" w:hAnsi="Times New Roman" w:cs="Times New Roman"/>
          <w:i/>
          <w:color w:val="auto"/>
          <w:sz w:val="24"/>
          <w:szCs w:val="24"/>
        </w:rPr>
      </w:pPr>
    </w:p>
    <w:p w14:paraId="71593340">
      <w:pPr>
        <w:rPr>
          <w:rFonts w:ascii="Times New Roman" w:hAnsi="Times New Roman" w:cs="Times New Roman"/>
          <w:i/>
          <w:color w:val="auto"/>
          <w:sz w:val="24"/>
          <w:szCs w:val="24"/>
        </w:rPr>
      </w:pPr>
    </w:p>
    <w:p w14:paraId="346C2E3C">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hedgerow distance layer has a smaller score range than the other criteria and ranges from 1 to 2. Therefore, it is not possible to exclude a large area by itself for refinement. The highest score is in the 10-100 m range, and such locations are not directly at the edge of a hedgerow but are still in an open field area. This condition is practical because at the edge of the field, the disturbance and predator behaviour or perception of openness for a ground-nesting bird may change.</w:t>
      </w:r>
    </w:p>
    <w:p w14:paraId="35368CBD">
      <w:pPr>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color w:val="auto"/>
          <w:sz w:val="24"/>
          <w:szCs w:val="24"/>
        </w:rPr>
        <w:drawing>
          <wp:inline distT="0" distB="0" distL="0" distR="0">
            <wp:extent cx="5486400" cy="38747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stretch>
                      <a:fillRect/>
                    </a:stretch>
                  </pic:blipFill>
                  <pic:spPr>
                    <a:xfrm>
                      <a:off x="0" y="0"/>
                      <a:ext cx="5486400" cy="3874770"/>
                    </a:xfrm>
                    <a:prstGeom prst="rect">
                      <a:avLst/>
                    </a:prstGeom>
                  </pic:spPr>
                </pic:pic>
              </a:graphicData>
            </a:graphic>
          </wp:inline>
        </w:drawing>
      </w:r>
    </w:p>
    <w:p w14:paraId="08C1F971">
      <w:pPr>
        <w:pStyle w:val="15"/>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i/>
          <w:color w:val="auto"/>
          <w:sz w:val="24"/>
          <w:szCs w:val="24"/>
        </w:rPr>
        <w:t>Figure 2. Distance from hedgerow suitability layer for Cardiff.</w:t>
      </w:r>
    </w:p>
    <w:p w14:paraId="538ED902">
      <w:pPr>
        <w:spacing w:after="0" w:line="360" w:lineRule="auto"/>
        <w:ind w:firstLine="480" w:firstLineChars="200"/>
        <w:rPr>
          <w:rFonts w:ascii="Times New Roman" w:hAnsi="Times New Roman" w:cs="Times New Roman"/>
          <w:color w:val="auto"/>
          <w:sz w:val="24"/>
          <w:szCs w:val="24"/>
        </w:rPr>
      </w:pPr>
    </w:p>
    <w:p w14:paraId="53DA6167">
      <w:pPr>
        <w:spacing w:after="0" w:line="360" w:lineRule="auto"/>
        <w:ind w:firstLine="480" w:firstLineChars="200"/>
        <w:rPr>
          <w:rFonts w:ascii="Times New Roman" w:hAnsi="Times New Roman" w:cs="Times New Roman"/>
          <w:color w:val="auto"/>
          <w:sz w:val="24"/>
          <w:szCs w:val="24"/>
        </w:rPr>
      </w:pPr>
    </w:p>
    <w:p w14:paraId="7D5B4168">
      <w:pPr>
        <w:spacing w:after="0" w:line="360" w:lineRule="auto"/>
        <w:ind w:firstLine="480" w:firstLineChars="200"/>
        <w:rPr>
          <w:rFonts w:ascii="Times New Roman" w:hAnsi="Times New Roman" w:cs="Times New Roman"/>
          <w:color w:val="auto"/>
          <w:sz w:val="24"/>
          <w:szCs w:val="24"/>
        </w:rPr>
      </w:pPr>
    </w:p>
    <w:p w14:paraId="0E304FA6">
      <w:pPr>
        <w:spacing w:after="0" w:line="360" w:lineRule="auto"/>
        <w:ind w:firstLine="480" w:firstLineChars="200"/>
        <w:rPr>
          <w:rFonts w:ascii="Times New Roman" w:hAnsi="Times New Roman" w:cs="Times New Roman"/>
          <w:color w:val="auto"/>
          <w:sz w:val="24"/>
          <w:szCs w:val="24"/>
        </w:rPr>
      </w:pPr>
    </w:p>
    <w:p w14:paraId="0D5949E1">
      <w:pPr>
        <w:spacing w:after="0" w:line="360" w:lineRule="auto"/>
        <w:ind w:firstLine="480" w:firstLineChars="200"/>
        <w:rPr>
          <w:rFonts w:ascii="Times New Roman" w:hAnsi="Times New Roman" w:cs="Times New Roman"/>
          <w:color w:val="auto"/>
          <w:sz w:val="24"/>
          <w:szCs w:val="24"/>
        </w:rPr>
      </w:pPr>
    </w:p>
    <w:p w14:paraId="7B4753B1">
      <w:pPr>
        <w:spacing w:after="0" w:line="360" w:lineRule="auto"/>
        <w:ind w:firstLine="480" w:firstLineChars="200"/>
        <w:rPr>
          <w:rFonts w:ascii="Times New Roman" w:hAnsi="Times New Roman" w:cs="Times New Roman"/>
          <w:color w:val="auto"/>
          <w:sz w:val="24"/>
          <w:szCs w:val="24"/>
        </w:rPr>
      </w:pPr>
    </w:p>
    <w:p w14:paraId="702A4CF7">
      <w:pPr>
        <w:spacing w:after="0" w:line="360" w:lineRule="auto"/>
        <w:ind w:firstLine="480" w:firstLineChars="200"/>
        <w:rPr>
          <w:rFonts w:ascii="Times New Roman" w:hAnsi="Times New Roman" w:cs="Times New Roman"/>
          <w:color w:val="auto"/>
          <w:sz w:val="24"/>
          <w:szCs w:val="24"/>
        </w:rPr>
      </w:pPr>
    </w:p>
    <w:p w14:paraId="18281FF7">
      <w:pPr>
        <w:spacing w:after="0" w:line="360" w:lineRule="auto"/>
        <w:ind w:firstLine="480" w:firstLineChars="200"/>
        <w:rPr>
          <w:rFonts w:ascii="Times New Roman" w:hAnsi="Times New Roman" w:cs="Times New Roman"/>
          <w:color w:val="auto"/>
          <w:sz w:val="24"/>
          <w:szCs w:val="24"/>
        </w:rPr>
      </w:pPr>
    </w:p>
    <w:p w14:paraId="148B222B">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red fox distance layer has a higher contrast because the closest 0-500m band was given a score of zero. Therefore, the area near a red fox record will not be included in the most suitable category after multiplication by the layer. Many areas with low scores are located near fox presence records, and these areas may be less suitable for ground-nesting birds due to increased predator pressure. However, this layer should be handled with caution because species-record data are influenced by the effort of recording and do not necessarily reflect the whole distribution or density of red foxes.</w:t>
      </w:r>
    </w:p>
    <w:p w14:paraId="38AA955A">
      <w:pPr>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color w:val="auto"/>
          <w:sz w:val="24"/>
          <w:szCs w:val="24"/>
        </w:rPr>
        <w:drawing>
          <wp:inline distT="0" distB="0" distL="0" distR="0">
            <wp:extent cx="5486400" cy="38747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a:stretch>
                      <a:fillRect/>
                    </a:stretch>
                  </pic:blipFill>
                  <pic:spPr>
                    <a:xfrm>
                      <a:off x="0" y="0"/>
                      <a:ext cx="5486400" cy="3874770"/>
                    </a:xfrm>
                    <a:prstGeom prst="rect">
                      <a:avLst/>
                    </a:prstGeom>
                  </pic:spPr>
                </pic:pic>
              </a:graphicData>
            </a:graphic>
          </wp:inline>
        </w:drawing>
      </w:r>
    </w:p>
    <w:p w14:paraId="03306D59">
      <w:pPr>
        <w:pStyle w:val="15"/>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i/>
          <w:color w:val="auto"/>
          <w:sz w:val="24"/>
          <w:szCs w:val="24"/>
        </w:rPr>
        <w:t>Figure 3. Distance from red fox presence suitability layer for Cardiff.</w:t>
      </w:r>
    </w:p>
    <w:p w14:paraId="0F934E37">
      <w:pPr>
        <w:spacing w:after="0" w:line="360" w:lineRule="auto"/>
        <w:ind w:firstLine="480" w:firstLineChars="200"/>
        <w:rPr>
          <w:rFonts w:ascii="Times New Roman" w:hAnsi="Times New Roman" w:cs="Times New Roman"/>
          <w:color w:val="auto"/>
          <w:sz w:val="24"/>
          <w:szCs w:val="24"/>
        </w:rPr>
      </w:pPr>
    </w:p>
    <w:p w14:paraId="79108FF1">
      <w:pPr>
        <w:spacing w:after="0" w:line="360" w:lineRule="auto"/>
        <w:ind w:firstLine="480" w:firstLineChars="200"/>
        <w:rPr>
          <w:rFonts w:ascii="Times New Roman" w:hAnsi="Times New Roman" w:cs="Times New Roman"/>
          <w:color w:val="auto"/>
          <w:sz w:val="24"/>
          <w:szCs w:val="24"/>
        </w:rPr>
      </w:pPr>
    </w:p>
    <w:p w14:paraId="1E12C875">
      <w:pPr>
        <w:spacing w:after="0" w:line="360" w:lineRule="auto"/>
        <w:ind w:firstLine="480" w:firstLineChars="200"/>
        <w:rPr>
          <w:rFonts w:ascii="Times New Roman" w:hAnsi="Times New Roman" w:cs="Times New Roman"/>
          <w:color w:val="auto"/>
          <w:sz w:val="24"/>
          <w:szCs w:val="24"/>
        </w:rPr>
      </w:pPr>
    </w:p>
    <w:p w14:paraId="6BA206C7">
      <w:pPr>
        <w:spacing w:after="0" w:line="360" w:lineRule="auto"/>
        <w:ind w:firstLine="480" w:firstLineChars="200"/>
        <w:rPr>
          <w:rFonts w:ascii="Times New Roman" w:hAnsi="Times New Roman" w:cs="Times New Roman"/>
          <w:color w:val="auto"/>
          <w:sz w:val="24"/>
          <w:szCs w:val="24"/>
        </w:rPr>
      </w:pPr>
    </w:p>
    <w:p w14:paraId="03AC58A4">
      <w:pPr>
        <w:spacing w:after="0" w:line="360" w:lineRule="auto"/>
        <w:ind w:firstLine="480" w:firstLineChars="200"/>
        <w:rPr>
          <w:rFonts w:ascii="Times New Roman" w:hAnsi="Times New Roman" w:cs="Times New Roman"/>
          <w:color w:val="auto"/>
          <w:sz w:val="24"/>
          <w:szCs w:val="24"/>
        </w:rPr>
      </w:pPr>
    </w:p>
    <w:p w14:paraId="0F3A2C31">
      <w:pPr>
        <w:spacing w:after="0" w:line="360" w:lineRule="auto"/>
        <w:ind w:firstLine="480" w:firstLineChars="200"/>
        <w:rPr>
          <w:rFonts w:ascii="Times New Roman" w:hAnsi="Times New Roman" w:cs="Times New Roman"/>
          <w:color w:val="auto"/>
          <w:sz w:val="24"/>
          <w:szCs w:val="24"/>
        </w:rPr>
      </w:pPr>
    </w:p>
    <w:p w14:paraId="4C39370C">
      <w:pPr>
        <w:spacing w:after="0" w:line="360" w:lineRule="auto"/>
        <w:ind w:firstLine="480" w:firstLineChars="200"/>
        <w:rPr>
          <w:rFonts w:ascii="Times New Roman" w:hAnsi="Times New Roman" w:cs="Times New Roman"/>
          <w:color w:val="auto"/>
          <w:sz w:val="24"/>
          <w:szCs w:val="24"/>
        </w:rPr>
      </w:pPr>
    </w:p>
    <w:p w14:paraId="73DFA607">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final multiplied output has a maximum value of 0.54, which matches the theoretical maximum of the weighted product: 3 x 0.5 for Phase 1 habitat, 2 x 0.3 for hedgerow distance and 3 x 0.2 for red fox distance. The map therefore should not be read as a 0-3 class map, but as a relative suitability surface produced by the weighted multiplication model. Green areas represent the strongest combination of the three selected criteria, while red or low-value areas indicate locations where at least one important requirement is weak or absent.</w:t>
      </w:r>
    </w:p>
    <w:p w14:paraId="65F14B4F">
      <w:pPr>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color w:val="auto"/>
          <w:sz w:val="24"/>
          <w:szCs w:val="24"/>
        </w:rPr>
        <w:drawing>
          <wp:inline distT="0" distB="0" distL="0" distR="0">
            <wp:extent cx="5486400" cy="38747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0"/>
                    <a:stretch>
                      <a:fillRect/>
                    </a:stretch>
                  </pic:blipFill>
                  <pic:spPr>
                    <a:xfrm>
                      <a:off x="0" y="0"/>
                      <a:ext cx="5486400" cy="3874770"/>
                    </a:xfrm>
                    <a:prstGeom prst="rect">
                      <a:avLst/>
                    </a:prstGeom>
                  </pic:spPr>
                </pic:pic>
              </a:graphicData>
            </a:graphic>
          </wp:inline>
        </w:drawing>
      </w:r>
    </w:p>
    <w:p w14:paraId="74E314B3">
      <w:pPr>
        <w:pStyle w:val="15"/>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i/>
          <w:color w:val="auto"/>
          <w:sz w:val="24"/>
          <w:szCs w:val="24"/>
        </w:rPr>
        <w:t>Figure 4. Final multiplied skylark habitat suitability output for Cardiff.</w:t>
      </w:r>
    </w:p>
    <w:p w14:paraId="78383127">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In short, it can be seen that most of the potential skylark habitats in Cardiff are in the open areas around the city and not within the city itself. Areas with a high value are likely to be those close to a suitable Phase 1 habitat in a suitable hedgerow-distance band and far from recorded red fox presence. These areas should be given higher priority for field verification because they have been identified by the model as potential habitats, not because they have been confirmed as active breeding sites for skylarks at present.</w:t>
      </w:r>
    </w:p>
    <w:p w14:paraId="1EC29291">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Based on the above, the strengths and weaknesses of GIS in habitat management have also been identified. It can be used to show the decision-making process and is reproducible; that is, if either the score or the weight were to be modified, a different map could be generated and compared with the current one. The Model uses proxy data and is thus limited. Phase 1 habitat data are lacking in vegetation height, cutting dates, grazing pressure and pesticide use, and the red fox layer is based on occurrence records rather than a full-coverage predator survey. Therefore, the output will be used to direct management and field investigation rather than replace in-situ ecological assessment.</w:t>
      </w:r>
    </w:p>
    <w:p w14:paraId="297D7FA5">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model has also been set to use a fixed set of weights so far.</w:t>
      </w:r>
      <w:r>
        <w:rPr>
          <w:rFonts w:hint="eastAsia" w:ascii="Times New Roman" w:hAnsi="Times New Roman" w:cs="Times New Roman"/>
          <w:color w:val="auto"/>
          <w:sz w:val="24"/>
          <w:szCs w:val="24"/>
        </w:rPr>
        <w:t>Phase 1 habitat mapping is useful for identifying general habitat patterns across a landscape, but it has some limitations when applied to skylark habitat suitability. The classification system groups habitats into broad categories and does not always reflect differences in vegetation structure at a finer scale. This is important because skylarks are strongly influenced by factors such as vegetation height, ground cover and seasonal growth during the breeding season. As a result, areas mapped under the same habitat category may still differ in their suitability for nesting. For instance, one improved grassland field may be heavily grazed with very short vegetation, while another may contain taller and more varied grass due to lower management intensity. These small-scale differences are difficult to represent accurately using a simple habitat scoring approach.</w:t>
      </w:r>
      <w:r>
        <w:rPr>
          <w:rFonts w:ascii="Times New Roman" w:hAnsi="Times New Roman" w:cs="Times New Roman"/>
          <w:color w:val="auto"/>
          <w:sz w:val="24"/>
          <w:szCs w:val="24"/>
        </w:rPr>
        <w:t xml:space="preserve"> The Phase 1 layer is most affected because the core constraint is habitat type, and hedgerow distance and red fox distance are modifying factors. This is ecologically justifiable, but it is still a model-building choice. Recently, GIS-MCDA research has proposed that adjusting weights, thresholds or the rule of combination for these parameters will change the final priority map ( </w:t>
      </w:r>
      <w:r>
        <w:rPr>
          <w:rFonts w:hint="eastAsia" w:ascii="Times New Roman" w:hAnsi="Times New Roman" w:cs="Times New Roman"/>
          <w:color w:val="auto"/>
          <w:sz w:val="24"/>
          <w:szCs w:val="24"/>
        </w:rPr>
        <w:t>Rodríguez-Merino</w:t>
      </w:r>
      <w:r>
        <w:rPr>
          <w:rFonts w:hint="default" w:ascii="Times New Roman" w:hAnsi="Times New Roman" w:cs="Times New Roman"/>
          <w:color w:val="auto"/>
          <w:sz w:val="24"/>
          <w:szCs w:val="24"/>
          <w:lang w:val="en-US"/>
        </w:rPr>
        <w:t xml:space="preserve"> </w:t>
      </w:r>
      <w:r>
        <w:rPr>
          <w:rFonts w:ascii="Times New Roman" w:hAnsi="Times New Roman" w:cs="Times New Roman"/>
          <w:color w:val="auto"/>
          <w:sz w:val="24"/>
          <w:szCs w:val="24"/>
        </w:rPr>
        <w:t>et al., 2020). Therefore, a more advanced version of the Cardiff model could add a sensitivity analysis, for instance, by comparing the current multiplicative model with an additive overlay or by adjusting the red fox distance thresholds. If the same area is a high score under many plausible scenarios, then confidence in that top location will increase.</w:t>
      </w:r>
    </w:p>
    <w:p w14:paraId="69474629">
      <w:pPr>
        <w:spacing w:after="0" w:line="360" w:lineRule="auto"/>
        <w:ind w:firstLine="480" w:firstLineChars="200"/>
        <w:jc w:val="left"/>
        <w:rPr>
          <w:rFonts w:ascii="Times New Roman" w:hAnsi="Times New Roman" w:cs="Times New Roman"/>
          <w:sz w:val="24"/>
          <w:szCs w:val="24"/>
        </w:rPr>
      </w:pPr>
      <w:r>
        <w:rPr>
          <w:rFonts w:ascii="Times New Roman" w:hAnsi="Times New Roman" w:cs="Times New Roman"/>
          <w:color w:val="auto"/>
          <w:sz w:val="24"/>
          <w:szCs w:val="24"/>
        </w:rPr>
        <w:t>The model also shows why suitability mapping should be iterative. The first output can be used to select survey areas; then, based on the results of these surveys, corrections can be made to habitat classes and thresholds, and any missing variables will be identified. Recently, studies in remote sensing and species distribution have been carried out using the above method, and spatial predictions are now often regarded as decision-support tools to be enhanced by expert knowledge and field observations (Crispim-Mendes et al., 2024; Radovic, Kapelj and Taylor, 2025). For Cardiff, the next set of data that would be most beneficial are current vegetation height, recent mowing or grazing, crop type, public-access pressure, and skylark presence or absence during the breeding season</w:t>
      </w:r>
      <w:r>
        <w:rPr>
          <w:rFonts w:ascii="Times New Roman" w:hAnsi="Times New Roman" w:cs="Times New Roman"/>
          <w:sz w:val="24"/>
          <w:szCs w:val="24"/>
        </w:rPr>
        <w:t>.</w:t>
      </w:r>
    </w:p>
    <w:p w14:paraId="345EDD9C">
      <w:pPr>
        <w:pStyle w:val="3"/>
        <w:spacing w:after="0" w:line="360" w:lineRule="auto"/>
        <w:jc w:val="left"/>
        <w:rPr>
          <w:rFonts w:ascii="Times New Roman" w:hAnsi="Times New Roman" w:cs="Times New Roman"/>
          <w:color w:val="auto"/>
          <w:sz w:val="24"/>
          <w:szCs w:val="24"/>
        </w:rPr>
      </w:pPr>
      <w:r>
        <w:rPr>
          <w:rFonts w:ascii="Times New Roman" w:hAnsi="Times New Roman" w:cs="Times New Roman"/>
          <w:color w:val="auto"/>
          <w:sz w:val="24"/>
          <w:szCs w:val="24"/>
        </w:rPr>
        <w:t>Management Recommendations for Farmers and Landowners</w:t>
      </w:r>
    </w:p>
    <w:p w14:paraId="41391323">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Therefore, the management recommendations below are based on two types of evidence: the spatial pattern produced by the GIS model and recent studies on the recovery of farmland birds. The map can help determine where the action is most likely to be applied, and the literature can provide the contents of such an action. This is because the practical measures for farmers and landowners should be ecologically sound and feasible in their work-farm systems.</w:t>
      </w:r>
    </w:p>
    <w:p w14:paraId="459FFB6F">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First, one needs to protect the existing natural habitat in a relatively undisturbed area and develop it rather than building new small-scale facilities. Skylark plots are relatively easy to set up in areas with a high density of cereal crops, but recent studies have also shown that their actual effects vary according to the overall composition of crops and the availability of auxiliary environments, such as flower strips, fallows and seed-rich edges (Beninde and Hunke, 2025; Staggenborg and Anthes, 2022). Therefore, in Cardiff, high-scoring areas will not be treated as individual pixels on a map but will be discussed in the context of the broader field or farm plan with land managers.</w:t>
      </w:r>
    </w:p>
    <w:p w14:paraId="257DA35F">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Survey Priority: The areas with high scores will be designated as priority areas for skylark observation before changing land-use activities. Survey visits will be organised during the breeding season to confirm whether the suitable area in the map has actual skylark populations, song-and-flight activities, or nesting sites.</w:t>
      </w:r>
    </w:p>
    <w:p w14:paraId="5FF14961">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Open Habitat Retention: Keep open grassland and arable land in the area with good suitability. Woodland planting, tall shelterbelts and dense scrub formation should be avoided in the most promising skylark Areas unless there is an urgent conservation need of the site; vertical-structured vegetation does not reduce the openness that these species require.</w:t>
      </w:r>
    </w:p>
    <w:p w14:paraId="4698EE39">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Breeding Season Operations: Adjust mowing, grazing and cultivation times to reduce nest disturbance. Grassland management should delay or reschedule cutting to avoid the main nesting season when possible. Skylark plots or unsown patches can be added to the crops in arable land to create walking paths and reduce the problem of dense vegetation.</w:t>
      </w:r>
    </w:p>
    <w:p w14:paraId="73F7CE54">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Foraging Resources: Strengthen foraging resources by keeping winter stubbles, various field margins and low-intensity grasslands available. Reduce the pressure of pesticides and herbicides on invertebrate and seed resources that serve as food for adult and chick food sources.</w:t>
      </w:r>
    </w:p>
    <w:p w14:paraId="04B3739E">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Predator-Risk Management: Reduce preventable predator subsidies in high-suitability areas. It does not mean that predator control should be the main measure; rather, it refers to reducing waste generation, regulating the storage of feed and covering around nesting areas, and so on, to prevent an increase in red fox activity in these areas due to farm operations.</w:t>
      </w:r>
    </w:p>
    <w:p w14:paraId="3B90C0B6">
      <w:pPr>
        <w:spacing w:after="0" w:line="360" w:lineRule="auto"/>
        <w:ind w:firstLine="480" w:firstLineChars="200"/>
        <w:rPr>
          <w:rFonts w:ascii="Times New Roman" w:hAnsi="Times New Roman" w:eastAsia="宋体" w:cs="Times New Roman"/>
          <w:bCs/>
          <w:color w:val="auto"/>
          <w:sz w:val="24"/>
          <w:szCs w:val="24"/>
          <w:lang w:eastAsia="zh-CN"/>
        </w:rPr>
      </w:pPr>
      <w:r>
        <w:rPr>
          <w:rFonts w:ascii="Times New Roman" w:hAnsi="Times New Roman" w:cs="Times New Roman"/>
          <w:sz w:val="24"/>
          <w:szCs w:val="24"/>
        </w:rPr>
        <w:t>Monitoring and Model Updates: A GIS model is used for monitoring. Based on the new survey data, mowing information, crop data and predator records for farmers, landowners and conservationists, update the model to make data-driven management decisions at various times with this new information.</w:t>
      </w:r>
    </w:p>
    <w:p w14:paraId="3B3DC715">
      <w:pPr>
        <w:pStyle w:val="3"/>
        <w:spacing w:after="0" w:line="360" w:lineRule="auto"/>
        <w:jc w:val="left"/>
        <w:rPr>
          <w:rFonts w:ascii="Times New Roman" w:hAnsi="Times New Roman" w:cs="Times New Roman"/>
          <w:color w:val="auto"/>
          <w:sz w:val="24"/>
          <w:szCs w:val="24"/>
        </w:rPr>
      </w:pPr>
      <w:r>
        <w:rPr>
          <w:rFonts w:ascii="Times New Roman" w:hAnsi="Times New Roman" w:cs="Times New Roman"/>
          <w:color w:val="auto"/>
          <w:sz w:val="24"/>
          <w:szCs w:val="24"/>
        </w:rPr>
        <w:t>Conclusion</w:t>
      </w:r>
    </w:p>
    <w:p w14:paraId="0B2BA544">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Managers of ecosystems can use GIS to organise the work of habitat protection and management more efficiently in space. Skylark in Cardiff's final map was based on the three selected indicators: Phase 1 habitat suitability, distance from hedgerows, and distance to red fox presence. Multiply the weighted criteria to obtain a conservative suitability surface, and a weak ecological condition reduced the final score. This helps management understand why several favourable conditions have occurred together and is also more easily accepted.</w:t>
      </w:r>
    </w:p>
    <w:p w14:paraId="653AF189">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output will serve as a reference for the subsequent targeted field study, farmer participation and habitat-management planning, rather than as confirmation of skylark presence. Its first function is to assist farmers, landowners and conservation managers in determining which areas are most suitable for measures such as reduced mowing, skylark plots, open habitat retention and enhanced foraging resources. Next, we will verify the areas of high and low suitability in the field, and then adjust the model according to local observations of vegetation structure, management intensity and skylark presence.</w:t>
      </w:r>
    </w:p>
    <w:p w14:paraId="58275607">
      <w:pPr>
        <w:spacing w:after="0" w:line="360" w:lineRule="auto"/>
        <w:ind w:firstLine="480" w:firstLineChars="200"/>
        <w:rPr>
          <w:rFonts w:ascii="Times New Roman" w:hAnsi="Times New Roman" w:cs="Times New Roman"/>
          <w:color w:val="auto"/>
          <w:sz w:val="24"/>
          <w:szCs w:val="24"/>
        </w:rPr>
      </w:pPr>
    </w:p>
    <w:p w14:paraId="478A73E0">
      <w:pPr>
        <w:spacing w:after="0" w:line="360" w:lineRule="auto"/>
        <w:ind w:firstLine="480" w:firstLineChars="200"/>
        <w:rPr>
          <w:rFonts w:ascii="Times New Roman" w:hAnsi="Times New Roman" w:cs="Times New Roman"/>
          <w:color w:val="auto"/>
          <w:sz w:val="24"/>
          <w:szCs w:val="24"/>
        </w:rPr>
      </w:pPr>
    </w:p>
    <w:p w14:paraId="68D17F6A">
      <w:pPr>
        <w:spacing w:after="0" w:line="360" w:lineRule="auto"/>
        <w:ind w:firstLine="480" w:firstLineChars="200"/>
        <w:rPr>
          <w:rFonts w:ascii="Times New Roman" w:hAnsi="Times New Roman" w:cs="Times New Roman"/>
          <w:color w:val="auto"/>
          <w:sz w:val="24"/>
          <w:szCs w:val="24"/>
        </w:rPr>
      </w:pPr>
    </w:p>
    <w:p w14:paraId="21510012">
      <w:pPr>
        <w:pStyle w:val="3"/>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References</w:t>
      </w:r>
    </w:p>
    <w:p w14:paraId="7993CB25">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Beninde, J. and Hunke, P. (2025) 'The use of skylark plots by the European Skylark (Alauda arvensis) in Germany', Journal of Ornithology, 166, pp. 603-607. </w:t>
      </w:r>
    </w:p>
    <w:p w14:paraId="35E54F5D">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Berry, J.K. (2004) </w:t>
      </w:r>
      <w:r>
        <w:rPr>
          <w:rFonts w:hint="eastAsia" w:ascii="Times New Roman" w:hAnsi="Times New Roman" w:cs="Times New Roman"/>
          <w:sz w:val="24"/>
          <w:szCs w:val="24"/>
        </w:rPr>
        <w:t>Beyond Mapping III</w:t>
      </w:r>
      <w:r>
        <w:rPr>
          <w:rFonts w:hint="default" w:ascii="Times New Roman" w:hAnsi="Times New Roman" w:cs="Times New Roman"/>
          <w:sz w:val="24"/>
          <w:szCs w:val="24"/>
          <w:lang w:val="en-US"/>
        </w:rPr>
        <w:t xml:space="preserve">, </w:t>
      </w:r>
      <w:r>
        <w:rPr>
          <w:rFonts w:hint="eastAsia" w:ascii="Times New Roman" w:hAnsi="Times New Roman" w:cs="Times New Roman"/>
          <w:sz w:val="24"/>
          <w:szCs w:val="24"/>
        </w:rPr>
        <w:t>Topic 23: Suitability Modeling</w:t>
      </w:r>
      <w:r>
        <w:rPr>
          <w:rFonts w:ascii="Times New Roman" w:hAnsi="Times New Roman" w:cs="Times New Roman"/>
          <w:sz w:val="24"/>
          <w:szCs w:val="24"/>
        </w:rPr>
        <w:t xml:space="preserve">, Map Analysis. Available at: </w:t>
      </w:r>
      <w:r>
        <w:rPr>
          <w:rFonts w:hint="eastAsia" w:ascii="Times New Roman" w:hAnsi="Times New Roman" w:cs="Times New Roman"/>
          <w:sz w:val="24"/>
          <w:szCs w:val="24"/>
        </w:rPr>
        <w:t>http://www.innovativegis.com/Basis/mapanalysis/Topic23/Topic23.pdf</w:t>
      </w:r>
      <w:r>
        <w:rPr>
          <w:rFonts w:ascii="Times New Roman" w:hAnsi="Times New Roman" w:cs="Times New Roman"/>
          <w:sz w:val="24"/>
          <w:szCs w:val="24"/>
        </w:rPr>
        <w:t>(Accessed: 2</w:t>
      </w:r>
      <w:r>
        <w:rPr>
          <w:rFonts w:hint="default" w:ascii="Times New Roman" w:hAnsi="Times New Roman" w:cs="Times New Roman"/>
          <w:sz w:val="24"/>
          <w:szCs w:val="24"/>
          <w:lang w:val="en-US"/>
        </w:rPr>
        <w:t>4</w:t>
      </w:r>
      <w:r>
        <w:rPr>
          <w:rFonts w:ascii="Times New Roman" w:hAnsi="Times New Roman" w:cs="Times New Roman"/>
          <w:sz w:val="24"/>
          <w:szCs w:val="24"/>
        </w:rPr>
        <w:t xml:space="preserve"> May 2026)</w:t>
      </w:r>
    </w:p>
    <w:p w14:paraId="3922859E">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BTO (2026) Skylark: BirdFacts</w:t>
      </w:r>
      <w:r>
        <w:rPr>
          <w:rFonts w:hint="default" w:ascii="Times New Roman" w:hAnsi="Times New Roman" w:cs="Times New Roman"/>
          <w:sz w:val="24"/>
          <w:szCs w:val="24"/>
          <w:lang w:val="en-US"/>
        </w:rPr>
        <w:t xml:space="preserve"> Species</w:t>
      </w:r>
      <w:r>
        <w:rPr>
          <w:rFonts w:ascii="Times New Roman" w:hAnsi="Times New Roman" w:cs="Times New Roman"/>
          <w:sz w:val="24"/>
          <w:szCs w:val="24"/>
        </w:rPr>
        <w:t xml:space="preserve">. Available at: </w:t>
      </w:r>
      <w:r>
        <w:rPr>
          <w:rFonts w:hint="eastAsia" w:ascii="Times New Roman" w:hAnsi="Times New Roman" w:cs="Times New Roman"/>
          <w:sz w:val="24"/>
          <w:szCs w:val="24"/>
        </w:rPr>
        <w:t>https://www.bto.org/learn/about-birds/birdfacts/skylark</w:t>
      </w:r>
      <w:r>
        <w:rPr>
          <w:rFonts w:ascii="Times New Roman" w:hAnsi="Times New Roman" w:cs="Times New Roman"/>
          <w:sz w:val="24"/>
          <w:szCs w:val="24"/>
        </w:rPr>
        <w:t>(Accessed: 25 May 2026)</w:t>
      </w:r>
    </w:p>
    <w:p w14:paraId="7C6CC846">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Cardiff Council (2016) Sustainability Appraisal and Strategic Environmental Assessment of the Cardiff Local Development Plan: Final Sustainability Appraisal Report, Appendix 6. </w:t>
      </w:r>
    </w:p>
    <w:p w14:paraId="744C2960">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Chamberlain, D.E.,</w:t>
      </w:r>
      <w:r>
        <w:rPr>
          <w:rFonts w:hint="default" w:ascii="Times New Roman" w:hAnsi="Times New Roman" w:cs="Times New Roman"/>
          <w:sz w:val="24"/>
          <w:szCs w:val="24"/>
          <w:lang w:val="en-US"/>
        </w:rPr>
        <w:t>and</w:t>
      </w:r>
      <w:r>
        <w:rPr>
          <w:rFonts w:ascii="Times New Roman" w:hAnsi="Times New Roman" w:cs="Times New Roman"/>
          <w:sz w:val="24"/>
          <w:szCs w:val="24"/>
        </w:rPr>
        <w:t xml:space="preserve"> Siriwardena, G.M. (2000) 'The effects of agricultural intensification on skylarks (Alauda arvensis): evidence from monitoring studies in Great Britain', Environmental Reviews, 8(2), pp. 95-113.</w:t>
      </w:r>
    </w:p>
    <w:p w14:paraId="7F9981E3">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Chamberlain, D.E. and Gregory, R.D. (1999) 'Coarse and fine scale habitat associations of breeding Skylarks Alauda arvensis in the UK', Bird Study, 46(1), pp. 47-58. </w:t>
      </w:r>
    </w:p>
    <w:p w14:paraId="109E0739">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Crispim-Mendes, T., Valerio, F., Marques, A.T., Pita, R., Godinho, S. and Silva, J.P. (2024) 'High-resolution species distribution modelling reveals spatio-temporal variability of habitat suitability in a declining grassland bird', Landscape Ecology, 39, 49. </w:t>
      </w:r>
    </w:p>
    <w:p w14:paraId="561D1FDF">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Copland, A.S., Crowe, O., Wilson, M.W. and O'Halloran, J. (2012) 'Habitat associations of Eurasian Skylarks Alauda arvensis breeding on Irish farmland and implications for agri-environment planning', Bird Study, 59(2), pp. 155-165. </w:t>
      </w:r>
    </w:p>
    <w:p w14:paraId="2508418D">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Department for Environment, Food and Rural Affairs (Defra) (2025) Wild bird populations in the UK and England, 1970 to 2024. Available at: </w:t>
      </w:r>
      <w:r>
        <w:rPr>
          <w:rFonts w:hint="eastAsia" w:ascii="Times New Roman" w:hAnsi="Times New Roman" w:cs="Times New Roman"/>
          <w:sz w:val="24"/>
          <w:szCs w:val="24"/>
        </w:rPr>
        <w:t>https://www.gov.uk/government/statistics/wild-bird-populations-in-the-uk/wild-bird-populations-in-the-uk-and-england-1970-to-2024</w:t>
      </w:r>
      <w:r>
        <w:rPr>
          <w:rFonts w:hint="default" w:ascii="Times New Roman" w:hAnsi="Times New Roman" w:cs="Times New Roman"/>
          <w:sz w:val="24"/>
          <w:szCs w:val="24"/>
          <w:lang w:val="en-US"/>
        </w:rPr>
        <w:t xml:space="preserve"> </w:t>
      </w:r>
      <w:r>
        <w:rPr>
          <w:rFonts w:ascii="Times New Roman" w:hAnsi="Times New Roman" w:cs="Times New Roman"/>
          <w:sz w:val="24"/>
          <w:szCs w:val="24"/>
        </w:rPr>
        <w:t>(Accessed: 25 May 2026)</w:t>
      </w:r>
    </w:p>
    <w:p w14:paraId="48C77BAA">
      <w:pPr>
        <w:pStyle w:val="165"/>
        <w:spacing w:after="0" w:line="360" w:lineRule="auto"/>
        <w:ind w:left="357" w:hanging="357"/>
        <w:rPr>
          <w:rFonts w:hint="default" w:ascii="Times New Roman" w:hAnsi="Times New Roman" w:cs="Times New Roman"/>
          <w:sz w:val="24"/>
          <w:szCs w:val="24"/>
          <w:lang w:val="en-US"/>
        </w:rPr>
      </w:pPr>
      <w:r>
        <w:rPr>
          <w:rFonts w:ascii="Times New Roman" w:hAnsi="Times New Roman" w:cs="Times New Roman"/>
          <w:sz w:val="24"/>
          <w:szCs w:val="24"/>
        </w:rPr>
        <w:t xml:space="preserve">FAS (2024) Land Management for Skylarks Alauda arvensis. </w:t>
      </w:r>
      <w:r>
        <w:rPr>
          <w:rFonts w:hint="default" w:ascii="Times New Roman" w:hAnsi="Times New Roman" w:cs="Times New Roman"/>
          <w:sz w:val="24"/>
          <w:szCs w:val="24"/>
          <w:lang w:val="en-US"/>
        </w:rPr>
        <w:t>Available at:https://www.fas.scot/article/land-management-for-skylarks-alauda-arvensis/</w:t>
      </w:r>
      <w:r>
        <w:rPr>
          <w:rFonts w:ascii="Times New Roman" w:hAnsi="Times New Roman" w:cs="Times New Roman"/>
          <w:sz w:val="24"/>
          <w:szCs w:val="24"/>
        </w:rPr>
        <w:t>(Accessed: 25 May 2026)</w:t>
      </w:r>
    </w:p>
    <w:p w14:paraId="2F51FF5D">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Game &amp; Wildlife Conservation Trust (GWCT) (n.d.) Skylark facts, song, habitat, food, nesting. Available at: </w:t>
      </w:r>
      <w:r>
        <w:rPr>
          <w:rFonts w:hint="eastAsia" w:ascii="Times New Roman" w:hAnsi="Times New Roman" w:cs="Times New Roman"/>
          <w:sz w:val="24"/>
          <w:szCs w:val="24"/>
        </w:rPr>
        <w:t>https://www.gwct.org.uk/farming/big-farmland-bird-count/farmland-birds-to-count/skylark/</w:t>
      </w:r>
      <w:r>
        <w:rPr>
          <w:rFonts w:ascii="Times New Roman" w:hAnsi="Times New Roman" w:cs="Times New Roman"/>
          <w:sz w:val="24"/>
          <w:szCs w:val="24"/>
        </w:rPr>
        <w:t>(Accessed: 25 May 2026)</w:t>
      </w:r>
    </w:p>
    <w:p w14:paraId="577FFCE0">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Guisan, A., Thuiller, W. and Zimmermann, N.E. (2017) Habitat Suitability and Distribution Models: With Applications in R. Cambridge: Cambridge University Press.</w:t>
      </w:r>
    </w:p>
    <w:p w14:paraId="6414F710">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Heywood, J.J.N., Massimino, D., Baker, L., Balmer, D.E., Brighton, C.H., Gillings, S., Kelly, L., Noble, D.G., Pearce-Higgins, J.W., White, D.M., Woodcock, P., Workman, E. and Wotton, S. (2025) The Breeding Bird Survey 2024. BTO Research Report 787. Thetford: British Trust for Ornithology. Available at: https://www.bto.org/our-work/science/publications/reports/bbs-reports/2024 (Accessed: 25 May 2026).</w:t>
      </w:r>
    </w:p>
    <w:p w14:paraId="13570AEA">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Malczewski, J. (2004) 'GIS-based land-use suitability analysis: a critical overview', Progress in Planning, 62(1), pp. 3-65.</w:t>
      </w:r>
    </w:p>
    <w:p w14:paraId="7B756744">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Natural Resources Wales (2023) Terrestrial Phase 1 Habitat Survey. Data</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Map</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Wales. Available at:</w:t>
      </w:r>
      <w:r>
        <w:rPr>
          <w:rFonts w:hint="default" w:ascii="Times New Roman" w:hAnsi="Times New Roman" w:cs="Times New Roman"/>
          <w:sz w:val="24"/>
          <w:szCs w:val="24"/>
          <w:lang w:val="en-US"/>
        </w:rPr>
        <w:t xml:space="preserve"> </w:t>
      </w:r>
      <w:r>
        <w:rPr>
          <w:rFonts w:hint="eastAsia" w:ascii="Times New Roman" w:hAnsi="Times New Roman" w:cs="Times New Roman"/>
          <w:sz w:val="24"/>
          <w:szCs w:val="24"/>
        </w:rPr>
        <w:t>https://datamap.gov.wales/layers/geonode:nrw_terrestrial_phase_1_habitat_survey</w:t>
      </w:r>
      <w:r>
        <w:rPr>
          <w:rFonts w:ascii="Times New Roman" w:hAnsi="Times New Roman" w:cs="Times New Roman"/>
          <w:sz w:val="24"/>
          <w:szCs w:val="24"/>
        </w:rPr>
        <w:t xml:space="preserve"> (Accessed: 25 May 2026).</w:t>
      </w:r>
    </w:p>
    <w:p w14:paraId="2F0D5673">
      <w:pPr>
        <w:pStyle w:val="165"/>
        <w:spacing w:after="0" w:line="360" w:lineRule="auto"/>
        <w:ind w:left="357" w:hanging="357"/>
        <w:rPr>
          <w:rFonts w:hint="default" w:ascii="Times New Roman" w:hAnsi="Times New Roman" w:cs="Times New Roman"/>
          <w:sz w:val="24"/>
          <w:szCs w:val="24"/>
          <w:lang w:val="en-US"/>
        </w:rPr>
      </w:pPr>
      <w:r>
        <w:rPr>
          <w:rFonts w:ascii="Times New Roman" w:hAnsi="Times New Roman" w:cs="Times New Roman"/>
          <w:sz w:val="24"/>
          <w:szCs w:val="24"/>
        </w:rPr>
        <w:t xml:space="preserve">Natural Resources Wales (2025) State of Natural Resources Report 2025: </w:t>
      </w:r>
      <w:r>
        <w:rPr>
          <w:rFonts w:hint="eastAsia" w:ascii="Times New Roman" w:hAnsi="Times New Roman" w:cs="Times New Roman"/>
          <w:sz w:val="24"/>
          <w:szCs w:val="24"/>
        </w:rPr>
        <w:t>Explore SoNaRR 2025 content</w:t>
      </w:r>
      <w:r>
        <w:rPr>
          <w:rFonts w:hint="default" w:ascii="Times New Roman" w:hAnsi="Times New Roman" w:cs="Times New Roman"/>
          <w:sz w:val="24"/>
          <w:szCs w:val="24"/>
          <w:lang w:val="en-US"/>
        </w:rPr>
        <w:t>. Available at: https://naturalresources.wales/evidence-and-data/research-and-reports/state-of-natural-resources-report-2025/?lang=en</w:t>
      </w:r>
      <w:r>
        <w:rPr>
          <w:rFonts w:ascii="Times New Roman" w:hAnsi="Times New Roman" w:cs="Times New Roman"/>
          <w:sz w:val="24"/>
          <w:szCs w:val="24"/>
        </w:rPr>
        <w:t>(Accessed: 25 May 2026).</w:t>
      </w:r>
    </w:p>
    <w:p w14:paraId="57E6B12F">
      <w:pPr>
        <w:pStyle w:val="165"/>
        <w:spacing w:after="0" w:line="360" w:lineRule="auto"/>
        <w:ind w:left="357" w:hanging="357"/>
        <w:rPr>
          <w:rFonts w:ascii="Times New Roman" w:hAnsi="Times New Roman" w:cs="Times New Roman"/>
          <w:sz w:val="24"/>
          <w:szCs w:val="24"/>
        </w:rPr>
      </w:pPr>
      <w:r>
        <w:rPr>
          <w:rFonts w:hint="eastAsia" w:ascii="Times New Roman" w:hAnsi="Times New Roman" w:cs="Times New Roman"/>
          <w:sz w:val="24"/>
          <w:szCs w:val="24"/>
        </w:rPr>
        <w:t>National Biodiversity Network (NBN) Trust</w:t>
      </w:r>
      <w:r>
        <w:rPr>
          <w:rFonts w:ascii="Times New Roman" w:hAnsi="Times New Roman" w:cs="Times New Roman"/>
          <w:sz w:val="24"/>
          <w:szCs w:val="24"/>
        </w:rPr>
        <w:t xml:space="preserve"> (2026) National Biodiversity Network. Available at: https://nbnatlas.org/ (Accessed: 25 May 2026).</w:t>
      </w:r>
    </w:p>
    <w:p w14:paraId="331FBC79">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Ottens, H.J., Kuiper, M.W., Flinks, H., van Ruijven, J., Siepel, H., Koks, B.J., Berendse, F. and de Snoo, G.R. (2014) 'Do field margins enrich the diet of the Eurasian Skylark Alauda arvensis on intensive farmland?', Ardea, 102(2), pp. 161-174.</w:t>
      </w:r>
    </w:p>
    <w:p w14:paraId="653A9C3D">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Puttmanns, M. et al. (2022) 'Habitat use and foraging parameters of breeding Skylarks indicate no seasonal decrease in food availability in heterogeneous farmland', Ecology and Evolution, 12(1), e8461. </w:t>
      </w:r>
    </w:p>
    <w:p w14:paraId="26881FAA">
      <w:pPr>
        <w:pStyle w:val="165"/>
        <w:spacing w:after="0" w:line="360" w:lineRule="auto"/>
        <w:ind w:left="357" w:hanging="357"/>
        <w:rPr>
          <w:rFonts w:ascii="Times New Roman" w:hAnsi="Times New Roman" w:cs="Times New Roman"/>
          <w:sz w:val="24"/>
          <w:szCs w:val="24"/>
        </w:rPr>
      </w:pPr>
      <w:r>
        <w:rPr>
          <w:rFonts w:hint="eastAsia" w:ascii="Times New Roman" w:hAnsi="Times New Roman" w:cs="Times New Roman"/>
          <w:sz w:val="24"/>
          <w:szCs w:val="24"/>
        </w:rPr>
        <w:t xml:space="preserve">Rodríguez-Merino, A., García-Murillo, P., </w:t>
      </w:r>
      <w:r>
        <w:rPr>
          <w:rFonts w:hint="default" w:ascii="Times New Roman" w:hAnsi="Times New Roman" w:cs="Times New Roman"/>
          <w:sz w:val="24"/>
          <w:szCs w:val="24"/>
          <w:lang w:val="en-US"/>
        </w:rPr>
        <w:t>and</w:t>
      </w:r>
      <w:r>
        <w:rPr>
          <w:rFonts w:hint="eastAsia" w:ascii="Times New Roman" w:hAnsi="Times New Roman" w:cs="Times New Roman"/>
          <w:sz w:val="24"/>
          <w:szCs w:val="24"/>
        </w:rPr>
        <w:t xml:space="preserve"> Fernández-Zamudio, R. (2020).</w:t>
      </w:r>
      <w:r>
        <w:rPr>
          <w:rFonts w:ascii="Times New Roman" w:hAnsi="Times New Roman" w:cs="Times New Roman"/>
          <w:sz w:val="24"/>
          <w:szCs w:val="24"/>
        </w:rPr>
        <w:t xml:space="preserve"> 'Combining multicriteria decision analysis and GIS to assess vulnerability within a protected area: An objective methodology for managing complex and fragile systems', Ecological Indicators, 108, 105738. </w:t>
      </w:r>
    </w:p>
    <w:p w14:paraId="03014935">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Radovic, A., Kapelj, S. and Taylor, L.T. (2025) 'Utilizing Remote Sensing Data for Species Distribution Modeling of Birds in Croatia', Diversity, 17(6), 399. </w:t>
      </w:r>
    </w:p>
    <w:p w14:paraId="5D271EB1">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Rigal, S. et al. (2023) 'Farmland practices are driving bird population decline across Europe', Proceedings of the National Academy of Sciences of the United States of America, 120(21), e2216573120. </w:t>
      </w:r>
    </w:p>
    <w:p w14:paraId="7D822A9E">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RSPB (n.d.a) Skylark. Available at: https://www.rspb.org.uk/birds-and-wildlife/skylark (Accessed: 18 May 2026).</w:t>
      </w:r>
    </w:p>
    <w:p w14:paraId="28515FD3">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RSPB (n.d.b) Skylark conservation advice for farmers. Available at: https://www.rspb.org.uk/helping-nature/what-we-do/influence-government-and-business/farming/advice-for-farmers-helping-bird-species/skylark-advice-for-farmers.(Accessed: </w:t>
      </w:r>
      <w:r>
        <w:rPr>
          <w:rFonts w:hint="default" w:ascii="Times New Roman" w:hAnsi="Times New Roman" w:cs="Times New Roman"/>
          <w:sz w:val="24"/>
          <w:szCs w:val="24"/>
          <w:lang w:val="en-US"/>
        </w:rPr>
        <w:t>25</w:t>
      </w:r>
      <w:r>
        <w:rPr>
          <w:rFonts w:ascii="Times New Roman" w:hAnsi="Times New Roman" w:cs="Times New Roman"/>
          <w:sz w:val="24"/>
          <w:szCs w:val="24"/>
        </w:rPr>
        <w:t xml:space="preserve"> May 2026).</w:t>
      </w:r>
    </w:p>
    <w:p w14:paraId="638D765D">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Skidmore, A.K. et al. (2015) 'Agree on biodiversity metrics to track from space', Nature, 523, pp. 403-405.</w:t>
      </w:r>
    </w:p>
    <w:p w14:paraId="4502B0B1">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Staggenborg, J. and Anthes, N. (2022) 'Long-term fallows rate best among agri-environment scheme effects on farmland birds - A meta-analysis', Conservation Letters, 15(4), e12904. </w:t>
      </w:r>
    </w:p>
    <w:p w14:paraId="7B014EF9">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State of Nature Partnership (2023) State of Nature </w:t>
      </w:r>
      <w:r>
        <w:rPr>
          <w:rFonts w:hint="default" w:ascii="Times New Roman" w:hAnsi="Times New Roman" w:cs="Times New Roman"/>
          <w:sz w:val="24"/>
          <w:szCs w:val="24"/>
          <w:lang w:val="en-US"/>
        </w:rPr>
        <w:t xml:space="preserve">report </w:t>
      </w:r>
      <w:r>
        <w:rPr>
          <w:rFonts w:ascii="Times New Roman" w:hAnsi="Times New Roman" w:cs="Times New Roman"/>
          <w:sz w:val="24"/>
          <w:szCs w:val="24"/>
        </w:rPr>
        <w:t xml:space="preserve">2023. Available at: </w:t>
      </w:r>
      <w:r>
        <w:rPr>
          <w:rFonts w:hint="eastAsia" w:ascii="Times New Roman" w:hAnsi="Times New Roman" w:cs="Times New Roman"/>
          <w:sz w:val="24"/>
          <w:szCs w:val="24"/>
        </w:rPr>
        <w:t>https://www.bto.org/our-work/science/publications/reports/state-of-nature/2023</w:t>
      </w:r>
      <w:r>
        <w:rPr>
          <w:rFonts w:ascii="Times New Roman" w:hAnsi="Times New Roman" w:cs="Times New Roman"/>
          <w:sz w:val="24"/>
          <w:szCs w:val="24"/>
        </w:rPr>
        <w:t xml:space="preserve">(Accessed: </w:t>
      </w:r>
      <w:r>
        <w:rPr>
          <w:rFonts w:hint="default" w:ascii="Times New Roman" w:hAnsi="Times New Roman" w:cs="Times New Roman"/>
          <w:sz w:val="24"/>
          <w:szCs w:val="24"/>
          <w:lang w:val="en-US"/>
        </w:rPr>
        <w:t>25</w:t>
      </w:r>
      <w:r>
        <w:rPr>
          <w:rFonts w:ascii="Times New Roman" w:hAnsi="Times New Roman" w:cs="Times New Roman"/>
          <w:sz w:val="24"/>
          <w:szCs w:val="24"/>
        </w:rPr>
        <w:t xml:space="preserve"> May 2026).</w:t>
      </w:r>
    </w:p>
    <w:p w14:paraId="4A535645">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Suffolk Wildlife Trust (n.d.) Skylark. Available at: https://www.suffolkwildlifetrust.org/skylark (Accessed: 18 May 2026).</w:t>
      </w:r>
    </w:p>
    <w:p w14:paraId="7F6BF8BA">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The Wildlife Trust of South and West Wales (n.d.) Skylark. Available at: https://www.welshwildlife.org/wildlife-explorer/birds/larks-sparrows-pipits-wagtails-and-dunnock/skylark (Accessed: 18 May 2026).</w:t>
      </w:r>
    </w:p>
    <w:p w14:paraId="2BBF9FE7">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The Wildlife Trusts (n.d.) Skylark. Available at: https://www.wildlifetrusts.org/wildlife-explorer/birds/larks-sparrows-pipits-wagtails-and-dunnock/skylark  (Accessed: </w:t>
      </w:r>
      <w:r>
        <w:rPr>
          <w:rFonts w:hint="default" w:ascii="Times New Roman" w:hAnsi="Times New Roman" w:cs="Times New Roman"/>
          <w:sz w:val="24"/>
          <w:szCs w:val="24"/>
          <w:lang w:val="en-US"/>
        </w:rPr>
        <w:t>20</w:t>
      </w:r>
      <w:r>
        <w:rPr>
          <w:rFonts w:ascii="Times New Roman" w:hAnsi="Times New Roman" w:cs="Times New Roman"/>
          <w:sz w:val="24"/>
          <w:szCs w:val="24"/>
        </w:rPr>
        <w:t xml:space="preserve"> May 2026).</w:t>
      </w:r>
    </w:p>
    <w:p w14:paraId="6EF653F8">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Welsh Government (2025) Section 6 biodiversity and resilience of ecosystems duty: reporting guidance. Available at: https://www.gov.wales/section-6-biodiversity-and-resilience-ecosystems-duty-reporting-guidance (Accessed: 18 May 2026).</w:t>
      </w:r>
    </w:p>
    <w:p w14:paraId="717D3617">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Wilson, J.D. and Browne, S.J. (1993) Habitat selection and breeding success of Skylarks Alauda arvensis on organic and conventional farmland. BTO Research Report No. 129. Thetford: British Trust for Ornithology. </w:t>
      </w:r>
    </w:p>
    <w:p w14:paraId="6B91149A">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Wilson, J.D., Evans, J., Browne, S.J. and King, J.R. (1997) 'Territory distribution and breeding </w:t>
      </w:r>
      <w:bookmarkStart w:id="0" w:name="_GoBack"/>
      <w:bookmarkEnd w:id="0"/>
      <w:r>
        <w:rPr>
          <w:rFonts w:ascii="Times New Roman" w:hAnsi="Times New Roman" w:cs="Times New Roman"/>
          <w:sz w:val="24"/>
          <w:szCs w:val="24"/>
        </w:rPr>
        <w:t xml:space="preserve">success of Skylarks Alauda arvensis on organic and intensive farmland in southern England', Journal of Applied Ecology, 34(6), pp. 1462-1478. </w:t>
      </w:r>
    </w:p>
    <w:p w14:paraId="2EDA3657">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Zurell, D. et al. (2020) 'A standard protocol for reporting species distribution models', Ecography, 43(9), pp. 1261-1277.  (Accessed: 25 May 2026).</w:t>
      </w:r>
    </w:p>
    <w:p w14:paraId="7F8CACF8">
      <w:pPr>
        <w:pStyle w:val="165"/>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 </w:t>
      </w:r>
    </w:p>
    <w:p w14:paraId="6BA5BCB8">
      <w:pPr>
        <w:pStyle w:val="165"/>
        <w:spacing w:after="0" w:line="360" w:lineRule="auto"/>
        <w:ind w:left="357" w:hanging="357"/>
        <w:rPr>
          <w:rFonts w:ascii="Times New Roman" w:hAnsi="Times New Roman" w:cs="Times New Roman"/>
          <w:sz w:val="24"/>
          <w:szCs w:val="24"/>
        </w:rPr>
      </w:pPr>
    </w:p>
    <w:sectPr>
      <w:headerReference r:id="rId5" w:type="default"/>
      <w:pgSz w:w="12240" w:h="15840"/>
      <w:pgMar w:top="1440" w:right="1440" w:bottom="1440" w:left="1440" w:header="708" w:footer="708"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mbria">
    <w:altName w:val="苹方-简"/>
    <w:panose1 w:val="02040503050406030204"/>
    <w:charset w:val="00"/>
    <w:family w:val="roman"/>
    <w:pitch w:val="default"/>
    <w:sig w:usb0="00000000" w:usb1="00000000" w:usb2="02000000" w:usb3="00000000" w:csb0="0000019F" w:csb1="00000000"/>
  </w:font>
  <w:font w:name="ＭＳ 明朝">
    <w:altName w:val="Hiragino Sans"/>
    <w:panose1 w:val="00000000000000000000"/>
    <w:charset w:val="86"/>
    <w:family w:val="auto"/>
    <w:pitch w:val="default"/>
    <w:sig w:usb0="00000000" w:usb1="00000000" w:usb2="00000000" w:usb3="00000000" w:csb0="00000000" w:csb1="00000000"/>
  </w:font>
  <w:font w:name="ＭＳ ゴシック">
    <w:altName w:val="苹方-简"/>
    <w:panose1 w:val="00000000000000000000"/>
    <w:charset w:val="00"/>
    <w:family w:val="auto"/>
    <w:pitch w:val="default"/>
    <w:sig w:usb0="00000000" w:usb1="00000000" w:usb2="00000000" w:usb3="00000000" w:csb0="00000000" w:csb1="00000000"/>
  </w:font>
  <w:font w:name="Courier">
    <w:altName w:val="苹方-简"/>
    <w:panose1 w:val="02070409020205020404"/>
    <w:charset w:val="00"/>
    <w:family w:val="auto"/>
    <w:pitch w:val="default"/>
    <w:sig w:usb0="00000000" w:usb1="00000000" w:usb2="00000000" w:usb3="00000000" w:csb0="00000001" w:csb1="00000000"/>
  </w:font>
  <w:font w:name="ＭＳ 明朝">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Helvetica Neue">
    <w:panose1 w:val="02000503000000020004"/>
    <w:charset w:val="00"/>
    <w:family w:val="auto"/>
    <w:pitch w:val="default"/>
    <w:sig w:usb0="E50002FF" w:usb1="500079DB" w:usb2="00000010" w:usb3="00000000" w:csb0="00000000"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 w:name="宋体-简">
    <w:panose1 w:val="02010800040101010101"/>
    <w:charset w:val="86"/>
    <w:family w:val="auto"/>
    <w:pitch w:val="default"/>
    <w:sig w:usb0="00000001" w:usb1="080F0000" w:usb2="00000000" w:usb3="00000000" w:csb0="00040000" w:csb1="00000000"/>
  </w:font>
  <w:font w:name="Arial">
    <w:panose1 w:val="020B0604020202090204"/>
    <w:charset w:val="00"/>
    <w:family w:val="auto"/>
    <w:pitch w:val="default"/>
    <w:sig w:usb0="E0000AFF" w:usb1="00007843" w:usb2="00000001" w:usb3="00000000" w:csb0="400001BF" w:csb1="DFF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20" w:lineRule="auto"/>
      </w:pPr>
      <w:r>
        <w:separator/>
      </w:r>
    </w:p>
  </w:footnote>
  <w:footnote w:type="continuationSeparator" w:id="1">
    <w:p>
      <w:pPr>
        <w:spacing w:before="0" w:after="0" w:line="32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303770">
    <w:pPr>
      <w:pStyle w:val="164"/>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6"/>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0E0C09"/>
    <w:rsid w:val="000E2A08"/>
    <w:rsid w:val="0015074B"/>
    <w:rsid w:val="00165F01"/>
    <w:rsid w:val="001B0705"/>
    <w:rsid w:val="00246623"/>
    <w:rsid w:val="0029639D"/>
    <w:rsid w:val="002A3958"/>
    <w:rsid w:val="00326F90"/>
    <w:rsid w:val="004D2AF6"/>
    <w:rsid w:val="00530A78"/>
    <w:rsid w:val="005315F8"/>
    <w:rsid w:val="005C1DBE"/>
    <w:rsid w:val="005F63AF"/>
    <w:rsid w:val="006050CE"/>
    <w:rsid w:val="00813F30"/>
    <w:rsid w:val="00846E16"/>
    <w:rsid w:val="0086163C"/>
    <w:rsid w:val="00901DD8"/>
    <w:rsid w:val="00904B4E"/>
    <w:rsid w:val="009C6C2A"/>
    <w:rsid w:val="00AA1D8D"/>
    <w:rsid w:val="00B47730"/>
    <w:rsid w:val="00BA5EED"/>
    <w:rsid w:val="00CB0664"/>
    <w:rsid w:val="00CD2C5F"/>
    <w:rsid w:val="00D95F41"/>
    <w:rsid w:val="00DB1911"/>
    <w:rsid w:val="00DC13E6"/>
    <w:rsid w:val="00E02F57"/>
    <w:rsid w:val="00E839CC"/>
    <w:rsid w:val="00FC693F"/>
    <w:rsid w:val="3BCF94CD"/>
    <w:rsid w:val="3DFED178"/>
    <w:rsid w:val="3F3B3D57"/>
    <w:rsid w:val="3FFFE37D"/>
    <w:rsid w:val="5AFEB69E"/>
    <w:rsid w:val="5DFE0A16"/>
    <w:rsid w:val="5FDFB99A"/>
    <w:rsid w:val="68BD7B9F"/>
    <w:rsid w:val="6BFA32D9"/>
    <w:rsid w:val="6CEABA93"/>
    <w:rsid w:val="6DC7FEAA"/>
    <w:rsid w:val="6F65277C"/>
    <w:rsid w:val="6FFD1393"/>
    <w:rsid w:val="72D946C9"/>
    <w:rsid w:val="77577D41"/>
    <w:rsid w:val="77F22527"/>
    <w:rsid w:val="7BCB7FEB"/>
    <w:rsid w:val="7BF4E458"/>
    <w:rsid w:val="7BFFEA6E"/>
    <w:rsid w:val="7E7FD0FF"/>
    <w:rsid w:val="7FEEFC3E"/>
    <w:rsid w:val="7FFDDAF4"/>
    <w:rsid w:val="7FFF1A56"/>
    <w:rsid w:val="9EAF5D61"/>
    <w:rsid w:val="ABFF17F8"/>
    <w:rsid w:val="B178CD2A"/>
    <w:rsid w:val="B2D2995C"/>
    <w:rsid w:val="B3EE35E2"/>
    <w:rsid w:val="BABD00DD"/>
    <w:rsid w:val="BB7FBC3E"/>
    <w:rsid w:val="CF7FE863"/>
    <w:rsid w:val="DFE3554F"/>
    <w:rsid w:val="ED7E6327"/>
    <w:rsid w:val="EF6F06AE"/>
    <w:rsid w:val="F8F752C0"/>
    <w:rsid w:val="FA7BE2D4"/>
    <w:rsid w:val="FAFABE17"/>
    <w:rsid w:val="FBE7BE11"/>
    <w:rsid w:val="FD77FC19"/>
    <w:rsid w:val="FDFB9649"/>
    <w:rsid w:val="FF6B687B"/>
    <w:rsid w:val="FFE67D5D"/>
    <w:rsid w:val="FFEE4376"/>
    <w:rsid w:val="FFF7B476"/>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uiPriority="99" w:semiHidden="0" w:name="List"/>
    <w:lsdException w:uiPriority="99" w:semiHidden="0" w:name="List Bullet"/>
    <w:lsdException w:uiPriority="99" w:semiHidden="0" w:name="List Number"/>
    <w:lsdException w:uiPriority="99" w:semiHidden="0" w:name="List 2"/>
    <w:lsdException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semiHidden="0" w:name="Body Text"/>
    <w:lsdException w:uiPriority="99" w:name="Body Text Indent"/>
    <w:lsdException w:uiPriority="99" w:semiHidden="0" w:name="List Continue"/>
    <w:lsdException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20" w:lineRule="auto"/>
      <w:jc w:val="both"/>
    </w:pPr>
    <w:rPr>
      <w:rFonts w:ascii="Calibri" w:hAnsi="Calibri" w:eastAsiaTheme="minorEastAsia" w:cstheme="minorBidi"/>
      <w:color w:val="000000"/>
      <w:sz w:val="22"/>
      <w:szCs w:val="22"/>
      <w:lang w:val="en-US" w:eastAsia="en-US" w:bidi="ar-SA"/>
    </w:rPr>
  </w:style>
  <w:style w:type="paragraph" w:styleId="3">
    <w:name w:val="heading 1"/>
    <w:basedOn w:val="1"/>
    <w:next w:val="1"/>
    <w:link w:val="138"/>
    <w:qFormat/>
    <w:uiPriority w:val="9"/>
    <w:pPr>
      <w:keepNext/>
      <w:keepLines/>
      <w:spacing w:before="360" w:after="200" w:line="264" w:lineRule="auto"/>
      <w:outlineLvl w:val="0"/>
    </w:pPr>
    <w:rPr>
      <w:rFonts w:asciiTheme="majorHAnsi" w:hAnsiTheme="majorHAnsi" w:eastAsiaTheme="majorEastAsia" w:cstheme="majorBidi"/>
      <w:b/>
      <w:bCs/>
      <w:color w:val="2E74B5"/>
      <w:sz w:val="32"/>
      <w:szCs w:val="28"/>
    </w:rPr>
  </w:style>
  <w:style w:type="paragraph" w:styleId="4">
    <w:name w:val="heading 2"/>
    <w:basedOn w:val="1"/>
    <w:next w:val="1"/>
    <w:link w:val="139"/>
    <w:unhideWhenUsed/>
    <w:qFormat/>
    <w:uiPriority w:val="9"/>
    <w:pPr>
      <w:keepNext/>
      <w:keepLines/>
      <w:spacing w:before="240" w:after="120" w:line="264" w:lineRule="auto"/>
      <w:outlineLvl w:val="1"/>
    </w:pPr>
    <w:rPr>
      <w:rFonts w:asciiTheme="majorHAnsi" w:hAnsiTheme="majorHAnsi" w:eastAsiaTheme="majorEastAsia" w:cstheme="majorBidi"/>
      <w:b/>
      <w:bCs/>
      <w:color w:val="2E74B5"/>
      <w:sz w:val="26"/>
      <w:szCs w:val="26"/>
    </w:rPr>
  </w:style>
  <w:style w:type="paragraph" w:styleId="5">
    <w:name w:val="heading 3"/>
    <w:basedOn w:val="1"/>
    <w:next w:val="1"/>
    <w:link w:val="140"/>
    <w:unhideWhenUsed/>
    <w:qFormat/>
    <w:uiPriority w:val="9"/>
    <w:pPr>
      <w:keepNext/>
      <w:keepLines/>
      <w:spacing w:before="160" w:after="80" w:line="264" w:lineRule="auto"/>
      <w:outlineLvl w:val="2"/>
    </w:pPr>
    <w:rPr>
      <w:rFonts w:asciiTheme="majorHAnsi" w:hAnsiTheme="majorHAnsi" w:eastAsiaTheme="majorEastAsia" w:cstheme="majorBidi"/>
      <w:b/>
      <w:bCs/>
      <w:color w:val="1F4D78"/>
      <w:sz w:val="24"/>
    </w:rPr>
  </w:style>
  <w:style w:type="paragraph" w:styleId="6">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2">
    <w:name w:val="Default Paragraph Font"/>
    <w:semiHidden/>
    <w:unhideWhenUsed/>
    <w:uiPriority w:val="1"/>
  </w:style>
  <w:style w:type="table" w:default="1" w:styleId="32">
    <w:name w:val="Normal Table"/>
    <w:semiHidden/>
    <w:unhideWhenUsed/>
    <w:uiPriority w:val="99"/>
    <w:tblPr>
      <w:tblCellMar>
        <w:top w:w="0" w:type="dxa"/>
        <w:left w:w="108" w:type="dxa"/>
        <w:bottom w:w="0" w:type="dxa"/>
        <w:right w:w="108" w:type="dxa"/>
      </w:tblCellMar>
    </w:tblPr>
  </w:style>
  <w:style w:type="paragraph" w:styleId="2">
    <w:name w:val="macro"/>
    <w:link w:val="147"/>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uiPriority w:val="99"/>
    <w:pPr>
      <w:ind w:left="1080" w:hanging="360"/>
      <w:contextualSpacing/>
    </w:pPr>
  </w:style>
  <w:style w:type="paragraph" w:styleId="13">
    <w:name w:val="List Number 2"/>
    <w:basedOn w:val="1"/>
    <w:unhideWhenUsed/>
    <w:uiPriority w:val="99"/>
    <w:pPr>
      <w:numPr>
        <w:ilvl w:val="0"/>
        <w:numId w:val="1"/>
      </w:numPr>
      <w:contextualSpacing/>
    </w:pPr>
  </w:style>
  <w:style w:type="paragraph" w:styleId="14">
    <w:name w:val="List Number"/>
    <w:basedOn w:val="1"/>
    <w:unhideWhenUsed/>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unhideWhenUsed/>
    <w:uiPriority w:val="99"/>
    <w:pPr>
      <w:numPr>
        <w:ilvl w:val="0"/>
        <w:numId w:val="3"/>
      </w:numPr>
      <w:contextualSpacing/>
    </w:pPr>
  </w:style>
  <w:style w:type="paragraph" w:styleId="17">
    <w:name w:val="Body Text 3"/>
    <w:basedOn w:val="1"/>
    <w:link w:val="146"/>
    <w:unhideWhenUsed/>
    <w:uiPriority w:val="99"/>
    <w:pPr>
      <w:spacing w:after="120"/>
    </w:pPr>
    <w:rPr>
      <w:sz w:val="16"/>
      <w:szCs w:val="16"/>
    </w:rPr>
  </w:style>
  <w:style w:type="paragraph" w:styleId="18">
    <w:name w:val="List Bullet 3"/>
    <w:basedOn w:val="1"/>
    <w:unhideWhenUsed/>
    <w:uiPriority w:val="99"/>
    <w:pPr>
      <w:numPr>
        <w:ilvl w:val="0"/>
        <w:numId w:val="4"/>
      </w:numPr>
      <w:contextualSpacing/>
    </w:pPr>
  </w:style>
  <w:style w:type="paragraph" w:styleId="19">
    <w:name w:val="Body Text"/>
    <w:basedOn w:val="1"/>
    <w:link w:val="144"/>
    <w:unhideWhenUsed/>
    <w:uiPriority w:val="99"/>
    <w:pPr>
      <w:spacing w:after="120"/>
    </w:pPr>
  </w:style>
  <w:style w:type="paragraph" w:styleId="20">
    <w:name w:val="List Number 3"/>
    <w:basedOn w:val="1"/>
    <w:unhideWhenUsed/>
    <w:uiPriority w:val="99"/>
    <w:pPr>
      <w:numPr>
        <w:ilvl w:val="0"/>
        <w:numId w:val="5"/>
      </w:numPr>
      <w:contextualSpacing/>
    </w:pPr>
  </w:style>
  <w:style w:type="paragraph" w:styleId="21">
    <w:name w:val="List 2"/>
    <w:basedOn w:val="1"/>
    <w:unhideWhenUsed/>
    <w:uiPriority w:val="99"/>
    <w:pPr>
      <w:ind w:left="720" w:hanging="360"/>
      <w:contextualSpacing/>
    </w:pPr>
  </w:style>
  <w:style w:type="paragraph" w:styleId="22">
    <w:name w:val="List Continue"/>
    <w:basedOn w:val="1"/>
    <w:unhideWhenUsed/>
    <w:uiPriority w:val="99"/>
    <w:pPr>
      <w:spacing w:after="120"/>
      <w:ind w:left="360"/>
      <w:contextualSpacing/>
    </w:pPr>
  </w:style>
  <w:style w:type="paragraph" w:styleId="23">
    <w:name w:val="List Bullet 2"/>
    <w:basedOn w:val="1"/>
    <w:unhideWhenUsed/>
    <w:uiPriority w:val="99"/>
    <w:pPr>
      <w:numPr>
        <w:ilvl w:val="0"/>
        <w:numId w:val="6"/>
      </w:numPr>
      <w:contextualSpacing/>
    </w:pPr>
  </w:style>
  <w:style w:type="paragraph" w:styleId="24">
    <w:name w:val="footer"/>
    <w:basedOn w:val="1"/>
    <w:link w:val="136"/>
    <w:unhideWhenUsed/>
    <w:uiPriority w:val="99"/>
    <w:pPr>
      <w:tabs>
        <w:tab w:val="center" w:pos="4680"/>
        <w:tab w:val="right" w:pos="9360"/>
      </w:tabs>
      <w:spacing w:after="0" w:line="240" w:lineRule="auto"/>
    </w:pPr>
  </w:style>
  <w:style w:type="paragraph" w:styleId="25">
    <w:name w:val="header"/>
    <w:basedOn w:val="1"/>
    <w:link w:val="135"/>
    <w:unhideWhenUsed/>
    <w:uiPriority w:val="99"/>
    <w:pPr>
      <w:tabs>
        <w:tab w:val="center" w:pos="4680"/>
        <w:tab w:val="right" w:pos="9360"/>
      </w:tabs>
      <w:spacing w:after="0" w:line="240" w:lineRule="auto"/>
    </w:pPr>
  </w:style>
  <w:style w:type="paragraph" w:styleId="26">
    <w:name w:val="Subtitle"/>
    <w:basedOn w:val="1"/>
    <w:next w:val="1"/>
    <w:link w:val="142"/>
    <w:qFormat/>
    <w:uiPriority w:val="11"/>
    <w:pPr>
      <w:spacing w:after="280" w:line="264" w:lineRule="auto"/>
    </w:pPr>
    <w:rPr>
      <w:rFonts w:asciiTheme="majorHAnsi" w:hAnsiTheme="majorHAnsi" w:eastAsiaTheme="majorEastAsia" w:cstheme="majorBidi"/>
      <w:i/>
      <w:iCs/>
      <w:color w:val="555555"/>
      <w:spacing w:val="15"/>
      <w:sz w:val="25"/>
      <w:szCs w:val="24"/>
    </w:rPr>
  </w:style>
  <w:style w:type="paragraph" w:styleId="27">
    <w:name w:val="List"/>
    <w:basedOn w:val="1"/>
    <w:unhideWhenUsed/>
    <w:uiPriority w:val="99"/>
    <w:pPr>
      <w:ind w:left="360" w:hanging="360"/>
      <w:contextualSpacing/>
    </w:pPr>
  </w:style>
  <w:style w:type="paragraph" w:styleId="28">
    <w:name w:val="Body Text 2"/>
    <w:basedOn w:val="1"/>
    <w:link w:val="145"/>
    <w:unhideWhenUsed/>
    <w:uiPriority w:val="99"/>
    <w:pPr>
      <w:spacing w:after="120" w:line="480" w:lineRule="auto"/>
    </w:pPr>
  </w:style>
  <w:style w:type="paragraph" w:styleId="29">
    <w:name w:val="List Continue 2"/>
    <w:basedOn w:val="1"/>
    <w:unhideWhenUsed/>
    <w:uiPriority w:val="99"/>
    <w:pPr>
      <w:spacing w:after="120"/>
      <w:ind w:left="720"/>
      <w:contextualSpacing/>
    </w:pPr>
  </w:style>
  <w:style w:type="paragraph" w:styleId="30">
    <w:name w:val="List Continue 3"/>
    <w:basedOn w:val="1"/>
    <w:unhideWhenUsed/>
    <w:uiPriority w:val="99"/>
    <w:pPr>
      <w:spacing w:after="120"/>
      <w:ind w:left="1080"/>
      <w:contextualSpacing/>
    </w:pPr>
  </w:style>
  <w:style w:type="paragraph" w:styleId="31">
    <w:name w:val="Title"/>
    <w:basedOn w:val="1"/>
    <w:next w:val="1"/>
    <w:link w:val="141"/>
    <w:qFormat/>
    <w:uiPriority w:val="10"/>
    <w:pPr>
      <w:pBdr>
        <w:bottom w:val="single" w:color="4F81BD" w:themeColor="accent1" w:sz="8" w:space="4"/>
      </w:pBdr>
      <w:spacing w:before="360" w:after="80" w:line="264" w:lineRule="auto"/>
      <w:contextualSpacing/>
      <w:jc w:val="left"/>
    </w:pPr>
    <w:rPr>
      <w:rFonts w:asciiTheme="majorHAnsi" w:hAnsiTheme="majorHAnsi" w:eastAsiaTheme="majorEastAsia" w:cstheme="majorBidi"/>
      <w:b/>
      <w:spacing w:val="5"/>
      <w:kern w:val="28"/>
      <w:sz w:val="46"/>
      <w:szCs w:val="52"/>
    </w:rPr>
  </w:style>
  <w:style w:type="table" w:styleId="33">
    <w:name w:val="Table Grid"/>
    <w:basedOn w:val="32"/>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34">
    <w:name w:val="Light Shading"/>
    <w:basedOn w:val="32"/>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5">
    <w:name w:val="Light Shading Accent 1"/>
    <w:basedOn w:val="32"/>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6">
    <w:name w:val="Light Shading Accent 2"/>
    <w:basedOn w:val="32"/>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7">
    <w:name w:val="Light Shading Accent 3"/>
    <w:basedOn w:val="32"/>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38">
    <w:name w:val="Light Shading Accent 4"/>
    <w:basedOn w:val="32"/>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39">
    <w:name w:val="Light Shading Accent 5"/>
    <w:basedOn w:val="32"/>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0">
    <w:name w:val="Light Shading Accent 6"/>
    <w:basedOn w:val="32"/>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1">
    <w:name w:val="Light List"/>
    <w:basedOn w:val="32"/>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2">
    <w:name w:val="Light List Accent 1"/>
    <w:basedOn w:val="32"/>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3">
    <w:name w:val="Light List Accent 2"/>
    <w:basedOn w:val="32"/>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4">
    <w:name w:val="Light List Accent 3"/>
    <w:basedOn w:val="32"/>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5">
    <w:name w:val="Light List Accent 4"/>
    <w:basedOn w:val="32"/>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6">
    <w:name w:val="Light List Accent 5"/>
    <w:basedOn w:val="32"/>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7">
    <w:name w:val="Light List Accent 6"/>
    <w:basedOn w:val="32"/>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48">
    <w:name w:val="Light Grid"/>
    <w:basedOn w:val="32"/>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49">
    <w:name w:val="Light Grid Accent 1"/>
    <w:basedOn w:val="32"/>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0">
    <w:name w:val="Light Grid Accent 2"/>
    <w:basedOn w:val="32"/>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1">
    <w:name w:val="Light Grid Accent 3"/>
    <w:basedOn w:val="32"/>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2">
    <w:name w:val="Light Grid Accent 4"/>
    <w:basedOn w:val="32"/>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3">
    <w:name w:val="Light Grid Accent 5"/>
    <w:basedOn w:val="32"/>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4">
    <w:name w:val="Light Grid Accent 6"/>
    <w:basedOn w:val="32"/>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5">
    <w:name w:val="Medium Shading 1"/>
    <w:basedOn w:val="32"/>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6">
    <w:name w:val="Medium Shading 1 Accent 1"/>
    <w:basedOn w:val="32"/>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7">
    <w:name w:val="Medium Shading 1 Accent 2"/>
    <w:basedOn w:val="32"/>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58">
    <w:name w:val="Medium Shading 1 Accent 3"/>
    <w:basedOn w:val="32"/>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59">
    <w:name w:val="Medium Shading 1 Accent 4"/>
    <w:basedOn w:val="32"/>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0">
    <w:name w:val="Medium Shading 1 Accent 5"/>
    <w:basedOn w:val="32"/>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1">
    <w:name w:val="Medium Shading 1 Accent 6"/>
    <w:basedOn w:val="32"/>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2">
    <w:name w:val="Medium Shading 2"/>
    <w:basedOn w:val="3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3">
    <w:name w:val="Medium Shading 2 Accent 1"/>
    <w:basedOn w:val="3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4">
    <w:name w:val="Medium Shading 2 Accent 2"/>
    <w:basedOn w:val="3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3"/>
    <w:basedOn w:val="3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4"/>
    <w:basedOn w:val="3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5"/>
    <w:basedOn w:val="3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6"/>
    <w:basedOn w:val="3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List 1"/>
    <w:basedOn w:val="32"/>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0">
    <w:name w:val="Medium List 1 Accent 1"/>
    <w:basedOn w:val="32"/>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1">
    <w:name w:val="Medium List 1 Accent 2"/>
    <w:basedOn w:val="32"/>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2">
    <w:name w:val="Medium List 1 Accent 3"/>
    <w:basedOn w:val="32"/>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3">
    <w:name w:val="Medium List 1 Accent 4"/>
    <w:basedOn w:val="32"/>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4">
    <w:name w:val="Medium List 1 Accent 5"/>
    <w:basedOn w:val="3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5">
    <w:name w:val="Medium List 1 Accent 6"/>
    <w:basedOn w:val="32"/>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6">
    <w:name w:val="Medium Lis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7">
    <w:name w:val="Medium List 2 Accent 1"/>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78">
    <w:name w:val="Medium List 2 Accen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3"/>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4"/>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5"/>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6"/>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Grid 1"/>
    <w:basedOn w:val="3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4">
    <w:name w:val="Medium Grid 1 Accent 1"/>
    <w:basedOn w:val="3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5">
    <w:name w:val="Medium Grid 1 Accent 2"/>
    <w:basedOn w:val="3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6">
    <w:name w:val="Medium Grid 1 Accent 3"/>
    <w:basedOn w:val="3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7">
    <w:name w:val="Medium Grid 1 Accent 4"/>
    <w:basedOn w:val="32"/>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88">
    <w:name w:val="Medium Grid 1 Accent 5"/>
    <w:basedOn w:val="3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89">
    <w:name w:val="Medium Grid 1 Accent 6"/>
    <w:basedOn w:val="3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0">
    <w:name w:val="Medium Grid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1">
    <w:name w:val="Medium Grid 2 Accent 1"/>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2">
    <w:name w:val="Medium Grid 2 Accent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3">
    <w:name w:val="Medium Grid 2 Accent 3"/>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4">
    <w:name w:val="Medium Grid 2 Accent 4"/>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5">
    <w:name w:val="Medium Grid 2 Accent 5"/>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6">
    <w:name w:val="Medium Grid 2 Accent 6"/>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7">
    <w:name w:val="Medium Grid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98">
    <w:name w:val="Medium Grid 3 Accent 1"/>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99">
    <w:name w:val="Medium Grid 3 Accent 2"/>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0">
    <w:name w:val="Medium Grid 3 Accent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1">
    <w:name w:val="Medium Grid 3 Accent 4"/>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2">
    <w:name w:val="Medium Grid 3 Accent 5"/>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3">
    <w:name w:val="Medium Grid 3 Accent 6"/>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4">
    <w:name w:val="Dark List"/>
    <w:basedOn w:val="3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5">
    <w:name w:val="Dark List Accent 1"/>
    <w:basedOn w:val="3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6">
    <w:name w:val="Dark List Accent 2"/>
    <w:basedOn w:val="3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7">
    <w:name w:val="Dark List Accent 3"/>
    <w:basedOn w:val="3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08">
    <w:name w:val="Dark List Accent 4"/>
    <w:basedOn w:val="3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09">
    <w:name w:val="Dark List Accent 5"/>
    <w:basedOn w:val="3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0">
    <w:name w:val="Dark List Accent 6"/>
    <w:basedOn w:val="3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1">
    <w:name w:val="Colorful Shading"/>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2">
    <w:name w:val="Colorful Shading Accent 1"/>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3">
    <w:name w:val="Colorful Shading Accent 2"/>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3"/>
    <w:basedOn w:val="32"/>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5">
    <w:name w:val="Colorful Shading Accent 4"/>
    <w:basedOn w:val="32"/>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5"/>
    <w:basedOn w:val="3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6"/>
    <w:basedOn w:val="3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List"/>
    <w:basedOn w:val="3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19">
    <w:name w:val="Colorful List Accent 1"/>
    <w:basedOn w:val="3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0">
    <w:name w:val="Colorful List Accent 2"/>
    <w:basedOn w:val="3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1">
    <w:name w:val="Colorful List Accent 3"/>
    <w:basedOn w:val="3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2">
    <w:name w:val="Colorful List Accent 4"/>
    <w:basedOn w:val="3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3">
    <w:name w:val="Colorful List Accent 5"/>
    <w:basedOn w:val="3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4">
    <w:name w:val="Colorful List Accent 6"/>
    <w:basedOn w:val="3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5">
    <w:name w:val="Colorful Grid"/>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6">
    <w:name w:val="Colorful Grid Accent 1"/>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7">
    <w:name w:val="Colorful Grid Accent 2"/>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28">
    <w:name w:val="Colorful Grid Accent 3"/>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29">
    <w:name w:val="Colorful Grid Accent 4"/>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0">
    <w:name w:val="Colorful Grid Accent 5"/>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1">
    <w:name w:val="Colorful Grid Accent 6"/>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3">
    <w:name w:val="Strong"/>
    <w:basedOn w:val="132"/>
    <w:qFormat/>
    <w:uiPriority w:val="22"/>
    <w:rPr>
      <w:b/>
      <w:bCs/>
    </w:rPr>
  </w:style>
  <w:style w:type="character" w:styleId="134">
    <w:name w:val="Emphasis"/>
    <w:basedOn w:val="132"/>
    <w:qFormat/>
    <w:uiPriority w:val="20"/>
    <w:rPr>
      <w:i/>
      <w:iCs/>
    </w:rPr>
  </w:style>
  <w:style w:type="character" w:customStyle="1" w:styleId="135">
    <w:name w:val="页眉 字符"/>
    <w:basedOn w:val="132"/>
    <w:link w:val="25"/>
    <w:uiPriority w:val="99"/>
  </w:style>
  <w:style w:type="character" w:customStyle="1" w:styleId="136">
    <w:name w:val="页脚 字符"/>
    <w:basedOn w:val="132"/>
    <w:link w:val="24"/>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标题 1 字符"/>
    <w:basedOn w:val="132"/>
    <w:link w:val="3"/>
    <w:uiPriority w:val="9"/>
    <w:rPr>
      <w:rFonts w:asciiTheme="majorHAnsi" w:hAnsiTheme="majorHAnsi" w:eastAsiaTheme="majorEastAsia" w:cstheme="majorBidi"/>
      <w:b/>
      <w:bCs/>
      <w:color w:val="376092" w:themeColor="accent1" w:themeShade="BF"/>
      <w:sz w:val="28"/>
      <w:szCs w:val="28"/>
    </w:rPr>
  </w:style>
  <w:style w:type="character" w:customStyle="1" w:styleId="139">
    <w:name w:val="标题 2 字符"/>
    <w:basedOn w:val="132"/>
    <w:link w:val="4"/>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标题 3 字符"/>
    <w:basedOn w:val="132"/>
    <w:link w:val="5"/>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标题 字符"/>
    <w:basedOn w:val="132"/>
    <w:link w:val="31"/>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副标题 字符"/>
    <w:basedOn w:val="132"/>
    <w:link w:val="26"/>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正文文本 字符"/>
    <w:basedOn w:val="132"/>
    <w:link w:val="19"/>
    <w:uiPriority w:val="99"/>
  </w:style>
  <w:style w:type="character" w:customStyle="1" w:styleId="145">
    <w:name w:val="正文文本 2 字符"/>
    <w:basedOn w:val="132"/>
    <w:link w:val="28"/>
    <w:uiPriority w:val="99"/>
  </w:style>
  <w:style w:type="character" w:customStyle="1" w:styleId="146">
    <w:name w:val="正文文本 3 字符"/>
    <w:basedOn w:val="132"/>
    <w:link w:val="17"/>
    <w:uiPriority w:val="99"/>
    <w:rPr>
      <w:sz w:val="16"/>
      <w:szCs w:val="16"/>
    </w:rPr>
  </w:style>
  <w:style w:type="character" w:customStyle="1" w:styleId="147">
    <w:name w:val="宏文本 字符"/>
    <w:basedOn w:val="132"/>
    <w:link w:val="2"/>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引用 字符"/>
    <w:basedOn w:val="132"/>
    <w:link w:val="148"/>
    <w:uiPriority w:val="29"/>
    <w:rPr>
      <w:i/>
      <w:iCs/>
      <w:color w:val="000000" w:themeColor="text1"/>
      <w14:textFill>
        <w14:solidFill>
          <w14:schemeClr w14:val="tx1"/>
        </w14:solidFill>
      </w14:textFill>
    </w:rPr>
  </w:style>
  <w:style w:type="character" w:customStyle="1" w:styleId="150">
    <w:name w:val="标题 4 字符"/>
    <w:basedOn w:val="132"/>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标题 5 字符"/>
    <w:basedOn w:val="132"/>
    <w:link w:val="7"/>
    <w:semiHidden/>
    <w:uiPriority w:val="9"/>
    <w:rPr>
      <w:rFonts w:asciiTheme="majorHAnsi" w:hAnsiTheme="majorHAnsi" w:eastAsiaTheme="majorEastAsia" w:cstheme="majorBidi"/>
      <w:color w:val="254061" w:themeColor="accent1" w:themeShade="80"/>
    </w:rPr>
  </w:style>
  <w:style w:type="character" w:customStyle="1" w:styleId="152">
    <w:name w:val="标题 6 字符"/>
    <w:basedOn w:val="132"/>
    <w:link w:val="8"/>
    <w:semiHidden/>
    <w:uiPriority w:val="9"/>
    <w:rPr>
      <w:rFonts w:asciiTheme="majorHAnsi" w:hAnsiTheme="majorHAnsi" w:eastAsiaTheme="majorEastAsia" w:cstheme="majorBidi"/>
      <w:i/>
      <w:iCs/>
      <w:color w:val="254061" w:themeColor="accent1" w:themeShade="80"/>
    </w:rPr>
  </w:style>
  <w:style w:type="character" w:customStyle="1" w:styleId="153">
    <w:name w:val="标题 7 字符"/>
    <w:basedOn w:val="132"/>
    <w:link w:val="9"/>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标题 8 字符"/>
    <w:basedOn w:val="132"/>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标题 9 字符"/>
    <w:basedOn w:val="132"/>
    <w:link w:val="11"/>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明显引用 字符"/>
    <w:basedOn w:val="132"/>
    <w:link w:val="156"/>
    <w:uiPriority w:val="30"/>
    <w:rPr>
      <w:b/>
      <w:bCs/>
      <w:i/>
      <w:iCs/>
      <w:color w:val="4F81BD" w:themeColor="accent1"/>
      <w14:textFill>
        <w14:solidFill>
          <w14:schemeClr w14:val="accent1"/>
        </w14:solidFill>
      </w14:textFill>
    </w:rPr>
  </w:style>
  <w:style w:type="character" w:customStyle="1" w:styleId="158">
    <w:name w:val="Subtle Emphasis"/>
    <w:basedOn w:val="132"/>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32"/>
    <w:qFormat/>
    <w:uiPriority w:val="21"/>
    <w:rPr>
      <w:b/>
      <w:bCs/>
      <w:i/>
      <w:iCs/>
      <w:color w:val="4F81BD" w:themeColor="accent1"/>
      <w14:textFill>
        <w14:solidFill>
          <w14:schemeClr w14:val="accent1"/>
        </w14:solidFill>
      </w14:textFill>
    </w:rPr>
  </w:style>
  <w:style w:type="character" w:customStyle="1" w:styleId="160">
    <w:name w:val="Subtle Reference"/>
    <w:basedOn w:val="132"/>
    <w:qFormat/>
    <w:uiPriority w:val="31"/>
    <w:rPr>
      <w:smallCaps/>
      <w:color w:val="C0504D" w:themeColor="accent2"/>
      <w:u w:val="single"/>
      <w14:textFill>
        <w14:solidFill>
          <w14:schemeClr w14:val="accent2"/>
        </w14:solidFill>
      </w14:textFill>
    </w:rPr>
  </w:style>
  <w:style w:type="character" w:customStyle="1" w:styleId="161">
    <w:name w:val="Intense Reference"/>
    <w:basedOn w:val="132"/>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32"/>
    <w:qFormat/>
    <w:uiPriority w:val="33"/>
    <w:rPr>
      <w:b/>
      <w:bCs/>
      <w:smallCaps/>
      <w:spacing w:val="5"/>
    </w:rPr>
  </w:style>
  <w:style w:type="paragraph" w:customStyle="1" w:styleId="163">
    <w:name w:val="TOC Heading"/>
    <w:basedOn w:val="3"/>
    <w:next w:val="1"/>
    <w:semiHidden/>
    <w:unhideWhenUsed/>
    <w:qFormat/>
    <w:uiPriority w:val="39"/>
    <w:pPr>
      <w:outlineLvl w:val="9"/>
    </w:pPr>
  </w:style>
  <w:style w:type="paragraph" w:customStyle="1" w:styleId="164">
    <w:name w:val="Meta"/>
    <w:uiPriority w:val="0"/>
    <w:pPr>
      <w:spacing w:after="40" w:line="264" w:lineRule="auto"/>
    </w:pPr>
    <w:rPr>
      <w:rFonts w:ascii="Calibri" w:hAnsi="Calibri" w:eastAsiaTheme="minorEastAsia" w:cstheme="minorBidi"/>
      <w:color w:val="555555"/>
      <w:sz w:val="20"/>
      <w:szCs w:val="22"/>
      <w:lang w:val="en-US" w:eastAsia="en-US" w:bidi="ar-SA"/>
    </w:rPr>
  </w:style>
  <w:style w:type="paragraph" w:customStyle="1" w:styleId="165">
    <w:name w:val="Reference"/>
    <w:uiPriority w:val="0"/>
    <w:pPr>
      <w:spacing w:after="120" w:line="276" w:lineRule="auto"/>
      <w:ind w:left="360" w:hanging="360"/>
    </w:pPr>
    <w:rPr>
      <w:rFonts w:ascii="Calibri" w:hAnsi="Calibri" w:eastAsiaTheme="minorEastAsia" w:cstheme="minorBidi"/>
      <w:sz w:val="20"/>
      <w:szCs w:val="22"/>
      <w:lang w:val="en-US" w:eastAsia="en-US" w:bidi="ar-SA"/>
    </w:rPr>
  </w:style>
  <w:style w:type="paragraph" w:customStyle="1" w:styleId="166">
    <w:name w:val="TableText"/>
    <w:uiPriority w:val="0"/>
    <w:pPr>
      <w:spacing w:after="40" w:line="276" w:lineRule="auto"/>
    </w:pPr>
    <w:rPr>
      <w:rFonts w:ascii="Calibri" w:hAnsi="Calibri" w:eastAsiaTheme="minorEastAsia" w:cstheme="minorBidi"/>
      <w:sz w:val="18"/>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http://schemas.openxmlformats.org/officeDocument/2006/bibliography" xmlns:b="http://schemas.openxmlformats.org/officeDocument/2006/bibliography" StyleName="APA" SelectedStyle="/APA.XSL"/>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6263</Words>
  <Characters>35574</Characters>
  <Lines>539</Lines>
  <Paragraphs>147</Paragraphs>
  <TotalTime>76</TotalTime>
  <ScaleCrop>false</ScaleCrop>
  <LinksUpToDate>false</LinksUpToDate>
  <CharactersWithSpaces>41690</CharactersWithSpaces>
  <Application>WPS Office_12.1.25895.25895_F1E327BC-269C-435d-A152-05C5408002CA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2026-05-25T15:42:00Z</dcterms:created>
  <dc:creator>1111</dc:creator>
  <dc:description>generated by python-docx</dc:description>
  <cp:lastModifiedBy>おうがいの薇</cp:lastModifiedBy>
  <dcterms:modified xsi:type="dcterms:W3CDTF">2026-05-26T22:19:03Z</dcterms:modified>
  <dc:subject>ACBA7005 written report draft</dc:subject>
  <dc:title>GIS-Based Habitat Suitability Analysis for Skylark in Cardiff - Working Draft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2052-12.1.25895.25895</vt:lpwstr>
  </property>
  <property fmtid="{D5CDD505-2E9C-101B-9397-08002B2CF9AE}" pid="3" name="ICV">
    <vt:lpwstr>894CCC74C9E1C50C116E156A41DF732D_42</vt:lpwstr>
  </property>
</Properties>
</file>