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52981" w14:textId="77777777" w:rsidR="00EA1B27" w:rsidRPr="002A49E8" w:rsidRDefault="00EA1B27" w:rsidP="00EA1B27">
      <w:pPr>
        <w:pStyle w:val="Heading1"/>
        <w:rPr>
          <w:rFonts w:ascii="Arial" w:hAnsi="Arial" w:cs="Arial"/>
          <w:b/>
          <w:bCs/>
          <w:color w:val="000000" w:themeColor="text1"/>
          <w:sz w:val="22"/>
          <w:szCs w:val="22"/>
        </w:rPr>
      </w:pPr>
      <w:r w:rsidRPr="000738DC">
        <w:rPr>
          <w:rFonts w:ascii="Arial" w:hAnsi="Arial" w:cs="Arial"/>
          <w:b/>
          <w:bCs/>
          <w:color w:val="000000" w:themeColor="text1"/>
          <w:sz w:val="22"/>
          <w:szCs w:val="22"/>
        </w:rPr>
        <w:t>C</w:t>
      </w:r>
      <w:r>
        <w:rPr>
          <w:rFonts w:ascii="Arial" w:hAnsi="Arial" w:cs="Arial"/>
          <w:b/>
          <w:bCs/>
          <w:color w:val="000000" w:themeColor="text1"/>
          <w:sz w:val="22"/>
          <w:szCs w:val="22"/>
        </w:rPr>
        <w:t>hapter</w:t>
      </w:r>
      <w:r w:rsidRPr="000738DC">
        <w:rPr>
          <w:rFonts w:ascii="Arial" w:hAnsi="Arial" w:cs="Arial"/>
          <w:b/>
          <w:bCs/>
          <w:color w:val="000000" w:themeColor="text1"/>
          <w:sz w:val="22"/>
          <w:szCs w:val="22"/>
        </w:rPr>
        <w:t xml:space="preserve"> 4 – Findings and Discussion </w:t>
      </w:r>
    </w:p>
    <w:p w14:paraId="51762070" w14:textId="77777777" w:rsidR="00EA1B27" w:rsidRPr="00E77041" w:rsidRDefault="00EA1B27" w:rsidP="00EA1B27">
      <w:pPr>
        <w:pStyle w:val="Heading2"/>
        <w:spacing w:line="360" w:lineRule="auto"/>
        <w:jc w:val="both"/>
        <w:rPr>
          <w:sz w:val="22"/>
          <w:szCs w:val="22"/>
        </w:rPr>
      </w:pPr>
      <w:r w:rsidRPr="00E77041">
        <w:rPr>
          <w:rFonts w:ascii="Arial" w:hAnsi="Arial" w:cs="Arial"/>
          <w:b/>
          <w:bCs/>
          <w:color w:val="000000" w:themeColor="text1"/>
          <w:sz w:val="22"/>
          <w:szCs w:val="22"/>
        </w:rPr>
        <w:t>4.1 – Introduction</w:t>
      </w:r>
      <w:r w:rsidRPr="00E77041">
        <w:rPr>
          <w:color w:val="000000" w:themeColor="text1"/>
          <w:sz w:val="22"/>
          <w:szCs w:val="22"/>
        </w:rPr>
        <w:t xml:space="preserve"> </w:t>
      </w:r>
    </w:p>
    <w:p w14:paraId="3BC75C27" w14:textId="77777777" w:rsidR="00EA1B27" w:rsidRPr="000F2536" w:rsidRDefault="00EA1B27" w:rsidP="00EA1B27">
      <w:pPr>
        <w:pStyle w:val="Heading1"/>
        <w:spacing w:line="360" w:lineRule="auto"/>
        <w:jc w:val="both"/>
        <w:rPr>
          <w:color w:val="000000" w:themeColor="text1"/>
          <w:sz w:val="22"/>
          <w:szCs w:val="22"/>
        </w:rPr>
      </w:pPr>
      <w:r w:rsidRPr="00E77041">
        <w:rPr>
          <w:rFonts w:ascii="Arial" w:hAnsi="Arial" w:cs="Arial"/>
          <w:color w:val="000000" w:themeColor="text1"/>
          <w:sz w:val="22"/>
          <w:szCs w:val="22"/>
        </w:rPr>
        <w:t xml:space="preserve">Chapter 4 presents the findings from the analyses conducted in Chapter 3, focusing on key themes identified in the research on disparities in prostate cancer outcomes among Black men in the UK. The chapter starts with an overview of the thematic analysis method, then highlights three </w:t>
      </w:r>
      <w:r>
        <w:rPr>
          <w:rFonts w:ascii="Arial" w:hAnsi="Arial" w:cs="Arial"/>
          <w:color w:val="000000" w:themeColor="text1"/>
          <w:sz w:val="22"/>
          <w:szCs w:val="22"/>
        </w:rPr>
        <w:t>principal</w:t>
      </w:r>
      <w:r w:rsidRPr="00E77041">
        <w:rPr>
          <w:rFonts w:ascii="Arial" w:hAnsi="Arial" w:cs="Arial"/>
          <w:color w:val="000000" w:themeColor="text1"/>
          <w:sz w:val="22"/>
          <w:szCs w:val="22"/>
        </w:rPr>
        <w:t xml:space="preserve"> themes</w:t>
      </w:r>
      <w:r>
        <w:rPr>
          <w:rFonts w:ascii="Arial" w:hAnsi="Arial" w:cs="Arial"/>
          <w:color w:val="000000" w:themeColor="text1"/>
          <w:sz w:val="22"/>
          <w:szCs w:val="22"/>
        </w:rPr>
        <w:t xml:space="preserve"> they are </w:t>
      </w:r>
      <w:r w:rsidRPr="00E77041">
        <w:rPr>
          <w:rFonts w:ascii="Arial" w:hAnsi="Arial" w:cs="Arial"/>
          <w:color w:val="000000" w:themeColor="text1"/>
          <w:sz w:val="22"/>
          <w:szCs w:val="22"/>
        </w:rPr>
        <w:t>trust and healthcare experiences, barriers to early diagnosis, and the impact of under-representation</w:t>
      </w:r>
      <w:r>
        <w:rPr>
          <w:rFonts w:ascii="Arial" w:hAnsi="Arial" w:cs="Arial"/>
          <w:color w:val="000000" w:themeColor="text1"/>
          <w:sz w:val="22"/>
          <w:szCs w:val="22"/>
        </w:rPr>
        <w:t>,</w:t>
      </w:r>
      <w:r w:rsidRPr="00E77041">
        <w:rPr>
          <w:rFonts w:ascii="Arial" w:hAnsi="Arial" w:cs="Arial"/>
          <w:color w:val="000000" w:themeColor="text1"/>
          <w:sz w:val="22"/>
          <w:szCs w:val="22"/>
        </w:rPr>
        <w:t xml:space="preserve"> leading to disproportionate risk</w:t>
      </w:r>
      <w:r w:rsidRPr="00501DA4">
        <w:rPr>
          <w:rFonts w:ascii="-webkit-standard" w:eastAsiaTheme="minorEastAsia" w:hAnsi="-webkit-standard" w:cstheme="minorBidi"/>
          <w:color w:val="000000"/>
          <w:sz w:val="27"/>
          <w:szCs w:val="27"/>
        </w:rPr>
        <w:t xml:space="preserve"> </w:t>
      </w:r>
      <w:r w:rsidRPr="00501DA4">
        <w:rPr>
          <w:rFonts w:ascii="Arial" w:hAnsi="Arial" w:cs="Arial"/>
          <w:color w:val="000000" w:themeColor="text1"/>
          <w:sz w:val="22"/>
          <w:szCs w:val="22"/>
        </w:rPr>
        <w:t>(Lillard </w:t>
      </w:r>
      <w:r w:rsidRPr="00501DA4">
        <w:rPr>
          <w:rFonts w:ascii="Arial" w:hAnsi="Arial" w:cs="Arial"/>
          <w:i/>
          <w:iCs/>
          <w:color w:val="000000" w:themeColor="text1"/>
          <w:sz w:val="22"/>
          <w:szCs w:val="22"/>
        </w:rPr>
        <w:t>et al.</w:t>
      </w:r>
      <w:r w:rsidRPr="00501DA4">
        <w:rPr>
          <w:rFonts w:ascii="Arial" w:hAnsi="Arial" w:cs="Arial"/>
          <w:color w:val="000000" w:themeColor="text1"/>
          <w:sz w:val="22"/>
          <w:szCs w:val="22"/>
        </w:rPr>
        <w:t>, 2022c)</w:t>
      </w:r>
      <w:r w:rsidRPr="00E77041">
        <w:rPr>
          <w:rFonts w:ascii="Arial" w:hAnsi="Arial" w:cs="Arial"/>
          <w:color w:val="000000" w:themeColor="text1"/>
          <w:sz w:val="22"/>
          <w:szCs w:val="22"/>
        </w:rPr>
        <w:t>. Each theme is examined in detail, supported by relevant literature that demonstrates the complex factors affecting prostate cancer outcomes in this group. The chapter concludes by summarising the main insights and suggesting directions for future research to improve outcomes for Black men with prostate cancer in the UK</w:t>
      </w:r>
      <w:r w:rsidRPr="008F21CB">
        <w:rPr>
          <w:rFonts w:ascii="-webkit-standard" w:eastAsiaTheme="minorEastAsia" w:hAnsi="-webkit-standard" w:cstheme="minorBidi"/>
          <w:color w:val="000000"/>
          <w:sz w:val="27"/>
          <w:szCs w:val="27"/>
        </w:rPr>
        <w:t xml:space="preserve"> </w:t>
      </w:r>
      <w:r w:rsidRPr="008F21CB">
        <w:rPr>
          <w:rFonts w:ascii="Arial" w:hAnsi="Arial" w:cs="Arial"/>
          <w:color w:val="000000" w:themeColor="text1"/>
          <w:sz w:val="22"/>
          <w:szCs w:val="22"/>
        </w:rPr>
        <w:t>(Chowdhury-Paulino </w:t>
      </w:r>
      <w:r w:rsidRPr="008F21CB">
        <w:rPr>
          <w:rFonts w:ascii="Arial" w:hAnsi="Arial" w:cs="Arial"/>
          <w:i/>
          <w:iCs/>
          <w:color w:val="000000" w:themeColor="text1"/>
          <w:sz w:val="22"/>
          <w:szCs w:val="22"/>
        </w:rPr>
        <w:t>et al.</w:t>
      </w:r>
      <w:r w:rsidRPr="008F21CB">
        <w:rPr>
          <w:rFonts w:ascii="Arial" w:hAnsi="Arial" w:cs="Arial"/>
          <w:color w:val="000000" w:themeColor="text1"/>
          <w:sz w:val="22"/>
          <w:szCs w:val="22"/>
        </w:rPr>
        <w:t>, 2021</w:t>
      </w:r>
      <w:r>
        <w:rPr>
          <w:rFonts w:ascii="Arial" w:hAnsi="Arial" w:cs="Arial"/>
          <w:color w:val="000000" w:themeColor="text1"/>
          <w:sz w:val="22"/>
          <w:szCs w:val="22"/>
        </w:rPr>
        <w:t>a</w:t>
      </w:r>
      <w:r w:rsidRPr="008F21CB">
        <w:rPr>
          <w:rFonts w:ascii="Arial" w:hAnsi="Arial" w:cs="Arial"/>
          <w:color w:val="000000" w:themeColor="text1"/>
          <w:sz w:val="22"/>
          <w:szCs w:val="22"/>
        </w:rPr>
        <w:t>)</w:t>
      </w:r>
      <w:r w:rsidRPr="00E77041">
        <w:rPr>
          <w:rFonts w:ascii="Arial" w:hAnsi="Arial" w:cs="Arial"/>
          <w:color w:val="000000" w:themeColor="text1"/>
          <w:sz w:val="22"/>
          <w:szCs w:val="22"/>
        </w:rPr>
        <w:t>.</w:t>
      </w:r>
    </w:p>
    <w:p w14:paraId="6A271A7C" w14:textId="77777777" w:rsidR="00EA1B27" w:rsidRPr="00E77041" w:rsidRDefault="00EA1B27" w:rsidP="00EA1B27">
      <w:pPr>
        <w:pStyle w:val="Heading2"/>
        <w:spacing w:line="360" w:lineRule="auto"/>
        <w:jc w:val="both"/>
        <w:rPr>
          <w:rFonts w:ascii="Arial" w:hAnsi="Arial" w:cs="Arial"/>
          <w:b/>
          <w:bCs/>
          <w:color w:val="000000" w:themeColor="text1"/>
          <w:sz w:val="22"/>
          <w:szCs w:val="22"/>
        </w:rPr>
      </w:pPr>
      <w:r w:rsidRPr="00E77041">
        <w:rPr>
          <w:rFonts w:ascii="Arial" w:hAnsi="Arial" w:cs="Arial"/>
          <w:b/>
          <w:bCs/>
          <w:color w:val="000000" w:themeColor="text1"/>
          <w:sz w:val="22"/>
          <w:szCs w:val="22"/>
        </w:rPr>
        <w:t xml:space="preserve">4.2 – Thematic Analysis </w:t>
      </w:r>
    </w:p>
    <w:p w14:paraId="792FEA79" w14:textId="77777777" w:rsidR="00EA1B27" w:rsidRDefault="00EA1B27"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color w:val="151515"/>
          <w:position w:val="6"/>
          <w:sz w:val="22"/>
          <w:szCs w:val="22"/>
        </w:rPr>
      </w:pPr>
      <w:r w:rsidRPr="00E77041">
        <w:rPr>
          <w:rFonts w:ascii="Arial" w:hAnsi="Arial" w:cs="Arial"/>
          <w:color w:val="151515"/>
          <w:position w:val="6"/>
          <w:sz w:val="22"/>
          <w:szCs w:val="22"/>
        </w:rPr>
        <w:t>Thematic analysis is a qualitative research technique used to detect, examine, and report patterns or themes within data. It offers a structured way to interpret meaning throughout a dataset, helping researchers organise and detail their observations</w:t>
      </w:r>
      <w:r w:rsidRPr="00913E91">
        <w:rPr>
          <w:rFonts w:ascii="-webkit-standard" w:hAnsi="-webkit-standard"/>
          <w:color w:val="000000"/>
          <w:sz w:val="27"/>
          <w:szCs w:val="27"/>
        </w:rPr>
        <w:t xml:space="preserve"> </w:t>
      </w:r>
      <w:r w:rsidRPr="00913E91">
        <w:rPr>
          <w:rFonts w:ascii="Arial" w:hAnsi="Arial" w:cs="Arial"/>
          <w:color w:val="151515"/>
          <w:position w:val="6"/>
          <w:sz w:val="22"/>
          <w:szCs w:val="22"/>
        </w:rPr>
        <w:t>(Lochmiller, 2021</w:t>
      </w:r>
      <w:r>
        <w:rPr>
          <w:rFonts w:ascii="Arial" w:hAnsi="Arial" w:cs="Arial"/>
          <w:color w:val="151515"/>
          <w:position w:val="6"/>
          <w:sz w:val="22"/>
          <w:szCs w:val="22"/>
        </w:rPr>
        <w:t>;</w:t>
      </w:r>
      <w:r w:rsidRPr="009C52C4">
        <w:rPr>
          <w:rFonts w:ascii="-webkit-standard" w:hAnsi="-webkit-standard"/>
          <w:color w:val="000000"/>
          <w:sz w:val="27"/>
          <w:szCs w:val="27"/>
        </w:rPr>
        <w:t xml:space="preserve"> </w:t>
      </w:r>
      <w:r w:rsidRPr="009C52C4">
        <w:rPr>
          <w:rFonts w:ascii="Arial" w:hAnsi="Arial" w:cs="Arial"/>
          <w:color w:val="151515"/>
          <w:position w:val="6"/>
          <w:sz w:val="22"/>
          <w:szCs w:val="22"/>
        </w:rPr>
        <w:t>Aveyard, 2014</w:t>
      </w:r>
      <w:r>
        <w:rPr>
          <w:rFonts w:ascii="Arial" w:hAnsi="Arial" w:cs="Arial"/>
          <w:color w:val="151515"/>
          <w:position w:val="6"/>
          <w:sz w:val="22"/>
          <w:szCs w:val="22"/>
        </w:rPr>
        <w:t>a</w:t>
      </w:r>
      <w:r w:rsidRPr="00913E91">
        <w:rPr>
          <w:rFonts w:ascii="Arial" w:hAnsi="Arial" w:cs="Arial"/>
          <w:color w:val="151515"/>
          <w:position w:val="6"/>
          <w:sz w:val="22"/>
          <w:szCs w:val="22"/>
        </w:rPr>
        <w:t>)</w:t>
      </w:r>
      <w:r w:rsidRPr="00E77041">
        <w:rPr>
          <w:rFonts w:ascii="Arial" w:hAnsi="Arial" w:cs="Arial"/>
          <w:color w:val="151515"/>
          <w:position w:val="6"/>
          <w:sz w:val="22"/>
          <w:szCs w:val="22"/>
        </w:rPr>
        <w:t xml:space="preserve">. In secondary research, thematic analysis involves reviewing and integrating findings from existing literature by grouping recurring themes related to the research questions. </w:t>
      </w:r>
      <w:r>
        <w:rPr>
          <w:rFonts w:ascii="Arial" w:hAnsi="Arial" w:cs="Arial"/>
          <w:color w:val="151515"/>
          <w:position w:val="6"/>
          <w:sz w:val="22"/>
          <w:szCs w:val="22"/>
        </w:rPr>
        <w:t>S</w:t>
      </w:r>
      <w:r w:rsidRPr="00E77041">
        <w:rPr>
          <w:rFonts w:ascii="Arial" w:hAnsi="Arial" w:cs="Arial"/>
          <w:color w:val="151515"/>
          <w:position w:val="6"/>
          <w:sz w:val="22"/>
          <w:szCs w:val="22"/>
        </w:rPr>
        <w:t xml:space="preserve">tate, </w:t>
      </w:r>
      <w:r>
        <w:rPr>
          <w:rFonts w:ascii="Arial" w:hAnsi="Arial" w:cs="Arial"/>
          <w:color w:val="151515"/>
          <w:position w:val="6"/>
          <w:sz w:val="22"/>
          <w:szCs w:val="22"/>
        </w:rPr>
        <w:t>Thematic analysis is a systematic approach to identifying, organising, and interpreting patterns of meaning (themes) within a dataset, enabling researchers to understand essential aspects of the research topic</w:t>
      </w:r>
      <w:r w:rsidRPr="00B0522C">
        <w:rPr>
          <w:rFonts w:ascii="-webkit-standard" w:hAnsi="-webkit-standard"/>
          <w:color w:val="000000"/>
          <w:sz w:val="27"/>
          <w:szCs w:val="27"/>
        </w:rPr>
        <w:t xml:space="preserve"> </w:t>
      </w:r>
      <w:r w:rsidRPr="00B0522C">
        <w:rPr>
          <w:rFonts w:ascii="Arial" w:hAnsi="Arial" w:cs="Arial"/>
          <w:color w:val="151515"/>
          <w:position w:val="6"/>
          <w:sz w:val="22"/>
          <w:szCs w:val="22"/>
        </w:rPr>
        <w:t>(Clarke and Braun, 2016</w:t>
      </w:r>
      <w:r>
        <w:rPr>
          <w:rFonts w:ascii="Arial" w:hAnsi="Arial" w:cs="Arial"/>
          <w:color w:val="151515"/>
          <w:position w:val="6"/>
          <w:sz w:val="22"/>
          <w:szCs w:val="22"/>
        </w:rPr>
        <w:t>;</w:t>
      </w:r>
      <w:r w:rsidRPr="00DC7993">
        <w:rPr>
          <w:rFonts w:ascii="Source Sans Pro" w:hAnsi="Source Sans Pro"/>
          <w:color w:val="3A3A3A"/>
          <w:sz w:val="23"/>
          <w:szCs w:val="23"/>
          <w:shd w:val="clear" w:color="auto" w:fill="FFFFFF"/>
        </w:rPr>
        <w:t xml:space="preserve"> </w:t>
      </w:r>
      <w:r w:rsidRPr="00DC7993">
        <w:rPr>
          <w:rFonts w:ascii="Arial" w:hAnsi="Arial" w:cs="Arial"/>
          <w:color w:val="151515"/>
          <w:position w:val="6"/>
          <w:sz w:val="22"/>
          <w:szCs w:val="22"/>
        </w:rPr>
        <w:t>Cottrell, 2017</w:t>
      </w:r>
      <w:r>
        <w:rPr>
          <w:rFonts w:ascii="Arial" w:hAnsi="Arial" w:cs="Arial"/>
          <w:color w:val="151515"/>
          <w:position w:val="6"/>
          <w:sz w:val="22"/>
          <w:szCs w:val="22"/>
        </w:rPr>
        <w:t>a</w:t>
      </w:r>
      <w:r w:rsidRPr="00DC7993">
        <w:rPr>
          <w:rFonts w:ascii="Arial" w:hAnsi="Arial" w:cs="Arial"/>
          <w:color w:val="151515"/>
          <w:position w:val="6"/>
          <w:sz w:val="22"/>
          <w:szCs w:val="22"/>
        </w:rPr>
        <w:t>)</w:t>
      </w:r>
      <w:r>
        <w:rPr>
          <w:rFonts w:ascii="Arial" w:hAnsi="Arial" w:cs="Arial"/>
          <w:color w:val="151515"/>
          <w:position w:val="6"/>
          <w:sz w:val="22"/>
          <w:szCs w:val="22"/>
        </w:rPr>
        <w:t>.</w:t>
      </w:r>
    </w:p>
    <w:p w14:paraId="3E432595" w14:textId="77777777" w:rsidR="00EA1B27" w:rsidRDefault="00EA1B27"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color w:val="151515"/>
          <w:position w:val="6"/>
          <w:sz w:val="22"/>
          <w:szCs w:val="22"/>
        </w:rPr>
      </w:pPr>
      <w:r w:rsidRPr="4EC2E67D">
        <w:rPr>
          <w:rFonts w:ascii="Arial" w:hAnsi="Arial" w:cs="Arial"/>
          <w:color w:val="151515"/>
          <w:position w:val="6"/>
          <w:sz w:val="22"/>
          <w:szCs w:val="22"/>
        </w:rPr>
        <w:t>The primary research data analysis began with in-depth familiarisation with all selected articles, carefully reading them to identify recurring themes. Segments related to healthcare trust, barriers to early diagnosis, and under-representation were systematically coded</w:t>
      </w:r>
      <w:r w:rsidRPr="4EC2E67D">
        <w:rPr>
          <w:rFonts w:ascii="Source Sans Pro" w:hAnsi="Source Sans Pro"/>
          <w:color w:val="3A3A3A"/>
          <w:sz w:val="23"/>
          <w:szCs w:val="23"/>
          <w:shd w:val="clear" w:color="auto" w:fill="FFFFFF"/>
        </w:rPr>
        <w:t xml:space="preserve"> (</w:t>
      </w:r>
      <w:r w:rsidRPr="4EC2E67D">
        <w:rPr>
          <w:rFonts w:ascii="Arial" w:hAnsi="Arial" w:cs="Arial"/>
          <w:color w:val="151515"/>
          <w:position w:val="6"/>
          <w:sz w:val="22"/>
          <w:szCs w:val="22"/>
        </w:rPr>
        <w:t xml:space="preserve">Cottrell, 2017b). These codes were then organised into a comparative table to reveal patterns across different studies. Through an iterative process, initial codes were combined into broader themes such as ‘Trust and Healthcare Experiences,’ ‘Barriers to Early Diagnosis,’ and ‘Disproportionate Risk and Under-Representation.’ The detailed results table in the appendix acted as an audit trail, ensuring the thematic analysis was thorough and </w:t>
      </w:r>
      <w:bookmarkStart w:id="0" w:name="_Int_2y4uZGL4"/>
      <w:r w:rsidRPr="4EC2E67D">
        <w:rPr>
          <w:rFonts w:ascii="Arial" w:hAnsi="Arial" w:cs="Arial"/>
          <w:color w:val="151515"/>
          <w:position w:val="6"/>
          <w:sz w:val="22"/>
          <w:szCs w:val="22"/>
        </w:rPr>
        <w:t>data-driven</w:t>
      </w:r>
      <w:bookmarkEnd w:id="0"/>
      <w:r w:rsidRPr="4EC2E67D">
        <w:rPr>
          <w:rFonts w:ascii="Arial" w:hAnsi="Arial" w:cs="Arial"/>
          <w:color w:val="151515"/>
          <w:position w:val="6"/>
          <w:sz w:val="22"/>
          <w:szCs w:val="22"/>
        </w:rPr>
        <w:t xml:space="preserve">. These themes will be further explored in the next phase of the research (Aveyard, </w:t>
      </w:r>
      <w:bookmarkStart w:id="1" w:name="_Int_lae2sKyF"/>
      <w:r w:rsidRPr="4EC2E67D">
        <w:rPr>
          <w:rFonts w:ascii="Arial" w:hAnsi="Arial" w:cs="Arial"/>
          <w:color w:val="151515"/>
          <w:position w:val="6"/>
          <w:sz w:val="22"/>
          <w:szCs w:val="22"/>
        </w:rPr>
        <w:t>2014b</w:t>
      </w:r>
      <w:bookmarkEnd w:id="1"/>
      <w:r w:rsidRPr="4EC2E67D">
        <w:rPr>
          <w:rFonts w:ascii="Arial" w:hAnsi="Arial" w:cs="Arial"/>
          <w:color w:val="151515"/>
          <w:position w:val="6"/>
          <w:sz w:val="22"/>
          <w:szCs w:val="22"/>
        </w:rPr>
        <w:t>).</w:t>
      </w:r>
    </w:p>
    <w:p w14:paraId="3397D556" w14:textId="77777777" w:rsidR="009408B8" w:rsidRDefault="009408B8"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color w:val="151515"/>
          <w:position w:val="6"/>
          <w:sz w:val="22"/>
          <w:szCs w:val="22"/>
        </w:rPr>
      </w:pPr>
    </w:p>
    <w:p w14:paraId="70552D11" w14:textId="77777777" w:rsidR="009408B8" w:rsidRPr="008603E1" w:rsidRDefault="009408B8"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color w:val="151515"/>
          <w:position w:val="6"/>
          <w:sz w:val="22"/>
          <w:szCs w:val="22"/>
        </w:rPr>
      </w:pPr>
    </w:p>
    <w:p w14:paraId="3105A843" w14:textId="77777777" w:rsidR="00EA1B27" w:rsidRPr="000930B0" w:rsidRDefault="00EA1B27" w:rsidP="00EA1B27">
      <w:pPr>
        <w:spacing w:line="360" w:lineRule="auto"/>
        <w:jc w:val="both"/>
        <w:rPr>
          <w:rFonts w:ascii="Arial" w:hAnsi="Arial" w:cs="Arial"/>
          <w:color w:val="1C1C1C"/>
          <w:sz w:val="22"/>
          <w:szCs w:val="22"/>
          <w:shd w:val="clear" w:color="auto" w:fill="FFFFFF"/>
        </w:rPr>
      </w:pPr>
      <w:r w:rsidRPr="007A42CC">
        <w:rPr>
          <w:rFonts w:ascii="Arial" w:hAnsi="Arial" w:cs="Arial"/>
          <w:b/>
          <w:bCs/>
          <w:sz w:val="22"/>
          <w:szCs w:val="22"/>
        </w:rPr>
        <w:lastRenderedPageBreak/>
        <w:t>4.3 – Theme</w:t>
      </w:r>
      <w:r w:rsidRPr="000930B0">
        <w:rPr>
          <w:rFonts w:ascii="Arial" w:hAnsi="Arial" w:cs="Arial"/>
          <w:b/>
          <w:bCs/>
          <w:sz w:val="22"/>
          <w:szCs w:val="22"/>
        </w:rPr>
        <w:t xml:space="preserve"> 1: Trust and Healthcare Experience</w:t>
      </w:r>
    </w:p>
    <w:p w14:paraId="4114D1BB" w14:textId="77777777" w:rsidR="00EA1B27" w:rsidRDefault="00EA1B27" w:rsidP="00EA1B27">
      <w:pPr>
        <w:spacing w:line="360" w:lineRule="auto"/>
        <w:jc w:val="both"/>
        <w:rPr>
          <w:rFonts w:ascii="Arial" w:eastAsia="Times New Roman" w:hAnsi="Arial" w:cs="Arial"/>
          <w:lang w:eastAsia="en-GB"/>
        </w:rPr>
      </w:pPr>
      <w:r>
        <w:rPr>
          <w:rFonts w:ascii="Arial" w:eastAsia="Times New Roman" w:hAnsi="Arial" w:cs="Arial"/>
          <w:sz w:val="22"/>
          <w:szCs w:val="22"/>
          <w:lang w:eastAsia="en-GB"/>
        </w:rPr>
        <w:t xml:space="preserve">Trust is fundamental in the relationship between patients and healthcare providers. It affects their willingness to seek care, share personal information, follow medical advice, and remain engaged in treatment. Trust also involves healthcare institutions, systems, and the </w:t>
      </w:r>
      <w:r>
        <w:rPr>
          <w:rFonts w:ascii="Arial" w:eastAsia="Times New Roman" w:hAnsi="Arial" w:cs="Arial"/>
          <w:lang w:eastAsia="en-GB"/>
        </w:rPr>
        <w:t>broa</w:t>
      </w:r>
      <w:r>
        <w:rPr>
          <w:rFonts w:ascii="Arial" w:eastAsia="Times New Roman" w:hAnsi="Arial" w:cs="Arial"/>
          <w:sz w:val="22"/>
          <w:szCs w:val="22"/>
          <w:lang w:eastAsia="en-GB"/>
        </w:rPr>
        <w:t>der medical community</w:t>
      </w:r>
      <w:r w:rsidRPr="00FF3E57">
        <w:rPr>
          <w:rFonts w:ascii="-webkit-standard" w:hAnsi="-webkit-standard"/>
          <w:color w:val="000000"/>
          <w:sz w:val="27"/>
          <w:szCs w:val="27"/>
        </w:rPr>
        <w:t xml:space="preserve"> </w:t>
      </w:r>
      <w:r w:rsidRPr="00FF3E57">
        <w:rPr>
          <w:rFonts w:ascii="Arial" w:eastAsia="Times New Roman" w:hAnsi="Arial" w:cs="Arial"/>
          <w:sz w:val="22"/>
          <w:szCs w:val="22"/>
          <w:lang w:eastAsia="en-GB"/>
        </w:rPr>
        <w:t>(Bauchner, 2019</w:t>
      </w:r>
      <w:r>
        <w:rPr>
          <w:rFonts w:ascii="Arial" w:eastAsia="Times New Roman" w:hAnsi="Arial" w:cs="Arial"/>
          <w:sz w:val="22"/>
          <w:szCs w:val="22"/>
          <w:lang w:eastAsia="en-GB"/>
        </w:rPr>
        <w:t>;</w:t>
      </w:r>
      <w:r w:rsidRPr="00957BD3">
        <w:rPr>
          <w:rFonts w:ascii="-webkit-standard" w:hAnsi="-webkit-standard"/>
          <w:color w:val="000000"/>
          <w:sz w:val="27"/>
          <w:szCs w:val="27"/>
        </w:rPr>
        <w:t xml:space="preserve"> </w:t>
      </w:r>
      <w:r w:rsidRPr="00957BD3">
        <w:rPr>
          <w:rFonts w:ascii="Arial" w:eastAsia="Times New Roman" w:hAnsi="Arial" w:cs="Arial"/>
          <w:sz w:val="22"/>
          <w:szCs w:val="22"/>
          <w:lang w:eastAsia="en-GB"/>
        </w:rPr>
        <w:t>Brennan </w:t>
      </w:r>
      <w:r w:rsidRPr="00957BD3">
        <w:rPr>
          <w:rFonts w:ascii="Arial" w:eastAsia="Times New Roman" w:hAnsi="Arial" w:cs="Arial"/>
          <w:i/>
          <w:iCs/>
          <w:sz w:val="22"/>
          <w:szCs w:val="22"/>
          <w:lang w:eastAsia="en-GB"/>
        </w:rPr>
        <w:t>et al.</w:t>
      </w:r>
      <w:r w:rsidRPr="00957BD3">
        <w:rPr>
          <w:rFonts w:ascii="Arial" w:eastAsia="Times New Roman" w:hAnsi="Arial" w:cs="Arial"/>
          <w:sz w:val="22"/>
          <w:szCs w:val="22"/>
          <w:lang w:eastAsia="en-GB"/>
        </w:rPr>
        <w:t>, 2013)</w:t>
      </w:r>
      <w:r>
        <w:rPr>
          <w:rFonts w:ascii="Arial" w:eastAsia="Times New Roman" w:hAnsi="Arial" w:cs="Arial"/>
          <w:sz w:val="22"/>
          <w:szCs w:val="22"/>
          <w:lang w:eastAsia="en-GB"/>
        </w:rPr>
        <w:t xml:space="preserve">. </w:t>
      </w:r>
    </w:p>
    <w:p w14:paraId="56BEC009" w14:textId="77777777" w:rsidR="00EA1B27" w:rsidRPr="00AF04C5" w:rsidRDefault="00EA1B27" w:rsidP="00EA1B27">
      <w:pPr>
        <w:pStyle w:val="Heading4"/>
        <w:spacing w:line="360" w:lineRule="auto"/>
        <w:jc w:val="both"/>
        <w:rPr>
          <w:rFonts w:ascii="Arial" w:hAnsi="Arial" w:cs="Arial"/>
          <w:b/>
          <w:bCs/>
          <w:i w:val="0"/>
          <w:iCs w:val="0"/>
          <w:color w:val="000000" w:themeColor="text1"/>
          <w:sz w:val="22"/>
          <w:szCs w:val="22"/>
          <w:lang w:eastAsia="zh-CN"/>
        </w:rPr>
      </w:pPr>
      <w:r w:rsidRPr="00AF04C5">
        <w:rPr>
          <w:rFonts w:ascii="Arial" w:hAnsi="Arial" w:cs="Arial"/>
          <w:b/>
          <w:bCs/>
          <w:i w:val="0"/>
          <w:iCs w:val="0"/>
          <w:color w:val="000000" w:themeColor="text1"/>
          <w:sz w:val="22"/>
          <w:szCs w:val="22"/>
        </w:rPr>
        <w:t>Background Information</w:t>
      </w:r>
    </w:p>
    <w:p w14:paraId="6ED9EF96" w14:textId="77777777" w:rsidR="00EA1B27" w:rsidRDefault="00EA1B27" w:rsidP="00EA1B27">
      <w:pPr>
        <w:spacing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Historically, the UK's NHS has followed an authoritarian model, in which doctors and medical staff were trusted most. This approach encouraged patient compliance, assuming healthcare professionals acted in their best interests</w:t>
      </w:r>
      <w:r w:rsidRPr="00B65909">
        <w:rPr>
          <w:rFonts w:ascii="-webkit-standard" w:hAnsi="-webkit-standard"/>
          <w:color w:val="000000"/>
          <w:sz w:val="27"/>
          <w:szCs w:val="27"/>
        </w:rPr>
        <w:t xml:space="preserve"> </w:t>
      </w:r>
      <w:r w:rsidRPr="00B65909">
        <w:rPr>
          <w:rFonts w:ascii="Arial" w:eastAsia="Times New Roman" w:hAnsi="Arial" w:cs="Arial"/>
          <w:sz w:val="22"/>
          <w:szCs w:val="22"/>
          <w:lang w:eastAsia="en-GB"/>
        </w:rPr>
        <w:t>(Millenson, 2017)</w:t>
      </w:r>
      <w:r>
        <w:rPr>
          <w:rFonts w:ascii="Arial" w:eastAsia="Times New Roman" w:hAnsi="Arial" w:cs="Arial"/>
          <w:sz w:val="22"/>
          <w:szCs w:val="22"/>
          <w:lang w:eastAsia="en-GB"/>
        </w:rPr>
        <w:t>. However, unethical practices revealed in cases like those in Birmingham have undermined public trust, leading to a shift toward a more patient-centred approach. Technological advances and widespread internet use have empowered patients by making health information more accessible</w:t>
      </w:r>
      <w:r w:rsidRPr="007C725E">
        <w:rPr>
          <w:rFonts w:ascii="-webkit-standard" w:hAnsi="-webkit-standard"/>
          <w:color w:val="000000"/>
          <w:sz w:val="27"/>
          <w:szCs w:val="27"/>
        </w:rPr>
        <w:t xml:space="preserve"> </w:t>
      </w:r>
      <w:r w:rsidRPr="007C725E">
        <w:rPr>
          <w:rFonts w:ascii="Arial" w:eastAsia="Times New Roman" w:hAnsi="Arial" w:cs="Arial"/>
          <w:sz w:val="22"/>
          <w:szCs w:val="22"/>
          <w:lang w:eastAsia="en-GB"/>
        </w:rPr>
        <w:t>(Segers and Mertes, 2022)</w:t>
      </w:r>
      <w:r>
        <w:rPr>
          <w:rFonts w:ascii="Arial" w:eastAsia="Times New Roman" w:hAnsi="Arial" w:cs="Arial"/>
          <w:sz w:val="22"/>
          <w:szCs w:val="22"/>
          <w:lang w:eastAsia="en-GB"/>
        </w:rPr>
        <w:t>.</w:t>
      </w:r>
    </w:p>
    <w:p w14:paraId="39C930EC" w14:textId="77777777" w:rsidR="00EA1B27" w:rsidRDefault="00EA1B27" w:rsidP="00EA1B27">
      <w:pPr>
        <w:spacing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 This has supported shared decision-making, a collaborative healthcare process. While beneficial, it also raises concerns about patients' ability to interpret complex medical data correctly and avoid </w:t>
      </w:r>
      <w:bookmarkStart w:id="2" w:name="_Int_4IumerLS"/>
      <w:r>
        <w:rPr>
          <w:rFonts w:ascii="Arial" w:eastAsia="Times New Roman" w:hAnsi="Arial" w:cs="Arial"/>
          <w:sz w:val="22"/>
          <w:szCs w:val="22"/>
          <w:lang w:eastAsia="en-GB"/>
        </w:rPr>
        <w:t>overload</w:t>
      </w:r>
      <w:bookmarkEnd w:id="2"/>
      <w:r>
        <w:rPr>
          <w:rFonts w:ascii="Arial" w:eastAsia="Times New Roman" w:hAnsi="Arial" w:cs="Arial"/>
          <w:sz w:val="22"/>
          <w:szCs w:val="22"/>
          <w:lang w:eastAsia="en-GB"/>
        </w:rPr>
        <w:t>. Not all patients have the skills to understand medical information</w:t>
      </w:r>
      <w:r>
        <w:rPr>
          <w:rFonts w:ascii="Arial" w:eastAsia="Times New Roman" w:hAnsi="Arial" w:cs="Arial"/>
          <w:lang w:eastAsia="en-GB"/>
        </w:rPr>
        <w:t xml:space="preserve"> fully</w:t>
      </w:r>
      <w:r>
        <w:rPr>
          <w:rFonts w:ascii="Arial" w:eastAsia="Times New Roman" w:hAnsi="Arial" w:cs="Arial"/>
          <w:sz w:val="22"/>
          <w:szCs w:val="22"/>
          <w:lang w:eastAsia="en-GB"/>
        </w:rPr>
        <w:t xml:space="preserve"> or to participate actively, which can lead to disparities and misunderstandings</w:t>
      </w:r>
      <w:r w:rsidRPr="4EC2E67D">
        <w:rPr>
          <w:rFonts w:ascii="-webkit-standard" w:hAnsi="-webkit-standard"/>
          <w:color w:val="000000" w:themeColor="text1"/>
          <w:sz w:val="27"/>
          <w:szCs w:val="27"/>
        </w:rPr>
        <w:t xml:space="preserve"> </w:t>
      </w:r>
      <w:r w:rsidRPr="0025053D">
        <w:rPr>
          <w:rFonts w:ascii="Arial" w:eastAsia="Times New Roman" w:hAnsi="Arial" w:cs="Arial"/>
          <w:sz w:val="22"/>
          <w:szCs w:val="22"/>
          <w:lang w:eastAsia="en-GB"/>
        </w:rPr>
        <w:t>(</w:t>
      </w:r>
      <w:proofErr w:type="spellStart"/>
      <w:r w:rsidRPr="0025053D">
        <w:rPr>
          <w:rFonts w:ascii="Arial" w:eastAsia="Times New Roman" w:hAnsi="Arial" w:cs="Arial"/>
          <w:sz w:val="22"/>
          <w:szCs w:val="22"/>
          <w:lang w:eastAsia="en-GB"/>
        </w:rPr>
        <w:t>Ocloo</w:t>
      </w:r>
      <w:proofErr w:type="spellEnd"/>
      <w:r w:rsidRPr="0025053D">
        <w:rPr>
          <w:rFonts w:ascii="Arial" w:eastAsia="Times New Roman" w:hAnsi="Arial" w:cs="Arial"/>
          <w:sz w:val="22"/>
          <w:szCs w:val="22"/>
          <w:lang w:eastAsia="en-GB"/>
        </w:rPr>
        <w:t xml:space="preserve"> and Matthews, 2016)</w:t>
      </w:r>
      <w:r>
        <w:rPr>
          <w:rFonts w:ascii="Arial" w:eastAsia="Times New Roman" w:hAnsi="Arial" w:cs="Arial"/>
          <w:sz w:val="22"/>
          <w:szCs w:val="22"/>
          <w:lang w:eastAsia="en-GB"/>
        </w:rPr>
        <w:t xml:space="preserve">. Restoring trust in this changing environment requires transparency and strong ethics. The NHS has made progress in increasing patient involvement and communication through initiatives like satisfaction surveys and feedback systems. Still, questions remain: Are patients truly </w:t>
      </w:r>
      <w:bookmarkStart w:id="3" w:name="_Int_e6j5SkhZ"/>
      <w:r>
        <w:rPr>
          <w:rFonts w:ascii="Arial" w:eastAsia="Times New Roman" w:hAnsi="Arial" w:cs="Arial"/>
          <w:sz w:val="22"/>
          <w:szCs w:val="22"/>
          <w:lang w:eastAsia="en-GB"/>
        </w:rPr>
        <w:t>listened</w:t>
      </w:r>
      <w:bookmarkEnd w:id="3"/>
      <w:r>
        <w:rPr>
          <w:rFonts w:ascii="Arial" w:eastAsia="Times New Roman" w:hAnsi="Arial" w:cs="Arial"/>
          <w:sz w:val="22"/>
          <w:szCs w:val="22"/>
          <w:lang w:eastAsia="en-GB"/>
        </w:rPr>
        <w:t xml:space="preserve"> to? Does their feedback lead to real change, or are these efforts symbolic?</w:t>
      </w:r>
      <w:r w:rsidRPr="4EC2E67D">
        <w:rPr>
          <w:rFonts w:ascii="-webkit-standard" w:hAnsi="-webkit-standard"/>
          <w:color w:val="000000" w:themeColor="text1"/>
          <w:sz w:val="27"/>
          <w:szCs w:val="27"/>
        </w:rPr>
        <w:t xml:space="preserve"> </w:t>
      </w:r>
      <w:r w:rsidRPr="00D30AAA">
        <w:rPr>
          <w:rFonts w:ascii="Arial" w:eastAsia="Times New Roman" w:hAnsi="Arial" w:cs="Arial"/>
          <w:sz w:val="22"/>
          <w:szCs w:val="22"/>
          <w:lang w:eastAsia="en-GB"/>
        </w:rPr>
        <w:t>(Stalnikowicz and Brezis, 2020)</w:t>
      </w:r>
      <w:r>
        <w:rPr>
          <w:rFonts w:ascii="Arial" w:eastAsia="Times New Roman" w:hAnsi="Arial" w:cs="Arial"/>
          <w:sz w:val="22"/>
          <w:szCs w:val="22"/>
          <w:lang w:eastAsia="en-GB"/>
        </w:rPr>
        <w:t xml:space="preserve">. </w:t>
      </w:r>
    </w:p>
    <w:p w14:paraId="7666A912" w14:textId="0EAEE7C7" w:rsidR="00EA1B27" w:rsidRDefault="00EA1B27" w:rsidP="00EA1B27">
      <w:pPr>
        <w:spacing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Regulatory reforms are key to maintaining ethical standards. Bodies such as the General Medical Council (GMC) are crucial in regulating practitioners, ensuring accountability, and upholding public trust. However, debates continue over whether these frameworks adequately balance professional independence with patient safety. Additionally, digital innovations like telemedicine offer both opportunities and challenges</w:t>
      </w:r>
      <w:r w:rsidRPr="00420499">
        <w:rPr>
          <w:rFonts w:ascii="-webkit-standard" w:hAnsi="-webkit-standard"/>
          <w:color w:val="000000"/>
          <w:sz w:val="27"/>
          <w:szCs w:val="27"/>
        </w:rPr>
        <w:t xml:space="preserve"> </w:t>
      </w:r>
      <w:r w:rsidRPr="00420499">
        <w:rPr>
          <w:rFonts w:ascii="Arial" w:eastAsia="Times New Roman" w:hAnsi="Arial" w:cs="Arial"/>
          <w:sz w:val="22"/>
          <w:szCs w:val="22"/>
          <w:lang w:eastAsia="en-GB"/>
        </w:rPr>
        <w:t>(Dickson, 2014)</w:t>
      </w:r>
      <w:r>
        <w:rPr>
          <w:rFonts w:ascii="Arial" w:eastAsia="Times New Roman" w:hAnsi="Arial" w:cs="Arial"/>
          <w:sz w:val="22"/>
          <w:szCs w:val="22"/>
          <w:lang w:eastAsia="en-GB"/>
        </w:rPr>
        <w:t>. Telehealth enhances access to care, especially in rural areas, but can also create feelings of distance from healthcare providers. To build trust, a careful approach is necessary to preserve emotional bonds and relationship quality, even during virtual consultations.</w:t>
      </w:r>
      <w:r w:rsidRPr="00323317">
        <w:rPr>
          <w:rFonts w:ascii="-webkit-standard" w:hAnsi="-webkit-standard"/>
          <w:color w:val="000000"/>
          <w:sz w:val="27"/>
          <w:szCs w:val="27"/>
        </w:rPr>
        <w:t xml:space="preserve"> </w:t>
      </w:r>
      <w:r w:rsidRPr="00323317">
        <w:rPr>
          <w:rFonts w:ascii="Arial" w:eastAsia="Times New Roman" w:hAnsi="Arial" w:cs="Arial"/>
          <w:sz w:val="22"/>
          <w:szCs w:val="22"/>
          <w:lang w:eastAsia="en-GB"/>
        </w:rPr>
        <w:t>(Alrebh </w:t>
      </w:r>
      <w:r w:rsidRPr="00323317">
        <w:rPr>
          <w:rFonts w:ascii="Arial" w:eastAsia="Times New Roman" w:hAnsi="Arial" w:cs="Arial"/>
          <w:i/>
          <w:iCs/>
          <w:sz w:val="22"/>
          <w:szCs w:val="22"/>
          <w:lang w:eastAsia="en-GB"/>
        </w:rPr>
        <w:t>et al.</w:t>
      </w:r>
      <w:r w:rsidRPr="00323317">
        <w:rPr>
          <w:rFonts w:ascii="Arial" w:eastAsia="Times New Roman" w:hAnsi="Arial" w:cs="Arial"/>
          <w:sz w:val="22"/>
          <w:szCs w:val="22"/>
          <w:lang w:eastAsia="en-GB"/>
        </w:rPr>
        <w:t>, 2024)</w:t>
      </w:r>
      <w:r w:rsidR="009408B8">
        <w:rPr>
          <w:rFonts w:ascii="Arial" w:eastAsia="Times New Roman" w:hAnsi="Arial" w:cs="Arial"/>
          <w:sz w:val="22"/>
          <w:szCs w:val="22"/>
          <w:lang w:eastAsia="en-GB"/>
        </w:rPr>
        <w:t>.</w:t>
      </w:r>
    </w:p>
    <w:p w14:paraId="3AACF201" w14:textId="77777777" w:rsidR="0083196A" w:rsidRDefault="0083196A" w:rsidP="00EA1B27">
      <w:pPr>
        <w:spacing w:line="360" w:lineRule="auto"/>
        <w:jc w:val="both"/>
        <w:rPr>
          <w:rFonts w:ascii="Arial" w:eastAsia="Times New Roman" w:hAnsi="Arial" w:cs="Arial"/>
          <w:sz w:val="22"/>
          <w:szCs w:val="22"/>
          <w:lang w:eastAsia="en-GB"/>
        </w:rPr>
      </w:pPr>
    </w:p>
    <w:p w14:paraId="28C09B67" w14:textId="77777777" w:rsidR="0083196A" w:rsidRDefault="0083196A" w:rsidP="00EA1B27">
      <w:pPr>
        <w:spacing w:line="360" w:lineRule="auto"/>
        <w:jc w:val="both"/>
        <w:rPr>
          <w:rFonts w:ascii="Arial" w:eastAsia="Times New Roman" w:hAnsi="Arial" w:cs="Arial"/>
          <w:sz w:val="22"/>
          <w:szCs w:val="22"/>
          <w:lang w:eastAsia="en-GB"/>
        </w:rPr>
      </w:pPr>
    </w:p>
    <w:p w14:paraId="7D889165" w14:textId="77777777" w:rsidR="0083196A" w:rsidRDefault="0083196A" w:rsidP="00EA1B27">
      <w:pPr>
        <w:spacing w:line="360" w:lineRule="auto"/>
        <w:jc w:val="both"/>
        <w:rPr>
          <w:rFonts w:ascii="Arial" w:eastAsia="Times New Roman" w:hAnsi="Arial" w:cs="Arial"/>
          <w:sz w:val="22"/>
          <w:szCs w:val="22"/>
          <w:lang w:eastAsia="en-GB"/>
        </w:rPr>
      </w:pPr>
    </w:p>
    <w:p w14:paraId="5B71017D" w14:textId="77777777" w:rsidR="00EA1B27" w:rsidRPr="001E617D" w:rsidRDefault="00EA1B27" w:rsidP="00EA1B27">
      <w:pPr>
        <w:spacing w:line="360" w:lineRule="auto"/>
        <w:jc w:val="both"/>
        <w:rPr>
          <w:rFonts w:ascii="Arial" w:eastAsia="Times New Roman" w:hAnsi="Arial" w:cs="Arial"/>
          <w:sz w:val="22"/>
          <w:szCs w:val="22"/>
          <w:lang w:eastAsia="en-GB"/>
        </w:rPr>
      </w:pPr>
    </w:p>
    <w:p w14:paraId="1952EC42" w14:textId="77777777" w:rsidR="00EA1B27" w:rsidRPr="00AF04C5" w:rsidRDefault="00EA1B27" w:rsidP="00EA1B27">
      <w:pPr>
        <w:pStyle w:val="Heading4"/>
        <w:spacing w:line="360" w:lineRule="auto"/>
        <w:jc w:val="both"/>
        <w:rPr>
          <w:rFonts w:ascii="Arial" w:hAnsi="Arial" w:cs="Arial"/>
          <w:b/>
          <w:bCs/>
          <w:i w:val="0"/>
          <w:iCs w:val="0"/>
          <w:color w:val="000000" w:themeColor="text1"/>
          <w:sz w:val="22"/>
          <w:szCs w:val="22"/>
        </w:rPr>
      </w:pPr>
      <w:r w:rsidRPr="00AF04C5">
        <w:rPr>
          <w:rFonts w:ascii="Arial" w:hAnsi="Arial" w:cs="Arial"/>
          <w:b/>
          <w:bCs/>
          <w:i w:val="0"/>
          <w:iCs w:val="0"/>
          <w:color w:val="000000" w:themeColor="text1"/>
          <w:sz w:val="22"/>
          <w:szCs w:val="22"/>
        </w:rPr>
        <w:lastRenderedPageBreak/>
        <w:t>Impact on Research Question</w:t>
      </w:r>
    </w:p>
    <w:p w14:paraId="1D3E5D45" w14:textId="77777777" w:rsidR="00EA1B27" w:rsidRPr="009374EB" w:rsidRDefault="00EA1B27" w:rsidP="00EA1B27">
      <w:pPr>
        <w:spacing w:line="360" w:lineRule="auto"/>
        <w:jc w:val="both"/>
        <w:rPr>
          <w:rFonts w:ascii="Arial" w:hAnsi="Arial" w:cs="Arial"/>
          <w:sz w:val="22"/>
          <w:szCs w:val="22"/>
        </w:rPr>
      </w:pPr>
      <w:r w:rsidRPr="009374EB">
        <w:rPr>
          <w:rFonts w:ascii="Arial" w:hAnsi="Arial" w:cs="Arial"/>
          <w:sz w:val="22"/>
          <w:szCs w:val="22"/>
        </w:rPr>
        <w:t>The theme of trust and healthcare experiences directly shapes the goal of encouraging people to participate in screening, seek early medical advice, follow treatment plans, and be actively involved in their healthcare. For Black men, past negative experiences, cultural factors, and perceived or real discrimination can create a deep mistrust of the healthcare system</w:t>
      </w:r>
      <w:r w:rsidRPr="00811C82">
        <w:rPr>
          <w:rFonts w:ascii="-webkit-standard" w:hAnsi="-webkit-standard"/>
          <w:color w:val="000000"/>
          <w:sz w:val="27"/>
          <w:szCs w:val="27"/>
        </w:rPr>
        <w:t xml:space="preserve"> </w:t>
      </w:r>
      <w:r w:rsidRPr="00811C82">
        <w:rPr>
          <w:rFonts w:ascii="Arial" w:hAnsi="Arial" w:cs="Arial"/>
          <w:sz w:val="22"/>
          <w:szCs w:val="22"/>
        </w:rPr>
        <w:t>(Powell </w:t>
      </w:r>
      <w:r w:rsidRPr="00811C82">
        <w:rPr>
          <w:rFonts w:ascii="Arial" w:hAnsi="Arial" w:cs="Arial"/>
          <w:i/>
          <w:iCs/>
          <w:sz w:val="22"/>
          <w:szCs w:val="22"/>
        </w:rPr>
        <w:t>et al.</w:t>
      </w:r>
      <w:r w:rsidRPr="00811C82">
        <w:rPr>
          <w:rFonts w:ascii="Arial" w:hAnsi="Arial" w:cs="Arial"/>
          <w:sz w:val="22"/>
          <w:szCs w:val="22"/>
        </w:rPr>
        <w:t>, 2019</w:t>
      </w:r>
      <w:r>
        <w:rPr>
          <w:rFonts w:ascii="Arial" w:hAnsi="Arial" w:cs="Arial"/>
          <w:sz w:val="22"/>
          <w:szCs w:val="22"/>
        </w:rPr>
        <w:t>;</w:t>
      </w:r>
      <w:r w:rsidRPr="00FB590E">
        <w:rPr>
          <w:rFonts w:ascii="-webkit-standard" w:hAnsi="-webkit-standard"/>
          <w:color w:val="000000"/>
          <w:sz w:val="27"/>
          <w:szCs w:val="27"/>
        </w:rPr>
        <w:t xml:space="preserve"> </w:t>
      </w:r>
      <w:r w:rsidRPr="00FB590E">
        <w:rPr>
          <w:rFonts w:ascii="Arial" w:hAnsi="Arial" w:cs="Arial"/>
          <w:color w:val="000000"/>
          <w:sz w:val="22"/>
          <w:szCs w:val="22"/>
        </w:rPr>
        <w:t>Lillard</w:t>
      </w:r>
      <w:r w:rsidRPr="00FB590E">
        <w:rPr>
          <w:rStyle w:val="apple-converted-space"/>
          <w:rFonts w:ascii="Arial" w:hAnsi="Arial" w:cs="Arial"/>
          <w:color w:val="000000"/>
          <w:sz w:val="22"/>
          <w:szCs w:val="22"/>
        </w:rPr>
        <w:t> </w:t>
      </w:r>
      <w:r w:rsidRPr="00FB590E">
        <w:rPr>
          <w:rFonts w:ascii="Arial" w:hAnsi="Arial" w:cs="Arial"/>
          <w:i/>
          <w:iCs/>
          <w:color w:val="000000"/>
          <w:sz w:val="22"/>
          <w:szCs w:val="22"/>
        </w:rPr>
        <w:t>et al.</w:t>
      </w:r>
      <w:r w:rsidRPr="00FB590E">
        <w:rPr>
          <w:rFonts w:ascii="Arial" w:hAnsi="Arial" w:cs="Arial"/>
          <w:color w:val="000000"/>
          <w:sz w:val="22"/>
          <w:szCs w:val="22"/>
        </w:rPr>
        <w:t>, 2022d</w:t>
      </w:r>
      <w:r w:rsidRPr="00811C82">
        <w:rPr>
          <w:rFonts w:ascii="Arial" w:hAnsi="Arial" w:cs="Arial"/>
          <w:sz w:val="22"/>
          <w:szCs w:val="22"/>
        </w:rPr>
        <w:t>)</w:t>
      </w:r>
      <w:r w:rsidRPr="009374EB">
        <w:rPr>
          <w:rFonts w:ascii="Arial" w:hAnsi="Arial" w:cs="Arial"/>
          <w:sz w:val="22"/>
          <w:szCs w:val="22"/>
        </w:rPr>
        <w:t xml:space="preserve">. This mistrust often leads to delays in seeking care, reluctance to undergo screenings, and withholding </w:t>
      </w:r>
      <w:r>
        <w:rPr>
          <w:rFonts w:ascii="Arial" w:hAnsi="Arial" w:cs="Arial"/>
        </w:rPr>
        <w:t>vital</w:t>
      </w:r>
      <w:r w:rsidRPr="009374EB">
        <w:rPr>
          <w:rFonts w:ascii="Arial" w:hAnsi="Arial" w:cs="Arial"/>
          <w:sz w:val="22"/>
          <w:szCs w:val="22"/>
        </w:rPr>
        <w:t xml:space="preserve"> information from healthcare providers, which can result in diagnosis at more advanced stages and worse health outcomes. Since this research aims to understand why Black men face a higher impact from prostate cancer, examining trust is essential to identify behavio</w:t>
      </w:r>
      <w:r>
        <w:rPr>
          <w:rFonts w:ascii="Arial" w:hAnsi="Arial" w:cs="Arial"/>
          <w:sz w:val="22"/>
          <w:szCs w:val="22"/>
        </w:rPr>
        <w:t>u</w:t>
      </w:r>
      <w:r w:rsidRPr="009374EB">
        <w:rPr>
          <w:rFonts w:ascii="Arial" w:hAnsi="Arial" w:cs="Arial"/>
          <w:sz w:val="22"/>
          <w:szCs w:val="22"/>
        </w:rPr>
        <w:t>ral barriers and evaluate healthcare interventions. Without addressing trust, any solutions or policies may struggle to succeed</w:t>
      </w:r>
      <w:r w:rsidRPr="0020139E">
        <w:rPr>
          <w:rFonts w:ascii="-webkit-standard" w:hAnsi="-webkit-standard"/>
          <w:color w:val="000000"/>
          <w:sz w:val="27"/>
          <w:szCs w:val="27"/>
        </w:rPr>
        <w:t xml:space="preserve"> </w:t>
      </w:r>
      <w:r w:rsidRPr="0020139E">
        <w:rPr>
          <w:rFonts w:ascii="Arial" w:hAnsi="Arial" w:cs="Arial"/>
          <w:sz w:val="22"/>
          <w:szCs w:val="22"/>
        </w:rPr>
        <w:t>(Rogers </w:t>
      </w:r>
      <w:r w:rsidRPr="0020139E">
        <w:rPr>
          <w:rFonts w:ascii="Arial" w:hAnsi="Arial" w:cs="Arial"/>
          <w:i/>
          <w:iCs/>
          <w:sz w:val="22"/>
          <w:szCs w:val="22"/>
        </w:rPr>
        <w:t>et al.</w:t>
      </w:r>
      <w:r w:rsidRPr="0020139E">
        <w:rPr>
          <w:rFonts w:ascii="Arial" w:hAnsi="Arial" w:cs="Arial"/>
          <w:sz w:val="22"/>
          <w:szCs w:val="22"/>
        </w:rPr>
        <w:t>, 2018)</w:t>
      </w:r>
      <w:r w:rsidRPr="009374EB">
        <w:rPr>
          <w:rFonts w:ascii="Arial" w:hAnsi="Arial" w:cs="Arial"/>
          <w:sz w:val="22"/>
          <w:szCs w:val="22"/>
        </w:rPr>
        <w:t>.</w:t>
      </w:r>
    </w:p>
    <w:p w14:paraId="7C8CE9DE" w14:textId="77777777" w:rsidR="00EA1B27" w:rsidRPr="00A25BE5" w:rsidRDefault="00EA1B27" w:rsidP="00EA1B27">
      <w:pPr>
        <w:pStyle w:val="Heading4"/>
        <w:spacing w:line="360" w:lineRule="auto"/>
        <w:jc w:val="both"/>
        <w:rPr>
          <w:rFonts w:ascii="Arial" w:hAnsi="Arial" w:cs="Arial"/>
          <w:b/>
          <w:bCs/>
          <w:i w:val="0"/>
          <w:iCs w:val="0"/>
          <w:color w:val="000000" w:themeColor="text1"/>
          <w:sz w:val="22"/>
          <w:szCs w:val="22"/>
        </w:rPr>
      </w:pPr>
      <w:r w:rsidRPr="00A25BE5">
        <w:rPr>
          <w:rFonts w:ascii="Arial" w:hAnsi="Arial" w:cs="Arial"/>
          <w:b/>
          <w:bCs/>
          <w:i w:val="0"/>
          <w:iCs w:val="0"/>
          <w:color w:val="000000" w:themeColor="text1"/>
          <w:sz w:val="22"/>
          <w:szCs w:val="22"/>
        </w:rPr>
        <w:t>Statistical Information</w:t>
      </w:r>
    </w:p>
    <w:p w14:paraId="44F4E6A1" w14:textId="77777777" w:rsidR="00EA1B27" w:rsidRDefault="00EA1B27" w:rsidP="00EA1B27">
      <w:pPr>
        <w:spacing w:line="360" w:lineRule="auto"/>
        <w:jc w:val="both"/>
        <w:rPr>
          <w:rFonts w:ascii="Arial" w:hAnsi="Arial" w:cs="Arial"/>
          <w:sz w:val="22"/>
          <w:szCs w:val="22"/>
        </w:rPr>
      </w:pPr>
      <w:r>
        <w:rPr>
          <w:rFonts w:ascii="Arial" w:hAnsi="Arial" w:cs="Arial"/>
          <w:sz w:val="22"/>
          <w:szCs w:val="22"/>
        </w:rPr>
        <w:t>A report</w:t>
      </w:r>
      <w:r w:rsidRPr="00E341AE">
        <w:rPr>
          <w:rFonts w:ascii="Arial" w:hAnsi="Arial" w:cs="Arial"/>
          <w:sz w:val="22"/>
          <w:szCs w:val="22"/>
        </w:rPr>
        <w:t xml:space="preserve"> conducted in the UK reveals </w:t>
      </w:r>
      <w:r>
        <w:rPr>
          <w:rFonts w:ascii="Arial" w:hAnsi="Arial" w:cs="Arial"/>
          <w:sz w:val="22"/>
          <w:szCs w:val="22"/>
        </w:rPr>
        <w:t>that 202 black men were diagnosed with prostate cancer</w:t>
      </w:r>
      <w:r w:rsidRPr="00D34136">
        <w:rPr>
          <w:rFonts w:ascii="Arial" w:hAnsi="Arial" w:cs="Arial"/>
          <w:sz w:val="22"/>
          <w:szCs w:val="22"/>
        </w:rPr>
        <w:t xml:space="preserve"> </w:t>
      </w:r>
      <w:r>
        <w:rPr>
          <w:rFonts w:ascii="Arial" w:hAnsi="Arial" w:cs="Arial"/>
          <w:sz w:val="22"/>
          <w:szCs w:val="22"/>
        </w:rPr>
        <w:t>in July 2025</w:t>
      </w:r>
      <w:r w:rsidRPr="00E341AE">
        <w:rPr>
          <w:rFonts w:ascii="Arial" w:hAnsi="Arial" w:cs="Arial"/>
          <w:sz w:val="22"/>
          <w:szCs w:val="22"/>
        </w:rPr>
        <w:t xml:space="preserve">. </w:t>
      </w:r>
      <w:r w:rsidRPr="002C2BD1">
        <w:rPr>
          <w:rFonts w:ascii="Arial" w:hAnsi="Arial" w:cs="Arial"/>
          <w:sz w:val="22"/>
          <w:szCs w:val="22"/>
        </w:rPr>
        <w:t>Prostate Cancer UK has emphasised that only 24% of Black men are aware of their increased risk of prostate cancer due to their ethnicity. The organisation underscores the critical importance of having conversations about prostate cancer, which can potentially save lives. Black men who discuss the risks of prostate cancer with friends or family are four times more likely to recognise the symptoms (31% compared to 8%) and more than twice as likely to receive an early diagnosis (83% versus 43%). (NHS England, 2025;</w:t>
      </w:r>
      <w:r w:rsidRPr="002C2BD1">
        <w:rPr>
          <w:rFonts w:ascii="Arial" w:hAnsi="Arial" w:cs="Arial"/>
          <w:noProof/>
          <w:sz w:val="22"/>
          <w:szCs w:val="22"/>
        </w:rPr>
        <w:t xml:space="preserve"> Prostate Cancer UK, no date</w:t>
      </w:r>
      <w:r w:rsidRPr="002C2BD1">
        <w:rPr>
          <w:rFonts w:ascii="Arial" w:hAnsi="Arial" w:cs="Arial"/>
          <w:sz w:val="22"/>
          <w:szCs w:val="22"/>
        </w:rPr>
        <w:t xml:space="preserve">). This lack of awareness is crucial, as early detection is essential for successful treatment. </w:t>
      </w:r>
      <w:bookmarkStart w:id="4" w:name="OLE_LINK46"/>
    </w:p>
    <w:p w14:paraId="0240876F" w14:textId="77777777" w:rsidR="00EA1B27" w:rsidRDefault="00EA1B27" w:rsidP="00EA1B27">
      <w:pPr>
        <w:spacing w:line="360" w:lineRule="auto"/>
        <w:jc w:val="both"/>
        <w:rPr>
          <w:rFonts w:ascii="Arial" w:hAnsi="Arial" w:cs="Arial"/>
          <w:sz w:val="22"/>
          <w:szCs w:val="22"/>
        </w:rPr>
      </w:pPr>
      <w:r w:rsidRPr="002C2BD1">
        <w:rPr>
          <w:rFonts w:ascii="Arial" w:hAnsi="Arial" w:cs="Arial"/>
          <w:sz w:val="22"/>
          <w:szCs w:val="22"/>
        </w:rPr>
        <w:t>Furthermore, data from the NHS England Patient Survey highlights a notable disparity in trust in General Practitioners (GPs) across different ethnic groups. Approximately 65% of white patients report an elevated level of trust in their GPs, while only 54% of Black patients express the same confidence</w:t>
      </w:r>
      <w:r w:rsidRPr="002C2BD1">
        <w:rPr>
          <w:rFonts w:ascii="Arial" w:hAnsi="Arial" w:cs="Arial"/>
          <w:color w:val="1D3850"/>
          <w:sz w:val="22"/>
          <w:szCs w:val="22"/>
          <w:shd w:val="clear" w:color="auto" w:fill="FFFFFF"/>
        </w:rPr>
        <w:t xml:space="preserve"> and 49%</w:t>
      </w:r>
      <w:r w:rsidRPr="002C2BD1">
        <w:rPr>
          <w:rFonts w:ascii="Arial" w:hAnsi="Arial" w:cs="Arial"/>
          <w:sz w:val="22"/>
          <w:szCs w:val="22"/>
        </w:rPr>
        <w:t xml:space="preserve"> lack trust. This trust gap has persisted for several years, suggesting systemic issues that may contribute to health disparities (Medical Science Division, 2025</w:t>
      </w:r>
      <w:r>
        <w:rPr>
          <w:rFonts w:ascii="Arial" w:hAnsi="Arial" w:cs="Arial"/>
          <w:sz w:val="22"/>
          <w:szCs w:val="22"/>
        </w:rPr>
        <w:t>;</w:t>
      </w:r>
      <w:r w:rsidRPr="00B22C87">
        <w:rPr>
          <w:rFonts w:ascii="Arial" w:hAnsi="Arial" w:cs="Arial"/>
          <w:sz w:val="22"/>
          <w:szCs w:val="22"/>
        </w:rPr>
        <w:t xml:space="preserve"> </w:t>
      </w:r>
      <w:r w:rsidRPr="002C2BD1">
        <w:rPr>
          <w:rFonts w:ascii="Arial" w:hAnsi="Arial" w:cs="Arial"/>
          <w:sz w:val="22"/>
          <w:szCs w:val="22"/>
        </w:rPr>
        <w:t xml:space="preserve">Kapadia </w:t>
      </w:r>
      <w:r w:rsidRPr="00B22C87">
        <w:rPr>
          <w:rFonts w:ascii="Arial" w:hAnsi="Arial" w:cs="Arial"/>
          <w:i/>
          <w:iCs/>
          <w:sz w:val="22"/>
          <w:szCs w:val="22"/>
        </w:rPr>
        <w:t>et al.,</w:t>
      </w:r>
      <w:r w:rsidRPr="002C2BD1">
        <w:rPr>
          <w:rFonts w:ascii="Arial" w:hAnsi="Arial" w:cs="Arial"/>
          <w:sz w:val="22"/>
          <w:szCs w:val="22"/>
        </w:rPr>
        <w:t xml:space="preserve"> 2022). </w:t>
      </w:r>
      <w:bookmarkEnd w:id="4"/>
      <w:r w:rsidRPr="002C2BD1">
        <w:rPr>
          <w:rFonts w:ascii="Arial" w:hAnsi="Arial" w:cs="Arial"/>
          <w:sz w:val="22"/>
          <w:szCs w:val="22"/>
        </w:rPr>
        <w:t>A study reveals that social barriers to healthcare exist, with Black men being notably more likely to delay seeking medical care due to mistrust or fears of discrimination. This indicates that trust issues and perceived discrimination are critical factors influencing health-seeking behaviours in Black communities, potentially exacerbating health inequalities (Ojo-Aromokudu et al., 2023;</w:t>
      </w:r>
      <w:r w:rsidRPr="00BD566B">
        <w:rPr>
          <w:rFonts w:ascii="Arial" w:hAnsi="Arial" w:cs="Arial"/>
          <w:sz w:val="22"/>
          <w:szCs w:val="22"/>
        </w:rPr>
        <w:t xml:space="preserve"> </w:t>
      </w:r>
      <w:r w:rsidRPr="002C2BD1">
        <w:rPr>
          <w:rFonts w:ascii="Arial" w:hAnsi="Arial" w:cs="Arial"/>
          <w:sz w:val="22"/>
          <w:szCs w:val="22"/>
        </w:rPr>
        <w:t>Public Health England, 2016).</w:t>
      </w:r>
    </w:p>
    <w:p w14:paraId="3452BCCC" w14:textId="77777777" w:rsidR="0083196A" w:rsidRDefault="0083196A" w:rsidP="00EA1B27">
      <w:pPr>
        <w:spacing w:line="360" w:lineRule="auto"/>
        <w:jc w:val="both"/>
        <w:rPr>
          <w:rFonts w:ascii="Arial" w:hAnsi="Arial" w:cs="Arial"/>
          <w:sz w:val="22"/>
          <w:szCs w:val="22"/>
        </w:rPr>
      </w:pPr>
    </w:p>
    <w:p w14:paraId="57FCC992" w14:textId="77777777" w:rsidR="0083196A" w:rsidRDefault="0083196A" w:rsidP="00EA1B27">
      <w:pPr>
        <w:spacing w:line="360" w:lineRule="auto"/>
        <w:jc w:val="both"/>
        <w:rPr>
          <w:rFonts w:ascii="Arial" w:hAnsi="Arial" w:cs="Arial"/>
          <w:sz w:val="22"/>
          <w:szCs w:val="22"/>
        </w:rPr>
      </w:pPr>
    </w:p>
    <w:p w14:paraId="4DE78E26" w14:textId="77777777" w:rsidR="0083196A" w:rsidRDefault="0083196A" w:rsidP="00EA1B27">
      <w:pPr>
        <w:spacing w:line="360" w:lineRule="auto"/>
        <w:jc w:val="both"/>
        <w:rPr>
          <w:rFonts w:ascii="Arial" w:hAnsi="Arial" w:cs="Arial"/>
          <w:sz w:val="22"/>
          <w:szCs w:val="22"/>
        </w:rPr>
      </w:pPr>
    </w:p>
    <w:p w14:paraId="414E1271" w14:textId="77777777" w:rsidR="0083196A" w:rsidRDefault="0083196A" w:rsidP="00EA1B27">
      <w:pPr>
        <w:spacing w:line="360" w:lineRule="auto"/>
        <w:jc w:val="both"/>
        <w:rPr>
          <w:rFonts w:ascii="Arial" w:hAnsi="Arial" w:cs="Arial"/>
          <w:sz w:val="22"/>
          <w:szCs w:val="22"/>
        </w:rPr>
      </w:pPr>
    </w:p>
    <w:p w14:paraId="3926FC6A" w14:textId="77777777" w:rsidR="0083196A" w:rsidRDefault="0083196A" w:rsidP="00EA1B27">
      <w:pPr>
        <w:spacing w:line="360" w:lineRule="auto"/>
        <w:jc w:val="both"/>
        <w:rPr>
          <w:rFonts w:ascii="Arial" w:hAnsi="Arial" w:cs="Arial"/>
          <w:sz w:val="22"/>
          <w:szCs w:val="22"/>
        </w:rPr>
      </w:pPr>
    </w:p>
    <w:p w14:paraId="009851BE" w14:textId="77777777" w:rsidR="00EA1B27" w:rsidRPr="00054E9B" w:rsidRDefault="00EA1B27" w:rsidP="00EA1B27">
      <w:pPr>
        <w:spacing w:line="360" w:lineRule="auto"/>
        <w:jc w:val="both"/>
        <w:rPr>
          <w:rFonts w:ascii="Arial" w:hAnsi="Arial" w:cs="Arial"/>
          <w:sz w:val="22"/>
          <w:szCs w:val="22"/>
        </w:rPr>
      </w:pPr>
      <w:r w:rsidRPr="00054E9B">
        <w:rPr>
          <w:rFonts w:ascii="Arial" w:hAnsi="Arial" w:cs="Arial"/>
          <w:b/>
          <w:bCs/>
          <w:color w:val="000000" w:themeColor="text1"/>
          <w:sz w:val="22"/>
          <w:szCs w:val="22"/>
        </w:rPr>
        <w:lastRenderedPageBreak/>
        <w:t>Theories, Policies, and Legislation</w:t>
      </w:r>
    </w:p>
    <w:p w14:paraId="6E84A424" w14:textId="688ED7F4" w:rsidR="00EA1B27" w:rsidRDefault="00EA1B27" w:rsidP="00EA1B27">
      <w:pPr>
        <w:pStyle w:val="NormalWeb"/>
        <w:spacing w:line="360" w:lineRule="auto"/>
        <w:jc w:val="both"/>
        <w:rPr>
          <w:rFonts w:ascii="Arial" w:hAnsi="Arial" w:cs="Arial"/>
          <w:sz w:val="22"/>
          <w:szCs w:val="22"/>
        </w:rPr>
      </w:pPr>
      <w:r w:rsidRPr="00040231">
        <w:rPr>
          <w:rFonts w:ascii="Arial" w:hAnsi="Arial" w:cs="Arial"/>
          <w:sz w:val="22"/>
          <w:szCs w:val="22"/>
        </w:rPr>
        <w:t>The Health Belief Model (HBM) suggests that a person’s willingness to engage in health-related behavio</w:t>
      </w:r>
      <w:r>
        <w:rPr>
          <w:rFonts w:ascii="Arial" w:hAnsi="Arial" w:cs="Arial"/>
          <w:sz w:val="22"/>
          <w:szCs w:val="22"/>
        </w:rPr>
        <w:t>u</w:t>
      </w:r>
      <w:r w:rsidRPr="00040231">
        <w:rPr>
          <w:rFonts w:ascii="Arial" w:hAnsi="Arial" w:cs="Arial"/>
          <w:sz w:val="22"/>
          <w:szCs w:val="22"/>
        </w:rPr>
        <w:t>rs, such as screening or following treatment, is influenced by their perceived susceptibility to a health issue, its perceived severity, perceived benefits of action, perceived barriers to acting, cues to action, and self-efficacy</w:t>
      </w:r>
      <w:r w:rsidRPr="4EC2E67D">
        <w:rPr>
          <w:rFonts w:ascii="-webkit-standard" w:eastAsiaTheme="minorEastAsia" w:hAnsi="-webkit-standard" w:cstheme="minorBidi"/>
          <w:color w:val="000000" w:themeColor="text1"/>
          <w:sz w:val="27"/>
          <w:szCs w:val="27"/>
          <w:lang w:val="en-US" w:eastAsia="ja-JP"/>
        </w:rPr>
        <w:t xml:space="preserve"> </w:t>
      </w:r>
      <w:r w:rsidRPr="00C87C63">
        <w:rPr>
          <w:rFonts w:ascii="Arial" w:hAnsi="Arial" w:cs="Arial"/>
          <w:sz w:val="22"/>
          <w:szCs w:val="22"/>
          <w:lang w:val="en-US"/>
        </w:rPr>
        <w:t>(Subedi, Filho and Adedeji, 2023)</w:t>
      </w:r>
      <w:r w:rsidRPr="00040231">
        <w:rPr>
          <w:rFonts w:ascii="Arial" w:hAnsi="Arial" w:cs="Arial"/>
          <w:sz w:val="22"/>
          <w:szCs w:val="22"/>
        </w:rPr>
        <w:t>. For example, if Black men are unaware of their higher risk for prostate cancer or lack trust in healthcare providers, they may not see screening as necessary. Additionally, they might perceive barriers like discrimination or mistrust as more significant than the benefits, leading to lower participation in health-seeking behavio</w:t>
      </w:r>
      <w:r>
        <w:rPr>
          <w:rFonts w:ascii="Arial" w:hAnsi="Arial" w:cs="Arial"/>
          <w:sz w:val="22"/>
          <w:szCs w:val="22"/>
        </w:rPr>
        <w:t>u</w:t>
      </w:r>
      <w:r w:rsidRPr="00040231">
        <w:rPr>
          <w:rFonts w:ascii="Arial" w:hAnsi="Arial" w:cs="Arial"/>
          <w:sz w:val="22"/>
          <w:szCs w:val="22"/>
        </w:rPr>
        <w:t>rs. Low trust heightens perceived barriers, decreasing the likelihood of taking preventive action</w:t>
      </w:r>
      <w:r w:rsidRPr="4EC2E67D">
        <w:rPr>
          <w:rFonts w:ascii="-webkit-standard" w:eastAsiaTheme="minorEastAsia" w:hAnsi="-webkit-standard" w:cstheme="minorBidi"/>
          <w:color w:val="000000" w:themeColor="text1"/>
          <w:sz w:val="27"/>
          <w:szCs w:val="27"/>
          <w:lang w:val="en-US" w:eastAsia="ja-JP"/>
        </w:rPr>
        <w:t xml:space="preserve"> </w:t>
      </w:r>
      <w:r w:rsidRPr="006F58F4">
        <w:rPr>
          <w:rFonts w:ascii="Arial" w:hAnsi="Arial" w:cs="Arial"/>
          <w:sz w:val="22"/>
          <w:szCs w:val="22"/>
          <w:lang w:val="en-US"/>
        </w:rPr>
        <w:t>(</w:t>
      </w:r>
      <w:r w:rsidRPr="00C9195A">
        <w:rPr>
          <w:rFonts w:ascii="Arial" w:hAnsi="Arial" w:cs="Arial"/>
          <w:sz w:val="22"/>
          <w:szCs w:val="22"/>
        </w:rPr>
        <w:t>NICE, 2007</w:t>
      </w:r>
      <w:r>
        <w:rPr>
          <w:rFonts w:ascii="Arial" w:hAnsi="Arial" w:cs="Arial"/>
          <w:sz w:val="22"/>
          <w:szCs w:val="22"/>
        </w:rPr>
        <w:t xml:space="preserve">; </w:t>
      </w:r>
      <w:r w:rsidRPr="006F58F4">
        <w:rPr>
          <w:rFonts w:ascii="Arial" w:hAnsi="Arial" w:cs="Arial"/>
          <w:sz w:val="22"/>
          <w:szCs w:val="22"/>
          <w:lang w:val="en-US"/>
        </w:rPr>
        <w:t>Lau </w:t>
      </w:r>
      <w:r w:rsidRPr="006F58F4">
        <w:rPr>
          <w:rFonts w:ascii="Arial" w:hAnsi="Arial" w:cs="Arial"/>
          <w:i/>
          <w:iCs/>
          <w:sz w:val="22"/>
          <w:szCs w:val="22"/>
          <w:lang w:val="en-US"/>
        </w:rPr>
        <w:t>et al.</w:t>
      </w:r>
      <w:r w:rsidRPr="006F58F4">
        <w:rPr>
          <w:rFonts w:ascii="Arial" w:hAnsi="Arial" w:cs="Arial"/>
          <w:sz w:val="22"/>
          <w:szCs w:val="22"/>
          <w:lang w:val="en-US"/>
        </w:rPr>
        <w:t>, 2020)</w:t>
      </w:r>
      <w:r w:rsidRPr="00040231">
        <w:rPr>
          <w:rFonts w:ascii="Arial" w:hAnsi="Arial" w:cs="Arial"/>
          <w:sz w:val="22"/>
          <w:szCs w:val="22"/>
        </w:rPr>
        <w:t>.</w:t>
      </w:r>
    </w:p>
    <w:p w14:paraId="7199D9CD" w14:textId="38D4DB70" w:rsidR="00EA1B27" w:rsidRPr="00F15C3F" w:rsidRDefault="00EA1B27" w:rsidP="00EA1B27">
      <w:pPr>
        <w:pStyle w:val="NormalWeb"/>
        <w:spacing w:line="360" w:lineRule="auto"/>
        <w:jc w:val="both"/>
        <w:rPr>
          <w:rFonts w:ascii="Arial" w:hAnsi="Arial" w:cs="Arial"/>
          <w:sz w:val="22"/>
          <w:szCs w:val="22"/>
        </w:rPr>
      </w:pPr>
      <w:r>
        <w:rPr>
          <w:rFonts w:ascii="Arial" w:hAnsi="Arial" w:cs="Arial"/>
          <w:sz w:val="22"/>
          <w:szCs w:val="22"/>
        </w:rPr>
        <w:t xml:space="preserve">The Equality Act 2010 addresses health inequalities by providing a legal foundation for challenging systemic barriers and enforcing accountability. For instance, the Equality Act and the Public Sector Equality Duty (PSED) mandate focused efforts to reduce disparities, requiring the NHS to monitor, report, and respond to differences in health outcomes across ethnic groups </w:t>
      </w:r>
      <w:r w:rsidRPr="00E21E3F">
        <w:rPr>
          <w:rFonts w:ascii="Arial" w:hAnsi="Arial" w:cs="Arial"/>
          <w:sz w:val="22"/>
          <w:szCs w:val="22"/>
        </w:rPr>
        <w:t>(legislation.gov.uk, 2010</w:t>
      </w:r>
      <w:r>
        <w:rPr>
          <w:rFonts w:ascii="Arial" w:hAnsi="Arial" w:cs="Arial"/>
          <w:sz w:val="22"/>
          <w:szCs w:val="22"/>
        </w:rPr>
        <w:t xml:space="preserve">; </w:t>
      </w:r>
      <w:r w:rsidRPr="00327F69">
        <w:rPr>
          <w:rFonts w:ascii="Arial" w:hAnsi="Arial" w:cs="Arial"/>
          <w:sz w:val="22"/>
          <w:szCs w:val="22"/>
        </w:rPr>
        <w:t>UK Health Security Agency, 2025</w:t>
      </w:r>
      <w:r>
        <w:rPr>
          <w:rFonts w:ascii="Arial" w:hAnsi="Arial" w:cs="Arial"/>
          <w:sz w:val="22"/>
          <w:szCs w:val="22"/>
        </w:rPr>
        <w:t>a</w:t>
      </w:r>
      <w:r w:rsidRPr="00E21E3F">
        <w:rPr>
          <w:rFonts w:ascii="Arial" w:hAnsi="Arial" w:cs="Arial"/>
          <w:sz w:val="22"/>
          <w:szCs w:val="22"/>
        </w:rPr>
        <w:t>)</w:t>
      </w:r>
      <w:r>
        <w:rPr>
          <w:rFonts w:ascii="Arial" w:hAnsi="Arial" w:cs="Arial"/>
          <w:sz w:val="22"/>
          <w:szCs w:val="22"/>
        </w:rPr>
        <w:t xml:space="preserve">. The NHS Long Term Plan supports the development of targeted awareness and screening programs for Black communities at considerable risk. </w:t>
      </w:r>
      <w:r w:rsidR="00F3386D">
        <w:rPr>
          <w:rFonts w:ascii="Arial" w:hAnsi="Arial" w:cs="Arial"/>
          <w:sz w:val="22"/>
          <w:szCs w:val="22"/>
        </w:rPr>
        <w:t>Within</w:t>
      </w:r>
      <w:r>
        <w:rPr>
          <w:rFonts w:ascii="Arial" w:hAnsi="Arial" w:cs="Arial"/>
          <w:sz w:val="22"/>
          <w:szCs w:val="22"/>
        </w:rPr>
        <w:t xml:space="preserve"> national policy, there is a stronger incentive and</w:t>
      </w:r>
      <w:r w:rsidR="00F3386D">
        <w:rPr>
          <w:rFonts w:ascii="Arial" w:hAnsi="Arial" w:cs="Arial"/>
          <w:sz w:val="22"/>
          <w:szCs w:val="22"/>
        </w:rPr>
        <w:t>,</w:t>
      </w:r>
      <w:r>
        <w:rPr>
          <w:rFonts w:ascii="Arial" w:hAnsi="Arial" w:cs="Arial"/>
          <w:sz w:val="22"/>
          <w:szCs w:val="22"/>
        </w:rPr>
        <w:t xml:space="preserve"> </w:t>
      </w:r>
      <w:r w:rsidR="00F3386D">
        <w:rPr>
          <w:rFonts w:ascii="Arial" w:hAnsi="Arial" w:cs="Arial"/>
          <w:sz w:val="22"/>
          <w:szCs w:val="22"/>
        </w:rPr>
        <w:t>at times,</w:t>
      </w:r>
      <w:r>
        <w:rPr>
          <w:rFonts w:ascii="Arial" w:hAnsi="Arial" w:cs="Arial"/>
          <w:sz w:val="22"/>
          <w:szCs w:val="22"/>
        </w:rPr>
        <w:t xml:space="preserve"> funding for local NHS trusts to conduct outreach and educational campaigns </w:t>
      </w:r>
      <w:r w:rsidRPr="00F15C3F">
        <w:rPr>
          <w:rFonts w:ascii="Arial" w:hAnsi="Arial" w:cs="Arial"/>
          <w:sz w:val="22"/>
          <w:szCs w:val="22"/>
        </w:rPr>
        <w:t>(NHS England, 2025</w:t>
      </w:r>
      <w:r>
        <w:rPr>
          <w:rFonts w:ascii="Arial" w:hAnsi="Arial" w:cs="Arial"/>
          <w:sz w:val="22"/>
          <w:szCs w:val="22"/>
        </w:rPr>
        <w:t>;</w:t>
      </w:r>
      <w:r w:rsidRPr="1254DAA7">
        <w:rPr>
          <w:rFonts w:eastAsiaTheme="minorEastAsia"/>
          <w:kern w:val="2"/>
          <w:lang w:eastAsia="en-US"/>
          <w14:ligatures w14:val="standardContextual"/>
        </w:rPr>
        <w:t xml:space="preserve"> </w:t>
      </w:r>
      <w:r w:rsidRPr="0057650C">
        <w:rPr>
          <w:rFonts w:ascii="Arial" w:hAnsi="Arial" w:cs="Arial"/>
          <w:sz w:val="22"/>
          <w:szCs w:val="22"/>
        </w:rPr>
        <w:t>The King's Fund, 2025</w:t>
      </w:r>
      <w:r w:rsidRPr="00F15C3F">
        <w:rPr>
          <w:rFonts w:ascii="Arial" w:hAnsi="Arial" w:cs="Arial"/>
          <w:sz w:val="22"/>
          <w:szCs w:val="22"/>
        </w:rPr>
        <w:t>)</w:t>
      </w:r>
      <w:r>
        <w:rPr>
          <w:rFonts w:ascii="Arial" w:hAnsi="Arial" w:cs="Arial"/>
          <w:sz w:val="22"/>
          <w:szCs w:val="22"/>
        </w:rPr>
        <w:t xml:space="preserve">. </w:t>
      </w:r>
      <w:r w:rsidRPr="0085584E">
        <w:rPr>
          <w:rFonts w:ascii="Arial" w:hAnsi="Arial" w:cs="Arial"/>
          <w:b/>
          <w:bCs/>
          <w:color w:val="000000" w:themeColor="text1"/>
        </w:rPr>
        <w:t xml:space="preserve">      </w:t>
      </w:r>
    </w:p>
    <w:p w14:paraId="36458DAD" w14:textId="77777777" w:rsidR="00EA1B27" w:rsidRDefault="00EA1B27"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rPr>
          <w:rFonts w:ascii="Arial" w:hAnsi="Arial" w:cs="Arial"/>
          <w:color w:val="151515"/>
          <w:position w:val="6"/>
          <w:sz w:val="22"/>
          <w:szCs w:val="22"/>
        </w:rPr>
      </w:pPr>
      <w:r w:rsidRPr="007A42CC">
        <w:rPr>
          <w:rFonts w:ascii="Arial" w:hAnsi="Arial" w:cs="Arial"/>
          <w:b/>
          <w:bCs/>
          <w:color w:val="000000" w:themeColor="text1"/>
          <w:sz w:val="22"/>
          <w:szCs w:val="22"/>
        </w:rPr>
        <w:t xml:space="preserve">                                 Implications</w:t>
      </w:r>
      <w:r w:rsidRPr="007A42CC">
        <w:rPr>
          <w:rFonts w:ascii="Arial" w:hAnsi="Arial" w:cs="Arial"/>
          <w:color w:val="151515"/>
          <w:position w:val="6"/>
          <w:sz w:val="22"/>
          <w:szCs w:val="22"/>
        </w:rPr>
        <w:t xml:space="preserve"> </w:t>
      </w:r>
    </w:p>
    <w:p w14:paraId="2558F799" w14:textId="77777777" w:rsidR="00EA1B27" w:rsidRPr="009442AD" w:rsidRDefault="00EA1B27"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rPr>
          <w:rFonts w:ascii="Arial" w:hAnsi="Arial" w:cs="Arial"/>
          <w:color w:val="151515"/>
          <w:position w:val="6"/>
          <w:sz w:val="22"/>
          <w:szCs w:val="22"/>
        </w:rPr>
      </w:pPr>
      <w:r w:rsidRPr="001214E7">
        <w:rPr>
          <w:rFonts w:ascii="Arial" w:hAnsi="Arial" w:cs="Arial"/>
          <w:b/>
          <w:bCs/>
          <w:color w:val="151515"/>
          <w:position w:val="6"/>
          <w:sz w:val="22"/>
          <w:szCs w:val="22"/>
        </w:rPr>
        <w:t>Positive Impacts</w:t>
      </w:r>
    </w:p>
    <w:p w14:paraId="611F6293" w14:textId="77777777" w:rsidR="00EA1B27" w:rsidRDefault="00EA1B27"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color w:val="151515"/>
          <w:position w:val="6"/>
          <w:sz w:val="22"/>
          <w:szCs w:val="22"/>
        </w:rPr>
      </w:pPr>
      <w:r w:rsidRPr="0017106A">
        <w:rPr>
          <w:rFonts w:ascii="Arial" w:hAnsi="Arial" w:cs="Arial"/>
          <w:color w:val="151515"/>
          <w:position w:val="6"/>
          <w:sz w:val="22"/>
          <w:szCs w:val="22"/>
        </w:rPr>
        <w:t>Recognising trust as a fundamental issue helps in designing culturally sensitive interventions. Understanding how mistrust influences screening behaviours and healthcare engagement enables policies and outreach efforts to address specific fears and concerns within Black communities</w:t>
      </w:r>
      <w:r>
        <w:rPr>
          <w:rFonts w:ascii="Arial" w:hAnsi="Arial" w:cs="Arial"/>
          <w:color w:val="151515"/>
          <w:position w:val="6"/>
          <w:sz w:val="22"/>
          <w:szCs w:val="22"/>
        </w:rPr>
        <w:t>.</w:t>
      </w:r>
      <w:r w:rsidRPr="0017106A">
        <w:rPr>
          <w:rFonts w:ascii="Arial" w:hAnsi="Arial" w:cs="Arial"/>
          <w:color w:val="151515"/>
          <w:position w:val="6"/>
          <w:sz w:val="22"/>
          <w:szCs w:val="22"/>
        </w:rPr>
        <w:t xml:space="preserve"> </w:t>
      </w:r>
      <w:r>
        <w:rPr>
          <w:rFonts w:ascii="Arial" w:hAnsi="Arial" w:cs="Arial"/>
          <w:color w:val="151515"/>
          <w:position w:val="6"/>
          <w:sz w:val="22"/>
          <w:szCs w:val="22"/>
        </w:rPr>
        <w:t>T</w:t>
      </w:r>
      <w:r w:rsidRPr="0017106A">
        <w:rPr>
          <w:rFonts w:ascii="Arial" w:hAnsi="Arial" w:cs="Arial"/>
          <w:color w:val="151515"/>
          <w:position w:val="6"/>
          <w:sz w:val="22"/>
          <w:szCs w:val="22"/>
        </w:rPr>
        <w:t>rust encourages healthcare organisations to invest in staff training, better communication, and increased transparency</w:t>
      </w:r>
      <w:r w:rsidRPr="00EB050B">
        <w:rPr>
          <w:rFonts w:ascii="Arial" w:hAnsi="Arial" w:cs="Arial"/>
          <w:color w:val="151515"/>
          <w:position w:val="6"/>
          <w:sz w:val="22"/>
          <w:szCs w:val="22"/>
        </w:rPr>
        <w:t xml:space="preserve"> (WHO, no</w:t>
      </w:r>
      <w:r>
        <w:rPr>
          <w:rFonts w:ascii="Arial" w:hAnsi="Arial" w:cs="Arial"/>
          <w:color w:val="151515"/>
          <w:position w:val="6"/>
          <w:sz w:val="22"/>
          <w:szCs w:val="22"/>
        </w:rPr>
        <w:t xml:space="preserve"> </w:t>
      </w:r>
      <w:r w:rsidRPr="00EB050B">
        <w:rPr>
          <w:rFonts w:ascii="Arial" w:hAnsi="Arial" w:cs="Arial"/>
          <w:color w:val="151515"/>
          <w:position w:val="6"/>
          <w:sz w:val="22"/>
          <w:szCs w:val="22"/>
        </w:rPr>
        <w:t>date)</w:t>
      </w:r>
      <w:r w:rsidRPr="0017106A">
        <w:rPr>
          <w:rFonts w:ascii="Arial" w:hAnsi="Arial" w:cs="Arial"/>
          <w:color w:val="151515"/>
          <w:position w:val="6"/>
          <w:sz w:val="22"/>
          <w:szCs w:val="22"/>
        </w:rPr>
        <w:t>.</w:t>
      </w:r>
      <w:r>
        <w:rPr>
          <w:rFonts w:ascii="Arial" w:hAnsi="Arial" w:cs="Arial"/>
          <w:color w:val="151515"/>
          <w:position w:val="6"/>
          <w:sz w:val="22"/>
          <w:szCs w:val="22"/>
        </w:rPr>
        <w:t xml:space="preserve"> </w:t>
      </w:r>
      <w:r w:rsidRPr="0017106A">
        <w:rPr>
          <w:rFonts w:ascii="Arial" w:hAnsi="Arial" w:cs="Arial"/>
          <w:color w:val="151515"/>
          <w:position w:val="6"/>
          <w:sz w:val="22"/>
          <w:szCs w:val="22"/>
        </w:rPr>
        <w:t>This fosters stronger relationships between patients and providers, making Black men more likely to participate in early detection programs and follow prescribed treatments.</w:t>
      </w:r>
      <w:r>
        <w:rPr>
          <w:rFonts w:ascii="Arial" w:hAnsi="Arial" w:cs="Arial"/>
          <w:color w:val="151515"/>
          <w:position w:val="6"/>
          <w:sz w:val="22"/>
          <w:szCs w:val="22"/>
        </w:rPr>
        <w:t xml:space="preserve"> </w:t>
      </w:r>
      <w:r w:rsidRPr="0017106A">
        <w:rPr>
          <w:rFonts w:ascii="Arial" w:hAnsi="Arial" w:cs="Arial"/>
          <w:color w:val="151515"/>
          <w:position w:val="6"/>
          <w:sz w:val="22"/>
          <w:szCs w:val="22"/>
        </w:rPr>
        <w:t xml:space="preserve">Recognising the role of trust supports the adoption of national policies, such as those under the Equality Act 2010, that </w:t>
      </w:r>
      <w:r>
        <w:rPr>
          <w:rFonts w:ascii="Arial" w:hAnsi="Arial" w:cs="Arial"/>
          <w:color w:val="151515"/>
          <w:position w:val="6"/>
          <w:sz w:val="22"/>
          <w:szCs w:val="22"/>
        </w:rPr>
        <w:t>aim to address</w:t>
      </w:r>
      <w:r w:rsidRPr="0017106A">
        <w:rPr>
          <w:rFonts w:ascii="Arial" w:hAnsi="Arial" w:cs="Arial"/>
          <w:color w:val="151515"/>
          <w:position w:val="6"/>
          <w:sz w:val="22"/>
          <w:szCs w:val="22"/>
        </w:rPr>
        <w:t xml:space="preserve"> health disparities. Evidence-based strategies ensure ongoing monitoring and accountability</w:t>
      </w:r>
      <w:r>
        <w:rPr>
          <w:rFonts w:ascii="Arial" w:hAnsi="Arial" w:cs="Arial"/>
          <w:color w:val="151515"/>
          <w:position w:val="6"/>
          <w:sz w:val="22"/>
          <w:szCs w:val="22"/>
        </w:rPr>
        <w:t xml:space="preserve"> </w:t>
      </w:r>
      <w:r w:rsidRPr="0013718C">
        <w:rPr>
          <w:rFonts w:ascii="Arial" w:hAnsi="Arial" w:cs="Arial"/>
          <w:color w:val="151515"/>
          <w:position w:val="6"/>
          <w:sz w:val="22"/>
          <w:szCs w:val="22"/>
        </w:rPr>
        <w:t>(GOV.UK, 2022</w:t>
      </w:r>
      <w:r>
        <w:rPr>
          <w:rFonts w:ascii="Arial" w:hAnsi="Arial" w:cs="Arial"/>
          <w:color w:val="151515"/>
          <w:position w:val="6"/>
          <w:sz w:val="22"/>
          <w:szCs w:val="22"/>
        </w:rPr>
        <w:t xml:space="preserve">; </w:t>
      </w:r>
      <w:r w:rsidRPr="00233471">
        <w:rPr>
          <w:rFonts w:ascii="Arial" w:hAnsi="Arial" w:cs="Arial"/>
          <w:color w:val="151515"/>
          <w:position w:val="6"/>
          <w:sz w:val="22"/>
          <w:szCs w:val="22"/>
        </w:rPr>
        <w:t>Mulugeta </w:t>
      </w:r>
      <w:r w:rsidRPr="00233471">
        <w:rPr>
          <w:rFonts w:ascii="Arial" w:hAnsi="Arial" w:cs="Arial"/>
          <w:i/>
          <w:iCs/>
          <w:color w:val="151515"/>
          <w:position w:val="6"/>
          <w:sz w:val="22"/>
          <w:szCs w:val="22"/>
        </w:rPr>
        <w:t>et al.</w:t>
      </w:r>
      <w:r w:rsidRPr="00233471">
        <w:rPr>
          <w:rFonts w:ascii="Arial" w:hAnsi="Arial" w:cs="Arial"/>
          <w:color w:val="151515"/>
          <w:position w:val="6"/>
          <w:sz w:val="22"/>
          <w:szCs w:val="22"/>
        </w:rPr>
        <w:t>, 2017</w:t>
      </w:r>
      <w:r w:rsidRPr="0013718C">
        <w:rPr>
          <w:rFonts w:ascii="Arial" w:hAnsi="Arial" w:cs="Arial"/>
          <w:color w:val="151515"/>
          <w:position w:val="6"/>
          <w:sz w:val="22"/>
          <w:szCs w:val="22"/>
        </w:rPr>
        <w:t>)</w:t>
      </w:r>
      <w:r w:rsidRPr="0017106A">
        <w:rPr>
          <w:rFonts w:ascii="Arial" w:hAnsi="Arial" w:cs="Arial"/>
          <w:color w:val="151515"/>
          <w:position w:val="6"/>
          <w:sz w:val="22"/>
          <w:szCs w:val="22"/>
        </w:rPr>
        <w:t>.</w:t>
      </w:r>
    </w:p>
    <w:p w14:paraId="61DB69DE" w14:textId="77777777" w:rsidR="0083196A" w:rsidRPr="009442AD" w:rsidRDefault="0083196A"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b/>
          <w:bCs/>
          <w:sz w:val="22"/>
          <w:szCs w:val="22"/>
        </w:rPr>
      </w:pPr>
    </w:p>
    <w:p w14:paraId="0C1591E0" w14:textId="77777777" w:rsidR="00EA1B27" w:rsidRDefault="00EA1B27"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151515"/>
          <w:position w:val="6"/>
          <w:sz w:val="22"/>
          <w:szCs w:val="22"/>
        </w:rPr>
      </w:pPr>
      <w:r>
        <w:rPr>
          <w:rFonts w:ascii="Arial" w:hAnsi="Arial" w:cs="Arial"/>
          <w:b/>
          <w:bCs/>
          <w:color w:val="151515"/>
          <w:position w:val="6"/>
          <w:sz w:val="22"/>
          <w:szCs w:val="22"/>
        </w:rPr>
        <w:lastRenderedPageBreak/>
        <w:t xml:space="preserve"> </w:t>
      </w:r>
      <w:r w:rsidRPr="001214E7">
        <w:rPr>
          <w:rFonts w:ascii="Arial" w:hAnsi="Arial" w:cs="Arial"/>
          <w:b/>
          <w:bCs/>
          <w:color w:val="151515"/>
          <w:position w:val="6"/>
          <w:sz w:val="22"/>
          <w:szCs w:val="22"/>
        </w:rPr>
        <w:t>Negative Impacts</w:t>
      </w:r>
    </w:p>
    <w:p w14:paraId="283C281E" w14:textId="77777777" w:rsidR="0083196A" w:rsidRPr="001214E7" w:rsidRDefault="0083196A"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2"/>
          <w:szCs w:val="22"/>
        </w:rPr>
      </w:pPr>
    </w:p>
    <w:p w14:paraId="3289E424" w14:textId="77777777" w:rsidR="00EA1B27" w:rsidRPr="00B35FF2" w:rsidRDefault="00EA1B27"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151515"/>
          <w:position w:val="6"/>
          <w:sz w:val="22"/>
          <w:szCs w:val="22"/>
        </w:rPr>
      </w:pPr>
      <w:r w:rsidRPr="00896C32">
        <w:rPr>
          <w:rFonts w:ascii="Arial" w:hAnsi="Arial" w:cs="Arial"/>
          <w:color w:val="151515"/>
          <w:position w:val="6"/>
          <w:sz w:val="22"/>
          <w:szCs w:val="22"/>
        </w:rPr>
        <w:t>If issues of trust are inadequately acknowledged or addressed by healthcare providers and policymakers, mistrust can deter Black men from seeking preventive care. This leads to late diagnoses and poorer health outcomes, perpetuating existing inequalities</w:t>
      </w:r>
      <w:r w:rsidRPr="006E0B40">
        <w:rPr>
          <w:rFonts w:ascii="-webkit-standard" w:hAnsi="-webkit-standard"/>
          <w:color w:val="000000"/>
          <w:sz w:val="27"/>
          <w:szCs w:val="27"/>
        </w:rPr>
        <w:t xml:space="preserve"> </w:t>
      </w:r>
      <w:r w:rsidRPr="006E0B40">
        <w:rPr>
          <w:rFonts w:ascii="Arial" w:hAnsi="Arial" w:cs="Arial"/>
          <w:color w:val="151515"/>
          <w:position w:val="6"/>
          <w:sz w:val="22"/>
          <w:szCs w:val="22"/>
        </w:rPr>
        <w:t>(Powell </w:t>
      </w:r>
      <w:r w:rsidRPr="006E0B40">
        <w:rPr>
          <w:rFonts w:ascii="Arial" w:hAnsi="Arial" w:cs="Arial"/>
          <w:i/>
          <w:iCs/>
          <w:color w:val="151515"/>
          <w:position w:val="6"/>
          <w:sz w:val="22"/>
          <w:szCs w:val="22"/>
        </w:rPr>
        <w:t>et al.</w:t>
      </w:r>
      <w:r w:rsidRPr="006E0B40">
        <w:rPr>
          <w:rFonts w:ascii="Arial" w:hAnsi="Arial" w:cs="Arial"/>
          <w:color w:val="151515"/>
          <w:position w:val="6"/>
          <w:sz w:val="22"/>
          <w:szCs w:val="22"/>
        </w:rPr>
        <w:t xml:space="preserve">, </w:t>
      </w:r>
      <w:bookmarkStart w:id="5" w:name="_Int_zqV22gGT"/>
      <w:r w:rsidRPr="006E0B40">
        <w:rPr>
          <w:rFonts w:ascii="Arial" w:hAnsi="Arial" w:cs="Arial"/>
          <w:color w:val="151515"/>
          <w:position w:val="6"/>
          <w:sz w:val="22"/>
          <w:szCs w:val="22"/>
        </w:rPr>
        <w:t>2019b</w:t>
      </w:r>
      <w:bookmarkEnd w:id="5"/>
      <w:r w:rsidRPr="006E0B40">
        <w:rPr>
          <w:rFonts w:ascii="Arial" w:hAnsi="Arial" w:cs="Arial"/>
          <w:color w:val="151515"/>
          <w:position w:val="6"/>
          <w:sz w:val="22"/>
          <w:szCs w:val="22"/>
        </w:rPr>
        <w:t>)</w:t>
      </w:r>
      <w:r w:rsidRPr="00896C32">
        <w:rPr>
          <w:rFonts w:ascii="Arial" w:hAnsi="Arial" w:cs="Arial"/>
          <w:color w:val="151515"/>
          <w:position w:val="6"/>
          <w:sz w:val="22"/>
          <w:szCs w:val="22"/>
        </w:rPr>
        <w:t>.</w:t>
      </w:r>
      <w:r>
        <w:rPr>
          <w:rFonts w:ascii="Arial" w:hAnsi="Arial" w:cs="Arial"/>
          <w:color w:val="151515"/>
          <w:position w:val="6"/>
          <w:sz w:val="22"/>
          <w:szCs w:val="22"/>
        </w:rPr>
        <w:t xml:space="preserve"> </w:t>
      </w:r>
      <w:r w:rsidRPr="00896C32">
        <w:rPr>
          <w:rFonts w:ascii="Arial" w:hAnsi="Arial" w:cs="Arial"/>
          <w:color w:val="151515"/>
          <w:position w:val="6"/>
          <w:sz w:val="22"/>
          <w:szCs w:val="22"/>
        </w:rPr>
        <w:t>Initiatives such as patient feedback surveys may be seen as token gestures if patient concerns are not visibly addressed. This can increase mistrust and disengagement within Black communities.</w:t>
      </w:r>
      <w:r w:rsidRPr="00B94456">
        <w:t xml:space="preserve"> </w:t>
      </w:r>
      <w:r w:rsidRPr="00B94456">
        <w:rPr>
          <w:rFonts w:ascii="Arial" w:hAnsi="Arial" w:cs="Arial"/>
          <w:color w:val="151515"/>
          <w:position w:val="6"/>
          <w:sz w:val="22"/>
          <w:szCs w:val="22"/>
        </w:rPr>
        <w:t>Financial, institutional, or cultural barriers can hinder efforts to build trust. NHS resources may be limited, and without sustained commitment, interventions might fall short or fail to reach those at most significant risk</w:t>
      </w:r>
      <w:r w:rsidRPr="00E5503D">
        <w:rPr>
          <w:rFonts w:ascii="-webkit-standard" w:hAnsi="-webkit-standard"/>
          <w:color w:val="000000"/>
          <w:sz w:val="27"/>
          <w:szCs w:val="27"/>
        </w:rPr>
        <w:t xml:space="preserve"> </w:t>
      </w:r>
      <w:r w:rsidRPr="00E5503D">
        <w:rPr>
          <w:rFonts w:ascii="Arial" w:hAnsi="Arial" w:cs="Arial"/>
          <w:color w:val="151515"/>
          <w:position w:val="6"/>
          <w:sz w:val="22"/>
          <w:szCs w:val="22"/>
        </w:rPr>
        <w:t>(Shukla, Schilt-</w:t>
      </w:r>
      <w:bookmarkStart w:id="6" w:name="_Int_Z7yc6hxf"/>
      <w:r w:rsidRPr="00E5503D">
        <w:rPr>
          <w:rFonts w:ascii="Arial" w:hAnsi="Arial" w:cs="Arial"/>
          <w:color w:val="151515"/>
          <w:position w:val="6"/>
          <w:sz w:val="22"/>
          <w:szCs w:val="22"/>
        </w:rPr>
        <w:t>Solberg</w:t>
      </w:r>
      <w:bookmarkEnd w:id="6"/>
      <w:r w:rsidRPr="00E5503D">
        <w:rPr>
          <w:rFonts w:ascii="Arial" w:hAnsi="Arial" w:cs="Arial"/>
          <w:color w:val="151515"/>
          <w:position w:val="6"/>
          <w:sz w:val="22"/>
          <w:szCs w:val="22"/>
        </w:rPr>
        <w:t xml:space="preserve"> and Gibson-Scipio, 2025)</w:t>
      </w:r>
      <w:r>
        <w:rPr>
          <w:rFonts w:ascii="Arial" w:hAnsi="Arial" w:cs="Arial"/>
          <w:color w:val="151515"/>
          <w:position w:val="6"/>
          <w:sz w:val="22"/>
          <w:szCs w:val="22"/>
        </w:rPr>
        <w:t>.</w:t>
      </w:r>
    </w:p>
    <w:p w14:paraId="6F020188" w14:textId="77777777" w:rsidR="00EA1B27" w:rsidRDefault="00EA1B27" w:rsidP="00EA1B27">
      <w:pPr>
        <w:spacing w:line="360" w:lineRule="auto"/>
        <w:jc w:val="both"/>
        <w:rPr>
          <w:rFonts w:ascii="Arial" w:hAnsi="Arial" w:cs="Arial"/>
          <w:b/>
          <w:bCs/>
          <w:sz w:val="22"/>
          <w:szCs w:val="22"/>
        </w:rPr>
      </w:pPr>
      <w:r>
        <w:rPr>
          <w:rFonts w:ascii="Arial" w:hAnsi="Arial" w:cs="Arial"/>
          <w:b/>
          <w:bCs/>
          <w:sz w:val="22"/>
          <w:szCs w:val="22"/>
        </w:rPr>
        <w:t xml:space="preserve">            </w:t>
      </w:r>
      <w:r w:rsidRPr="000930B0">
        <w:rPr>
          <w:rFonts w:ascii="Arial" w:hAnsi="Arial" w:cs="Arial"/>
          <w:b/>
          <w:bCs/>
          <w:sz w:val="22"/>
          <w:szCs w:val="22"/>
        </w:rPr>
        <w:t>Trust and Healthcare Experience</w:t>
      </w:r>
    </w:p>
    <w:tbl>
      <w:tblPr>
        <w:tblW w:w="11057" w:type="dxa"/>
        <w:tblInd w:w="-1144" w:type="dxa"/>
        <w:tblCellMar>
          <w:left w:w="0" w:type="dxa"/>
          <w:right w:w="0" w:type="dxa"/>
        </w:tblCellMar>
        <w:tblLook w:val="0600" w:firstRow="0" w:lastRow="0" w:firstColumn="0" w:lastColumn="0" w:noHBand="1" w:noVBand="1"/>
      </w:tblPr>
      <w:tblGrid>
        <w:gridCol w:w="3475"/>
        <w:gridCol w:w="7582"/>
      </w:tblGrid>
      <w:tr w:rsidR="00EA1B27" w:rsidRPr="00FB22BB" w14:paraId="3E8D42E4" w14:textId="77777777" w:rsidTr="00A120D3">
        <w:trPr>
          <w:trHeight w:val="372"/>
        </w:trPr>
        <w:tc>
          <w:tcPr>
            <w:tcW w:w="34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E9AC8"/>
            <w:tcMar>
              <w:top w:w="72" w:type="dxa"/>
              <w:left w:w="144" w:type="dxa"/>
              <w:bottom w:w="72" w:type="dxa"/>
              <w:right w:w="144" w:type="dxa"/>
            </w:tcMar>
            <w:vAlign w:val="center"/>
            <w:hideMark/>
          </w:tcPr>
          <w:p w14:paraId="3B01B10C" w14:textId="77777777" w:rsidR="00EA1B27" w:rsidRPr="00FB22BB" w:rsidRDefault="00EA1B27" w:rsidP="008B0865">
            <w:bookmarkStart w:id="7" w:name="OLE_LINK42"/>
            <w:r>
              <w:t xml:space="preserve">Finding </w:t>
            </w:r>
          </w:p>
        </w:tc>
        <w:tc>
          <w:tcPr>
            <w:tcW w:w="75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E9AC8"/>
            <w:tcMar>
              <w:top w:w="72" w:type="dxa"/>
              <w:left w:w="144" w:type="dxa"/>
              <w:bottom w:w="72" w:type="dxa"/>
              <w:right w:w="144" w:type="dxa"/>
            </w:tcMar>
            <w:vAlign w:val="center"/>
            <w:hideMark/>
          </w:tcPr>
          <w:p w14:paraId="4AF1EFE7" w14:textId="77777777" w:rsidR="00EA1B27" w:rsidRPr="00FB22BB" w:rsidRDefault="00EA1B27" w:rsidP="008B0865">
            <w:r>
              <w:t xml:space="preserve">Discussions </w:t>
            </w:r>
          </w:p>
        </w:tc>
      </w:tr>
      <w:tr w:rsidR="00EA1B27" w:rsidRPr="00FB22BB" w14:paraId="07A424FA" w14:textId="77777777" w:rsidTr="00A120D3">
        <w:trPr>
          <w:trHeight w:val="3131"/>
        </w:trPr>
        <w:tc>
          <w:tcPr>
            <w:tcW w:w="3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vAlign w:val="center"/>
            <w:hideMark/>
          </w:tcPr>
          <w:p w14:paraId="4C4BF3BA" w14:textId="77777777" w:rsidR="00EA1B27" w:rsidRPr="0082595F" w:rsidRDefault="00EA1B27" w:rsidP="00EA1B27">
            <w:pPr>
              <w:pStyle w:val="ListParagraph"/>
              <w:numPr>
                <w:ilvl w:val="0"/>
                <w:numId w:val="4"/>
              </w:numPr>
              <w:spacing w:line="360" w:lineRule="auto"/>
              <w:rPr>
                <w:rFonts w:ascii="Arial" w:hAnsi="Arial" w:cs="Arial"/>
                <w:color w:val="000000" w:themeColor="text1"/>
                <w:sz w:val="21"/>
                <w:szCs w:val="21"/>
              </w:rPr>
            </w:pPr>
            <w:r w:rsidRPr="0082595F">
              <w:rPr>
                <w:rFonts w:ascii="Arial" w:hAnsi="Arial" w:cs="Arial"/>
                <w:color w:val="000000" w:themeColor="text1"/>
                <w:sz w:val="21"/>
                <w:szCs w:val="21"/>
              </w:rPr>
              <w:t xml:space="preserve">Jong </w:t>
            </w:r>
            <w:r w:rsidRPr="0082595F">
              <w:rPr>
                <w:rFonts w:ascii="Arial" w:hAnsi="Arial" w:cs="Arial"/>
                <w:i/>
                <w:iCs/>
                <w:color w:val="000000" w:themeColor="text1"/>
                <w:sz w:val="21"/>
                <w:szCs w:val="21"/>
              </w:rPr>
              <w:t>et al.</w:t>
            </w:r>
            <w:r w:rsidRPr="0082595F">
              <w:rPr>
                <w:rFonts w:ascii="Arial" w:hAnsi="Arial" w:cs="Arial"/>
                <w:color w:val="000000" w:themeColor="text1"/>
                <w:sz w:val="21"/>
                <w:szCs w:val="21"/>
              </w:rPr>
              <w:t xml:space="preserve"> (2025):</w:t>
            </w:r>
            <w:r w:rsidRPr="0082595F">
              <w:rPr>
                <w:rFonts w:ascii="Arial" w:hAnsi="Arial" w:cs="Arial"/>
                <w:color w:val="92D050"/>
                <w:sz w:val="21"/>
                <w:szCs w:val="21"/>
              </w:rPr>
              <w:t xml:space="preserve"> </w:t>
            </w:r>
            <w:r w:rsidRPr="0082595F">
              <w:rPr>
                <w:rFonts w:ascii="Arial" w:hAnsi="Arial" w:cs="Arial"/>
                <w:color w:val="000000" w:themeColor="text1"/>
                <w:sz w:val="21"/>
                <w:szCs w:val="21"/>
              </w:rPr>
              <w:t>Lack of trust in healthcare providers. Past negative healthcare experiences. Experiences of racism in healthcare.</w:t>
            </w:r>
          </w:p>
          <w:p w14:paraId="18D20AAD" w14:textId="77777777" w:rsidR="00EA1B27" w:rsidRPr="0082595F" w:rsidRDefault="00EA1B27" w:rsidP="00EA1B27">
            <w:pPr>
              <w:pStyle w:val="ListParagraph"/>
              <w:numPr>
                <w:ilvl w:val="0"/>
                <w:numId w:val="4"/>
              </w:numPr>
              <w:spacing w:line="360" w:lineRule="auto"/>
              <w:rPr>
                <w:rFonts w:ascii="Arial" w:hAnsi="Arial" w:cs="Arial"/>
                <w:color w:val="000000" w:themeColor="text1"/>
                <w:sz w:val="21"/>
                <w:szCs w:val="21"/>
              </w:rPr>
            </w:pPr>
            <w:r w:rsidRPr="0082595F">
              <w:rPr>
                <w:rFonts w:ascii="Arial" w:hAnsi="Arial" w:cs="Arial"/>
                <w:color w:val="000000" w:themeColor="text1"/>
                <w:sz w:val="21"/>
                <w:szCs w:val="21"/>
              </w:rPr>
              <w:t xml:space="preserve">Rose </w:t>
            </w:r>
            <w:r w:rsidRPr="0082595F">
              <w:rPr>
                <w:rFonts w:ascii="Arial" w:hAnsi="Arial" w:cs="Arial"/>
                <w:i/>
                <w:iCs/>
                <w:color w:val="000000" w:themeColor="text1"/>
                <w:sz w:val="21"/>
                <w:szCs w:val="21"/>
              </w:rPr>
              <w:t>et al.</w:t>
            </w:r>
            <w:r w:rsidRPr="0082595F">
              <w:rPr>
                <w:rFonts w:ascii="Arial" w:hAnsi="Arial" w:cs="Arial"/>
                <w:color w:val="000000" w:themeColor="text1"/>
                <w:sz w:val="21"/>
                <w:szCs w:val="21"/>
              </w:rPr>
              <w:t xml:space="preserve"> (2025): Historical and ongoing issues regarding trust in healthcare systems, experiences of poor   communication, and inconsistent or inadequate information provided by healthcare professionals.</w:t>
            </w:r>
          </w:p>
          <w:p w14:paraId="4CF05C19" w14:textId="77777777" w:rsidR="00EA1B27" w:rsidRPr="00FB22BB" w:rsidRDefault="00EA1B27" w:rsidP="00EA1B27">
            <w:pPr>
              <w:pStyle w:val="ListParagraph"/>
              <w:numPr>
                <w:ilvl w:val="0"/>
                <w:numId w:val="4"/>
              </w:numPr>
              <w:spacing w:line="360" w:lineRule="auto"/>
            </w:pPr>
            <w:r w:rsidRPr="0082595F">
              <w:rPr>
                <w:rFonts w:ascii="Arial" w:hAnsi="Arial" w:cs="Arial"/>
                <w:color w:val="000000" w:themeColor="text1"/>
                <w:sz w:val="21"/>
                <w:szCs w:val="21"/>
              </w:rPr>
              <w:t xml:space="preserve">Haider </w:t>
            </w:r>
            <w:r w:rsidRPr="0082595F">
              <w:rPr>
                <w:rFonts w:ascii="Arial" w:hAnsi="Arial" w:cs="Arial"/>
                <w:i/>
                <w:iCs/>
                <w:color w:val="000000" w:themeColor="text1"/>
                <w:sz w:val="21"/>
                <w:szCs w:val="21"/>
              </w:rPr>
              <w:t>et al.</w:t>
            </w:r>
            <w:r w:rsidRPr="0082595F">
              <w:rPr>
                <w:rFonts w:ascii="Arial" w:hAnsi="Arial" w:cs="Arial"/>
                <w:color w:val="000000" w:themeColor="text1"/>
                <w:sz w:val="21"/>
                <w:szCs w:val="21"/>
              </w:rPr>
              <w:t xml:space="preserve"> (2025): GPs are often discouraged from proactively raising PSA testing, especially in asymptomatic men, which may be </w:t>
            </w:r>
            <w:bookmarkStart w:id="8" w:name="OLE_LINK33"/>
            <w:r w:rsidRPr="0082595F">
              <w:rPr>
                <w:rFonts w:ascii="Arial" w:hAnsi="Arial" w:cs="Arial"/>
                <w:color w:val="000000" w:themeColor="text1"/>
                <w:sz w:val="21"/>
                <w:szCs w:val="21"/>
              </w:rPr>
              <w:t>detrimental for high-risk groups like Black men</w:t>
            </w:r>
            <w:bookmarkEnd w:id="8"/>
            <w:r w:rsidRPr="0082595F">
              <w:rPr>
                <w:rFonts w:ascii="Arial" w:hAnsi="Arial" w:cs="Arial"/>
                <w:color w:val="000000" w:themeColor="text1"/>
                <w:sz w:val="21"/>
                <w:szCs w:val="21"/>
              </w:rPr>
              <w:t>.</w:t>
            </w:r>
          </w:p>
        </w:tc>
        <w:tc>
          <w:tcPr>
            <w:tcW w:w="758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vAlign w:val="center"/>
            <w:hideMark/>
          </w:tcPr>
          <w:p w14:paraId="3C0A0F56" w14:textId="77777777" w:rsidR="00EA1B27" w:rsidRPr="00B35FF2" w:rsidRDefault="00EA1B27" w:rsidP="008B0865">
            <w:pPr>
              <w:spacing w:line="360" w:lineRule="auto"/>
              <w:jc w:val="both"/>
              <w:rPr>
                <w:rFonts w:ascii="Arial" w:hAnsi="Arial" w:cs="Arial"/>
                <w:sz w:val="22"/>
                <w:szCs w:val="22"/>
              </w:rPr>
            </w:pPr>
            <w:r w:rsidRPr="00B66041">
              <w:rPr>
                <w:rFonts w:ascii="Arial" w:hAnsi="Arial" w:cs="Arial"/>
                <w:sz w:val="22"/>
                <w:szCs w:val="22"/>
              </w:rPr>
              <w:t>According to Jong et al. (2025), their study demonstrated that Black men face significantly disproportionate negative outcomes with prostate cancer. The study drew attention to a pervasive lack of trust in healthcare providers, prior negative experiences, and encounters with racism within the healthcare system, all contributing to the reluctance of Black men in the United Kingdom to seek medical help for prostate cancer. Participants further reported difficulties in effectively communicating with general practitioners (GPs), with some Black men lacking the self-efficacy and assertiveness required to be properly acknowledged by healthcare providers. Rose et al. (2025) echoed these findings and underscored persistent, systematic issues within the healthcare infrastructure that perpetuate these inequities. On the other hand, Haider et al. (2025) argued that GPs are frequently discouraged by employers from proactively conducting PSA testing, especially on asymptomatic patients, an approach that may disproportionately harm high-risk groups such as Black men.</w:t>
            </w:r>
            <w:r>
              <w:rPr>
                <w:rFonts w:ascii="Arial" w:hAnsi="Arial" w:cs="Arial"/>
                <w:sz w:val="22"/>
                <w:szCs w:val="22"/>
              </w:rPr>
              <w:t xml:space="preserve"> </w:t>
            </w:r>
            <w:r w:rsidRPr="00F240D2">
              <w:rPr>
                <w:rFonts w:ascii="Arial" w:hAnsi="Arial" w:cs="Arial"/>
                <w:sz w:val="22"/>
                <w:szCs w:val="22"/>
              </w:rPr>
              <w:t xml:space="preserve">These studies illuminate the multifactorial and structural barriers to equitable healthcare. However, a more critical lens reveals significant gaps in accountability, actionable interventions, and an understanding of the complex, intersecting factors underlying these disparities. Additionally, they address the issue of </w:t>
            </w:r>
            <w:bookmarkStart w:id="9" w:name="OLE_LINK43"/>
            <w:r w:rsidRPr="00F240D2">
              <w:rPr>
                <w:rFonts w:ascii="Arial" w:hAnsi="Arial" w:cs="Arial"/>
                <w:sz w:val="22"/>
                <w:szCs w:val="22"/>
              </w:rPr>
              <w:t>prostate cancer disparities among Black men in the United Kingdom</w:t>
            </w:r>
            <w:bookmarkEnd w:id="9"/>
            <w:r w:rsidRPr="00F240D2">
              <w:rPr>
                <w:rFonts w:ascii="Arial" w:hAnsi="Arial" w:cs="Arial"/>
                <w:sz w:val="22"/>
                <w:szCs w:val="22"/>
              </w:rPr>
              <w:t>.</w:t>
            </w:r>
          </w:p>
          <w:p w14:paraId="68FB316E" w14:textId="77777777" w:rsidR="00EA1B27" w:rsidRPr="00FB22BB" w:rsidRDefault="00EA1B27" w:rsidP="008B0865"/>
        </w:tc>
      </w:tr>
      <w:bookmarkEnd w:id="7"/>
    </w:tbl>
    <w:p w14:paraId="3F2B4065" w14:textId="77777777" w:rsidR="00EA1B27" w:rsidRDefault="00EA1B27" w:rsidP="00EA1B27">
      <w:pPr>
        <w:spacing w:line="360" w:lineRule="auto"/>
        <w:jc w:val="both"/>
        <w:rPr>
          <w:rFonts w:ascii="Arial" w:hAnsi="Arial" w:cs="Arial"/>
          <w:b/>
          <w:bCs/>
          <w:sz w:val="22"/>
          <w:szCs w:val="22"/>
        </w:rPr>
      </w:pPr>
    </w:p>
    <w:p w14:paraId="795237A8" w14:textId="77777777" w:rsidR="00EA1B27" w:rsidRDefault="00EA1B27" w:rsidP="00EA1B27">
      <w:pPr>
        <w:spacing w:line="360" w:lineRule="auto"/>
        <w:jc w:val="both"/>
        <w:rPr>
          <w:rFonts w:ascii="Arial" w:hAnsi="Arial" w:cs="Arial"/>
          <w:b/>
          <w:bCs/>
          <w:sz w:val="22"/>
          <w:szCs w:val="22"/>
        </w:rPr>
      </w:pPr>
    </w:p>
    <w:p w14:paraId="622E277C" w14:textId="77777777" w:rsidR="00EA1B27" w:rsidRPr="00AE3B6B" w:rsidRDefault="00EA1B27" w:rsidP="00EA1B27">
      <w:pPr>
        <w:spacing w:line="360" w:lineRule="auto"/>
        <w:jc w:val="both"/>
        <w:rPr>
          <w:rFonts w:ascii="Arial" w:hAnsi="Arial" w:cs="Arial"/>
          <w:sz w:val="22"/>
          <w:szCs w:val="22"/>
        </w:rPr>
      </w:pPr>
      <w:r w:rsidRPr="00AE3B6B">
        <w:rPr>
          <w:rFonts w:ascii="Arial" w:hAnsi="Arial" w:cs="Arial"/>
          <w:b/>
          <w:bCs/>
          <w:sz w:val="22"/>
          <w:szCs w:val="22"/>
        </w:rPr>
        <w:t>Connections to Other Themes</w:t>
      </w:r>
    </w:p>
    <w:p w14:paraId="1FAD98D7" w14:textId="77777777" w:rsidR="00EA1B27" w:rsidRPr="00B52084" w:rsidRDefault="00EA1B27" w:rsidP="00EA1B27">
      <w:pPr>
        <w:spacing w:line="360" w:lineRule="auto"/>
        <w:jc w:val="both"/>
        <w:rPr>
          <w:rFonts w:ascii="Arial" w:hAnsi="Arial" w:cs="Arial"/>
          <w:sz w:val="22"/>
          <w:szCs w:val="22"/>
        </w:rPr>
      </w:pPr>
      <w:r w:rsidRPr="00B52084">
        <w:rPr>
          <w:rFonts w:ascii="Arial" w:hAnsi="Arial" w:cs="Arial"/>
          <w:sz w:val="22"/>
          <w:szCs w:val="22"/>
        </w:rPr>
        <w:t>A lack of trust in healthcare providers and systems can directly impede early diagnosis. When Black men mistrust healthcare institutions, possibly because of past discrimination, negative experiences, or perceived bias, they tend to avoid seeking timely screening or revealing symptoms</w:t>
      </w:r>
      <w:r w:rsidRPr="1254DAA7">
        <w:rPr>
          <w:rFonts w:ascii="Arial" w:hAnsi="Arial" w:cs="Arial"/>
          <w:sz w:val="22"/>
          <w:szCs w:val="22"/>
        </w:rPr>
        <w:t xml:space="preserve"> </w:t>
      </w:r>
      <w:r w:rsidRPr="00321DA5">
        <w:rPr>
          <w:rFonts w:ascii="Arial" w:hAnsi="Arial" w:cs="Arial"/>
          <w:sz w:val="22"/>
          <w:szCs w:val="22"/>
        </w:rPr>
        <w:t>(Care Quality Commission, 2025)</w:t>
      </w:r>
      <w:r w:rsidRPr="00B52084">
        <w:rPr>
          <w:rFonts w:ascii="Arial" w:hAnsi="Arial" w:cs="Arial"/>
          <w:sz w:val="22"/>
          <w:szCs w:val="22"/>
        </w:rPr>
        <w:t>. This mistrust exacerbates existing barriers like limited access to information, fear of discrimination, and hesitation to engage with health services. As a result, diagnoses are delayed, lowering the likelihood of positive health outcomes</w:t>
      </w:r>
      <w:r w:rsidRPr="1254DAA7">
        <w:rPr>
          <w:rFonts w:ascii="-webkit-standard" w:hAnsi="-webkit-standard"/>
          <w:color w:val="000000" w:themeColor="text1"/>
          <w:sz w:val="27"/>
          <w:szCs w:val="27"/>
        </w:rPr>
        <w:t xml:space="preserve"> </w:t>
      </w:r>
      <w:r w:rsidRPr="00D77913">
        <w:rPr>
          <w:rFonts w:ascii="Arial" w:hAnsi="Arial" w:cs="Arial"/>
          <w:sz w:val="22"/>
          <w:szCs w:val="22"/>
        </w:rPr>
        <w:t>(Powell </w:t>
      </w:r>
      <w:r w:rsidRPr="00D77913">
        <w:rPr>
          <w:rFonts w:ascii="Arial" w:hAnsi="Arial" w:cs="Arial"/>
          <w:i/>
          <w:iCs/>
          <w:sz w:val="22"/>
          <w:szCs w:val="22"/>
        </w:rPr>
        <w:t>et al.</w:t>
      </w:r>
      <w:r w:rsidRPr="00D77913">
        <w:rPr>
          <w:rFonts w:ascii="Arial" w:hAnsi="Arial" w:cs="Arial"/>
          <w:sz w:val="22"/>
          <w:szCs w:val="22"/>
        </w:rPr>
        <w:t xml:space="preserve">, </w:t>
      </w:r>
      <w:bookmarkStart w:id="10" w:name="_Int_4rmrt9nT"/>
      <w:r w:rsidRPr="00D77913">
        <w:rPr>
          <w:rFonts w:ascii="Arial" w:hAnsi="Arial" w:cs="Arial"/>
          <w:sz w:val="22"/>
          <w:szCs w:val="22"/>
        </w:rPr>
        <w:t>2019c</w:t>
      </w:r>
      <w:bookmarkEnd w:id="10"/>
      <w:r w:rsidRPr="00D77913">
        <w:rPr>
          <w:rFonts w:ascii="Arial" w:hAnsi="Arial" w:cs="Arial"/>
          <w:sz w:val="22"/>
          <w:szCs w:val="22"/>
        </w:rPr>
        <w:t>)</w:t>
      </w:r>
      <w:r w:rsidRPr="00B52084">
        <w:rPr>
          <w:rFonts w:ascii="Arial" w:hAnsi="Arial" w:cs="Arial"/>
          <w:sz w:val="22"/>
          <w:szCs w:val="22"/>
        </w:rPr>
        <w:t>.</w:t>
      </w:r>
    </w:p>
    <w:p w14:paraId="61CD2CF2" w14:textId="77777777" w:rsidR="00EA1B27" w:rsidRPr="008223C7" w:rsidRDefault="00EA1B27" w:rsidP="00EA1B27">
      <w:pPr>
        <w:spacing w:line="360" w:lineRule="auto"/>
        <w:jc w:val="both"/>
        <w:rPr>
          <w:rFonts w:ascii="Arial" w:hAnsi="Arial" w:cs="Arial"/>
          <w:b/>
          <w:bCs/>
          <w:sz w:val="22"/>
          <w:szCs w:val="22"/>
        </w:rPr>
      </w:pPr>
      <w:r w:rsidRPr="008223C7">
        <w:rPr>
          <w:rFonts w:ascii="Arial" w:hAnsi="Arial" w:cs="Arial"/>
          <w:b/>
          <w:bCs/>
          <w:sz w:val="22"/>
          <w:szCs w:val="22"/>
        </w:rPr>
        <w:t xml:space="preserve">       4.4 –</w:t>
      </w:r>
      <w:r w:rsidRPr="008223C7">
        <w:rPr>
          <w:rFonts w:ascii="Arial" w:hAnsi="Arial" w:cs="Arial"/>
          <w:sz w:val="22"/>
          <w:szCs w:val="22"/>
        </w:rPr>
        <w:t xml:space="preserve"> </w:t>
      </w:r>
      <w:r w:rsidRPr="008223C7">
        <w:rPr>
          <w:rFonts w:ascii="Arial" w:hAnsi="Arial" w:cs="Arial"/>
          <w:b/>
          <w:bCs/>
          <w:sz w:val="22"/>
          <w:szCs w:val="22"/>
        </w:rPr>
        <w:t>Theme 2:  Barriers to Early Diagnosis</w:t>
      </w:r>
    </w:p>
    <w:p w14:paraId="17422CA3" w14:textId="77777777" w:rsidR="00EA1B27" w:rsidRPr="008223C7" w:rsidRDefault="00EA1B27" w:rsidP="00EA1B27">
      <w:pPr>
        <w:spacing w:line="360" w:lineRule="auto"/>
        <w:jc w:val="both"/>
        <w:rPr>
          <w:rFonts w:ascii="Arial" w:hAnsi="Arial" w:cs="Arial"/>
          <w:b/>
          <w:bCs/>
          <w:sz w:val="22"/>
          <w:szCs w:val="22"/>
        </w:rPr>
      </w:pPr>
      <w:r w:rsidRPr="008223C7">
        <w:rPr>
          <w:rFonts w:ascii="Arial" w:hAnsi="Arial" w:cs="Arial"/>
          <w:b/>
          <w:bCs/>
          <w:sz w:val="22"/>
          <w:szCs w:val="22"/>
        </w:rPr>
        <w:t xml:space="preserve">Definition </w:t>
      </w:r>
    </w:p>
    <w:p w14:paraId="60B73231" w14:textId="77777777" w:rsidR="00EA1B27" w:rsidRPr="008223C7" w:rsidRDefault="00EA1B27" w:rsidP="00EA1B27">
      <w:pPr>
        <w:spacing w:line="360" w:lineRule="auto"/>
        <w:jc w:val="both"/>
        <w:rPr>
          <w:rFonts w:ascii="Arial" w:hAnsi="Arial" w:cs="Arial"/>
          <w:sz w:val="22"/>
          <w:szCs w:val="22"/>
        </w:rPr>
      </w:pPr>
      <w:r w:rsidRPr="008223C7">
        <w:rPr>
          <w:rFonts w:ascii="Arial" w:hAnsi="Arial" w:cs="Arial"/>
          <w:sz w:val="22"/>
          <w:szCs w:val="22"/>
        </w:rPr>
        <w:t xml:space="preserve">Barriers to early diagnosis pose significant challenges that severely obstruct the swift detection of diseases, conditions, or disorders. These obstacles can arise at multiple levels, including patient, healthcare system, societal, and technological domains. Early diagnosis is crucial for better health outcomes, enabling timely treatment and reducing complications (Scott and Hoskin, 2024a). However, persistent barriers such as stigma, lack of awareness, limited healthcare access, inadequate diagnostic infrastructure, and poor communication between patients and providers often cause delays. </w:t>
      </w:r>
      <w:r>
        <w:rPr>
          <w:rFonts w:ascii="Arial" w:hAnsi="Arial" w:cs="Arial"/>
          <w:sz w:val="22"/>
          <w:szCs w:val="22"/>
        </w:rPr>
        <w:t>L</w:t>
      </w:r>
      <w:r w:rsidRPr="008223C7">
        <w:rPr>
          <w:rFonts w:ascii="Arial" w:hAnsi="Arial" w:cs="Arial"/>
          <w:sz w:val="22"/>
          <w:szCs w:val="22"/>
        </w:rPr>
        <w:t>ow health literacy, restricted service access, societal negative attitudes, and underused screening technologies</w:t>
      </w:r>
      <w:r>
        <w:rPr>
          <w:rFonts w:ascii="Arial" w:hAnsi="Arial" w:cs="Arial"/>
          <w:sz w:val="22"/>
          <w:szCs w:val="22"/>
        </w:rPr>
        <w:t xml:space="preserve"> worsen the time gap between symptom appearance and diagnosis</w:t>
      </w:r>
      <w:r w:rsidRPr="008223C7">
        <w:rPr>
          <w:rFonts w:ascii="Arial" w:hAnsi="Arial" w:cs="Arial"/>
          <w:sz w:val="22"/>
          <w:szCs w:val="22"/>
        </w:rPr>
        <w:t xml:space="preserve">. All these factors can </w:t>
      </w:r>
      <w:r>
        <w:rPr>
          <w:rFonts w:ascii="Arial" w:hAnsi="Arial" w:cs="Arial"/>
          <w:sz w:val="22"/>
          <w:szCs w:val="22"/>
        </w:rPr>
        <w:t>significan</w:t>
      </w:r>
      <w:r w:rsidRPr="008223C7">
        <w:rPr>
          <w:rFonts w:ascii="Arial" w:hAnsi="Arial" w:cs="Arial"/>
          <w:sz w:val="22"/>
          <w:szCs w:val="22"/>
        </w:rPr>
        <w:t>tly affect patient outcomes by hindering early detection and intervention (Murphy </w:t>
      </w:r>
      <w:r w:rsidRPr="008223C7">
        <w:rPr>
          <w:rFonts w:ascii="Arial" w:hAnsi="Arial" w:cs="Arial"/>
          <w:i/>
          <w:iCs/>
          <w:sz w:val="22"/>
          <w:szCs w:val="22"/>
        </w:rPr>
        <w:t>et al.</w:t>
      </w:r>
      <w:r w:rsidRPr="008223C7">
        <w:rPr>
          <w:rFonts w:ascii="Arial" w:hAnsi="Arial" w:cs="Arial"/>
          <w:sz w:val="22"/>
          <w:szCs w:val="22"/>
        </w:rPr>
        <w:t>, 2024).</w:t>
      </w:r>
    </w:p>
    <w:p w14:paraId="6F0D7EDB" w14:textId="77777777" w:rsidR="00EA1B27" w:rsidRPr="008223C7" w:rsidRDefault="00EA1B27" w:rsidP="00EA1B27">
      <w:pPr>
        <w:spacing w:line="360" w:lineRule="auto"/>
        <w:jc w:val="both"/>
        <w:rPr>
          <w:rFonts w:ascii="Arial" w:hAnsi="Arial" w:cs="Arial"/>
          <w:b/>
          <w:bCs/>
          <w:sz w:val="22"/>
          <w:szCs w:val="22"/>
        </w:rPr>
      </w:pPr>
      <w:r w:rsidRPr="008223C7">
        <w:rPr>
          <w:rFonts w:ascii="Arial" w:hAnsi="Arial" w:cs="Arial"/>
          <w:b/>
          <w:bCs/>
          <w:sz w:val="22"/>
          <w:szCs w:val="22"/>
        </w:rPr>
        <w:t>Background Information</w:t>
      </w:r>
    </w:p>
    <w:p w14:paraId="73C87777" w14:textId="77777777" w:rsidR="00EA1B27" w:rsidRDefault="00EA1B27" w:rsidP="00EA1B27">
      <w:pPr>
        <w:spacing w:line="360" w:lineRule="auto"/>
        <w:jc w:val="both"/>
        <w:rPr>
          <w:rFonts w:ascii="Arial" w:hAnsi="Arial" w:cs="Arial"/>
          <w:sz w:val="22"/>
          <w:szCs w:val="22"/>
        </w:rPr>
      </w:pPr>
      <w:r w:rsidRPr="008223C7">
        <w:rPr>
          <w:rFonts w:ascii="Arial" w:hAnsi="Arial" w:cs="Arial"/>
          <w:sz w:val="22"/>
          <w:szCs w:val="22"/>
        </w:rPr>
        <w:t xml:space="preserve">Barriers to early diagnosis have long posed significant challenges for healthcare systems worldwide, including the NHS. Established in 1948 with the ideal of </w:t>
      </w:r>
      <w:r>
        <w:rPr>
          <w:rFonts w:ascii="Arial" w:hAnsi="Arial" w:cs="Arial"/>
          <w:sz w:val="22"/>
          <w:szCs w:val="22"/>
        </w:rPr>
        <w:t xml:space="preserve">universal healthcare </w:t>
      </w:r>
      <w:r w:rsidRPr="008223C7">
        <w:rPr>
          <w:rFonts w:ascii="Arial" w:hAnsi="Arial" w:cs="Arial"/>
          <w:sz w:val="22"/>
          <w:szCs w:val="22"/>
        </w:rPr>
        <w:t xml:space="preserve">access for all, the </w:t>
      </w:r>
      <w:r>
        <w:rPr>
          <w:rFonts w:ascii="Arial" w:hAnsi="Arial" w:cs="Arial"/>
          <w:sz w:val="22"/>
          <w:szCs w:val="22"/>
        </w:rPr>
        <w:t xml:space="preserve">organisation </w:t>
      </w:r>
      <w:r w:rsidRPr="008223C7">
        <w:rPr>
          <w:rFonts w:ascii="Arial" w:hAnsi="Arial" w:cs="Arial"/>
          <w:sz w:val="22"/>
          <w:szCs w:val="22"/>
        </w:rPr>
        <w:t>struggled to deliver on this promise due to persistent issues. From its inception, chronic financial and staffing shortages have affected the availability and timeliness of diagnostics. Socioeconomic inequalities have further restricted access for disadvantaged groups, perpetuating health disparities (Scott and Hoskin, 2024b). Public understanding of diseases in earlier decades, especially regarding cancers and mental health, was poor. Stigma and inadequate education led many patients to delay seeking care. While the NHS introduced screening programs for cancers like cervical and breast cancer in the late 1980s, participation has been inconsistent across regions and populations. The approach to prostate cancer remains especially inadequate. Despite its high prevalence among men, there is still no national screening program for prostate cancer (Cazap </w:t>
      </w:r>
      <w:r w:rsidRPr="008223C7">
        <w:rPr>
          <w:rFonts w:ascii="Arial" w:hAnsi="Arial" w:cs="Arial"/>
          <w:i/>
          <w:iCs/>
          <w:sz w:val="22"/>
          <w:szCs w:val="22"/>
        </w:rPr>
        <w:t>et al.</w:t>
      </w:r>
      <w:r w:rsidRPr="008223C7">
        <w:rPr>
          <w:rFonts w:ascii="Arial" w:hAnsi="Arial" w:cs="Arial"/>
          <w:sz w:val="22"/>
          <w:szCs w:val="22"/>
        </w:rPr>
        <w:t>, 2015a).</w:t>
      </w:r>
    </w:p>
    <w:p w14:paraId="616A67FE" w14:textId="77777777" w:rsidR="00876632" w:rsidRDefault="00876632" w:rsidP="00EA1B27">
      <w:pPr>
        <w:spacing w:line="360" w:lineRule="auto"/>
        <w:jc w:val="both"/>
        <w:rPr>
          <w:rFonts w:ascii="Arial" w:hAnsi="Arial" w:cs="Arial"/>
          <w:sz w:val="22"/>
          <w:szCs w:val="22"/>
        </w:rPr>
      </w:pPr>
    </w:p>
    <w:p w14:paraId="7023FCB8" w14:textId="77777777" w:rsidR="00876632" w:rsidRDefault="00876632" w:rsidP="00EA1B27">
      <w:pPr>
        <w:spacing w:line="360" w:lineRule="auto"/>
        <w:jc w:val="both"/>
        <w:rPr>
          <w:rFonts w:ascii="Arial" w:hAnsi="Arial" w:cs="Arial"/>
          <w:sz w:val="22"/>
          <w:szCs w:val="22"/>
        </w:rPr>
      </w:pPr>
    </w:p>
    <w:p w14:paraId="6C9BFD40" w14:textId="77777777" w:rsidR="00EA1B27" w:rsidRPr="008223C7" w:rsidRDefault="00EA1B27" w:rsidP="00EA1B27">
      <w:pPr>
        <w:spacing w:line="360" w:lineRule="auto"/>
        <w:jc w:val="both"/>
        <w:rPr>
          <w:rFonts w:ascii="Arial" w:hAnsi="Arial" w:cs="Arial"/>
          <w:sz w:val="22"/>
          <w:szCs w:val="22"/>
        </w:rPr>
      </w:pPr>
    </w:p>
    <w:p w14:paraId="374F652E" w14:textId="77777777" w:rsidR="00EA1B27" w:rsidRPr="008223C7" w:rsidRDefault="00EA1B27" w:rsidP="00EA1B27">
      <w:pPr>
        <w:spacing w:line="360" w:lineRule="auto"/>
        <w:jc w:val="both"/>
        <w:rPr>
          <w:rFonts w:ascii="Arial" w:hAnsi="Arial" w:cs="Arial"/>
          <w:b/>
          <w:bCs/>
          <w:sz w:val="22"/>
          <w:szCs w:val="22"/>
        </w:rPr>
      </w:pPr>
      <w:r w:rsidRPr="008223C7">
        <w:rPr>
          <w:rFonts w:ascii="Arial" w:hAnsi="Arial" w:cs="Arial"/>
          <w:b/>
          <w:bCs/>
          <w:sz w:val="22"/>
          <w:szCs w:val="22"/>
        </w:rPr>
        <w:lastRenderedPageBreak/>
        <w:t>Impact on Research Question</w:t>
      </w:r>
    </w:p>
    <w:p w14:paraId="7BE962F5" w14:textId="77777777" w:rsidR="00EA1B27" w:rsidRPr="008223C7" w:rsidRDefault="00EA1B27" w:rsidP="00EA1B27">
      <w:pPr>
        <w:spacing w:line="360" w:lineRule="auto"/>
        <w:jc w:val="both"/>
        <w:rPr>
          <w:rFonts w:ascii="Arial" w:hAnsi="Arial" w:cs="Arial"/>
          <w:sz w:val="22"/>
          <w:szCs w:val="22"/>
        </w:rPr>
      </w:pPr>
      <w:r w:rsidRPr="008223C7">
        <w:rPr>
          <w:rFonts w:ascii="Arial" w:hAnsi="Arial" w:cs="Arial"/>
          <w:sz w:val="22"/>
          <w:szCs w:val="22"/>
        </w:rPr>
        <w:t xml:space="preserve">Barriers to early diagnosis play a </w:t>
      </w:r>
      <w:r w:rsidRPr="1254DAA7">
        <w:rPr>
          <w:rFonts w:ascii="Arial" w:hAnsi="Arial" w:cs="Arial"/>
          <w:sz w:val="22"/>
          <w:szCs w:val="22"/>
        </w:rPr>
        <w:t>significant</w:t>
      </w:r>
      <w:r w:rsidRPr="008223C7">
        <w:rPr>
          <w:rFonts w:ascii="Arial" w:hAnsi="Arial" w:cs="Arial"/>
          <w:sz w:val="22"/>
          <w:szCs w:val="22"/>
        </w:rPr>
        <w:t xml:space="preserve"> role in understanding why Black men in the UK face disproportionately poor prostate cancer outcomes. Despite an urgent need for intervention, persistent obstacles, such as limited health awareness, social stigma, inadequate screening access, and systemic healthcare inequities, continue to go unaddressed (Cazap </w:t>
      </w:r>
      <w:r w:rsidRPr="008223C7">
        <w:rPr>
          <w:rFonts w:ascii="Arial" w:hAnsi="Arial" w:cs="Arial"/>
          <w:i/>
          <w:iCs/>
          <w:sz w:val="22"/>
          <w:szCs w:val="22"/>
        </w:rPr>
        <w:t>et al.</w:t>
      </w:r>
      <w:r w:rsidRPr="008223C7">
        <w:rPr>
          <w:rFonts w:ascii="Arial" w:hAnsi="Arial" w:cs="Arial"/>
          <w:sz w:val="22"/>
          <w:szCs w:val="22"/>
        </w:rPr>
        <w:t>, 2015b). These barriers directly result in delayed diagnoses, with prostate cancer often detected at a more advanced and less treatable stage. Consequently, Black men experience significantly lower survival rates and fewer treatment options. By critically analysing these factors, the research exposes deeper, structural shortcomings within the UK healthcare system and persistent societal inequities. Addressing these barriers is not only essential to explaining statistical disparities, such as higher late-stage diagnoses and mortality rates, but also to understanding and mitigating the mechanisms that perpetuate these inequalities (Qu </w:t>
      </w:r>
      <w:r w:rsidRPr="008223C7">
        <w:rPr>
          <w:rFonts w:ascii="Arial" w:hAnsi="Arial" w:cs="Arial"/>
          <w:i/>
          <w:iCs/>
          <w:sz w:val="22"/>
          <w:szCs w:val="22"/>
        </w:rPr>
        <w:t>et al.</w:t>
      </w:r>
      <w:r w:rsidRPr="008223C7">
        <w:rPr>
          <w:rFonts w:ascii="Arial" w:hAnsi="Arial" w:cs="Arial"/>
          <w:sz w:val="22"/>
          <w:szCs w:val="22"/>
        </w:rPr>
        <w:t>, 2020).</w:t>
      </w:r>
    </w:p>
    <w:p w14:paraId="43865B9F" w14:textId="77777777" w:rsidR="00EA1B27" w:rsidRPr="008223C7" w:rsidRDefault="00EA1B27" w:rsidP="00EA1B27">
      <w:pPr>
        <w:spacing w:line="360" w:lineRule="auto"/>
        <w:jc w:val="both"/>
        <w:rPr>
          <w:rFonts w:ascii="Arial" w:hAnsi="Arial" w:cs="Arial"/>
          <w:b/>
          <w:bCs/>
          <w:sz w:val="22"/>
          <w:szCs w:val="22"/>
        </w:rPr>
      </w:pPr>
      <w:r w:rsidRPr="008223C7">
        <w:rPr>
          <w:rFonts w:ascii="Arial" w:hAnsi="Arial" w:cs="Arial"/>
          <w:b/>
          <w:bCs/>
          <w:sz w:val="22"/>
          <w:szCs w:val="22"/>
        </w:rPr>
        <w:t>Statistical Information</w:t>
      </w:r>
    </w:p>
    <w:p w14:paraId="1475BE1A" w14:textId="77777777" w:rsidR="00EA1B27" w:rsidRPr="008223C7" w:rsidRDefault="00EA1B27" w:rsidP="00EA1B27">
      <w:pPr>
        <w:spacing w:line="360" w:lineRule="auto"/>
        <w:jc w:val="both"/>
        <w:rPr>
          <w:rFonts w:ascii="Arial" w:hAnsi="Arial" w:cs="Arial"/>
          <w:sz w:val="22"/>
          <w:szCs w:val="22"/>
        </w:rPr>
      </w:pPr>
      <w:r w:rsidRPr="008223C7">
        <w:rPr>
          <w:rFonts w:ascii="Arial" w:hAnsi="Arial" w:cs="Arial"/>
          <w:sz w:val="22"/>
          <w:szCs w:val="22"/>
        </w:rPr>
        <w:t>According to Cancer Research UK, Black men are twice as likely to be diagnosed with prostate cancer as white men. Lifetime risk estimates reveal that 1 in 4 Black men in the UK will face prostate cancer, compared to 1 in 8 white men. Alarmingly, 30% of cases in Black men are detected at a late stage, far higher than the 18% among white men. This late diagnosis is closely tied to worse outcomes. Despite their heightened risk, PSA (prostate-specific antigen) testing rates among Black men are only 48%, compared to 58% of white men</w:t>
      </w:r>
      <w:r w:rsidRPr="4EC2E67D">
        <w:rPr>
          <w:rFonts w:ascii="Arial" w:hAnsi="Arial" w:cs="Arial"/>
          <w:sz w:val="22"/>
          <w:szCs w:val="22"/>
        </w:rPr>
        <w:t xml:space="preserve"> </w:t>
      </w:r>
      <w:r w:rsidRPr="008223C7">
        <w:rPr>
          <w:rFonts w:ascii="Arial" w:hAnsi="Arial" w:cs="Arial"/>
          <w:sz w:val="22"/>
          <w:szCs w:val="22"/>
        </w:rPr>
        <w:t>(Prostate Cancer UK, 2025a). Screening rates are 20% lower in England’s deprived areas than in affluent ones. Research notes that 44% of Black men either misattribute symptoms or delay seeking medical advice, often discouraged by stigma. The combination of low awareness, inconsistent and inequitable screening, and sluggish systemic response continues to drive persistent health disparities. Such data underscore the urgent need not only for targeted awareness campaigns but also for structural reforms that ensure at-risk groups have genuine access to early diagnostics and interventions, especially to counter preventable late-stage diagnoses and mortality (Pan </w:t>
      </w:r>
      <w:r w:rsidRPr="008223C7">
        <w:rPr>
          <w:rFonts w:ascii="Arial" w:hAnsi="Arial" w:cs="Arial"/>
          <w:i/>
          <w:iCs/>
          <w:sz w:val="22"/>
          <w:szCs w:val="22"/>
        </w:rPr>
        <w:t>et al.</w:t>
      </w:r>
      <w:r w:rsidRPr="008223C7">
        <w:rPr>
          <w:rFonts w:ascii="Arial" w:hAnsi="Arial" w:cs="Arial"/>
          <w:sz w:val="22"/>
          <w:szCs w:val="22"/>
        </w:rPr>
        <w:t>, 2023).</w:t>
      </w:r>
    </w:p>
    <w:p w14:paraId="040AAF09" w14:textId="77777777" w:rsidR="00EA1B27" w:rsidRPr="008223C7" w:rsidRDefault="00EA1B27" w:rsidP="00EA1B27">
      <w:pPr>
        <w:spacing w:line="360" w:lineRule="auto"/>
        <w:jc w:val="both"/>
        <w:rPr>
          <w:rFonts w:ascii="Arial" w:hAnsi="Arial" w:cs="Arial"/>
          <w:b/>
          <w:bCs/>
          <w:sz w:val="22"/>
          <w:szCs w:val="22"/>
        </w:rPr>
      </w:pPr>
      <w:r w:rsidRPr="008223C7">
        <w:rPr>
          <w:rFonts w:ascii="Arial" w:hAnsi="Arial" w:cs="Arial"/>
          <w:b/>
          <w:bCs/>
          <w:sz w:val="22"/>
          <w:szCs w:val="22"/>
        </w:rPr>
        <w:t xml:space="preserve">Theories, Policies, and Legislation        </w:t>
      </w:r>
    </w:p>
    <w:p w14:paraId="28E9999A" w14:textId="77777777" w:rsidR="00EA1B27" w:rsidRPr="008223C7" w:rsidRDefault="00EA1B27" w:rsidP="00EA1B27">
      <w:pPr>
        <w:spacing w:line="360" w:lineRule="auto"/>
        <w:jc w:val="both"/>
        <w:rPr>
          <w:rFonts w:ascii="Arial" w:hAnsi="Arial" w:cs="Arial"/>
          <w:sz w:val="22"/>
          <w:szCs w:val="22"/>
        </w:rPr>
      </w:pPr>
      <w:r w:rsidRPr="008223C7">
        <w:rPr>
          <w:rFonts w:ascii="Arial" w:hAnsi="Arial" w:cs="Arial"/>
          <w:sz w:val="22"/>
          <w:szCs w:val="22"/>
        </w:rPr>
        <w:t>Intersectional theory examines how multiple social identities, such as race, gender, and socioeconomic status, interact to produce distinctive, often compounded forms of discrimination or privilege. When considering Black men, this framework reveals the convergence of racial, gendered, and potentially economic disadvantages, which together perpetuate systemic barriers to healthcare access (Carbado </w:t>
      </w:r>
      <w:r w:rsidRPr="008223C7">
        <w:rPr>
          <w:rFonts w:ascii="Arial" w:hAnsi="Arial" w:cs="Arial"/>
          <w:i/>
          <w:iCs/>
          <w:sz w:val="22"/>
          <w:szCs w:val="22"/>
        </w:rPr>
        <w:t>et al.</w:t>
      </w:r>
      <w:r w:rsidRPr="008223C7">
        <w:rPr>
          <w:rFonts w:ascii="Arial" w:hAnsi="Arial" w:cs="Arial"/>
          <w:sz w:val="22"/>
          <w:szCs w:val="22"/>
        </w:rPr>
        <w:t>, 2013; Syed </w:t>
      </w:r>
      <w:r w:rsidRPr="008223C7">
        <w:rPr>
          <w:rFonts w:ascii="Arial" w:hAnsi="Arial" w:cs="Arial"/>
          <w:i/>
          <w:iCs/>
          <w:sz w:val="22"/>
          <w:szCs w:val="22"/>
        </w:rPr>
        <w:t>et al.</w:t>
      </w:r>
      <w:r w:rsidRPr="008223C7">
        <w:rPr>
          <w:rFonts w:ascii="Arial" w:hAnsi="Arial" w:cs="Arial"/>
          <w:sz w:val="22"/>
          <w:szCs w:val="22"/>
        </w:rPr>
        <w:t xml:space="preserve">, 2018). Significantly, rather than viewing these aspects in isolation, intersectionality insists that their interplay produces unique barriers, such as deep-seated mistrust of healthcare providers or diminished engagement with health services, both consequences of enduring discriminatory </w:t>
      </w:r>
      <w:r w:rsidRPr="008223C7">
        <w:rPr>
          <w:rFonts w:ascii="Arial" w:hAnsi="Arial" w:cs="Arial"/>
          <w:sz w:val="22"/>
          <w:szCs w:val="22"/>
        </w:rPr>
        <w:lastRenderedPageBreak/>
        <w:t>experiences. Thus, applying intersectionality to your research highlights why Black men may encounter greater obstacles than other groups, rooted in the mutually reinforcing nature of their social positions and the structural biases they face (Eaton </w:t>
      </w:r>
      <w:r w:rsidRPr="008223C7">
        <w:rPr>
          <w:rFonts w:ascii="Arial" w:hAnsi="Arial" w:cs="Arial"/>
          <w:i/>
          <w:iCs/>
          <w:sz w:val="22"/>
          <w:szCs w:val="22"/>
        </w:rPr>
        <w:t>et al.</w:t>
      </w:r>
      <w:r w:rsidRPr="008223C7">
        <w:rPr>
          <w:rFonts w:ascii="Arial" w:hAnsi="Arial" w:cs="Arial"/>
          <w:sz w:val="22"/>
          <w:szCs w:val="22"/>
        </w:rPr>
        <w:t>, 2014; Bazargan, Cobb and Assari, 2021).</w:t>
      </w:r>
    </w:p>
    <w:p w14:paraId="24B67EAA" w14:textId="3D36FB88" w:rsidR="00EA1B27" w:rsidRPr="008223C7" w:rsidRDefault="00EA1B27" w:rsidP="00EA1B27">
      <w:pPr>
        <w:spacing w:line="360" w:lineRule="auto"/>
        <w:jc w:val="both"/>
        <w:rPr>
          <w:rFonts w:ascii="Arial" w:hAnsi="Arial" w:cs="Arial"/>
          <w:sz w:val="22"/>
          <w:szCs w:val="22"/>
        </w:rPr>
      </w:pPr>
      <w:r w:rsidRPr="008223C7">
        <w:rPr>
          <w:rFonts w:ascii="Arial" w:hAnsi="Arial" w:cs="Arial"/>
          <w:sz w:val="22"/>
          <w:szCs w:val="22"/>
        </w:rPr>
        <w:t>The Social Determinants of Health (SDH) framework complements this by situating health outcomes within broader social, economic, and environmental contexts. It contends that factors beyond biology, including income levels, educational attainment, employment security, and geographical location, profoundly shape health risks and access to early diagnosis. Critically, if Black men in the UK are disproportionately affected by socioeconomic disadvantage, this exacerbates their challenges in obtaining timely care and information, thus increasing the likelihood of late diagnosis</w:t>
      </w:r>
      <w:r w:rsidRPr="4EC2E67D">
        <w:rPr>
          <w:rFonts w:ascii="Arial" w:hAnsi="Arial" w:cs="Arial"/>
          <w:sz w:val="22"/>
          <w:szCs w:val="22"/>
        </w:rPr>
        <w:t xml:space="preserve"> </w:t>
      </w:r>
      <w:r w:rsidRPr="008223C7">
        <w:rPr>
          <w:rFonts w:ascii="Arial" w:hAnsi="Arial" w:cs="Arial"/>
          <w:sz w:val="22"/>
          <w:szCs w:val="22"/>
        </w:rPr>
        <w:t>(Motley </w:t>
      </w:r>
      <w:r w:rsidRPr="008223C7">
        <w:rPr>
          <w:rFonts w:ascii="Arial" w:hAnsi="Arial" w:cs="Arial"/>
          <w:i/>
          <w:iCs/>
          <w:sz w:val="22"/>
          <w:szCs w:val="22"/>
        </w:rPr>
        <w:t>et al.</w:t>
      </w:r>
      <w:r w:rsidRPr="008223C7">
        <w:rPr>
          <w:rFonts w:ascii="Arial" w:hAnsi="Arial" w:cs="Arial"/>
          <w:sz w:val="22"/>
          <w:szCs w:val="22"/>
        </w:rPr>
        <w:t>, 2023</w:t>
      </w:r>
      <w:r w:rsidR="00404BAB">
        <w:rPr>
          <w:rFonts w:ascii="Arial" w:hAnsi="Arial" w:cs="Arial"/>
          <w:sz w:val="22"/>
          <w:szCs w:val="22"/>
        </w:rPr>
        <w:t>a</w:t>
      </w:r>
      <w:r w:rsidRPr="008223C7">
        <w:rPr>
          <w:rFonts w:ascii="Arial" w:hAnsi="Arial" w:cs="Arial"/>
          <w:sz w:val="22"/>
          <w:szCs w:val="22"/>
        </w:rPr>
        <w:t xml:space="preserve">). This framework not only underscores the relevance of modifiable, systemic barriers, such as poverty and limited healthcare access, but also highlights the </w:t>
      </w:r>
      <w:r>
        <w:rPr>
          <w:rFonts w:ascii="Arial" w:hAnsi="Arial" w:cs="Arial"/>
          <w:sz w:val="22"/>
          <w:szCs w:val="22"/>
        </w:rPr>
        <w:t>broa</w:t>
      </w:r>
      <w:r w:rsidRPr="008223C7">
        <w:rPr>
          <w:rFonts w:ascii="Arial" w:hAnsi="Arial" w:cs="Arial"/>
          <w:sz w:val="22"/>
          <w:szCs w:val="22"/>
        </w:rPr>
        <w:t>der context in which health disparities are embedded. By integrating intersectionality and the SDH framework, your analysis can more robustly interrogate both unique and systemic barriers facing Black men and identify concrete targets for intervention (Hankivsky </w:t>
      </w:r>
      <w:r w:rsidRPr="008223C7">
        <w:rPr>
          <w:rFonts w:ascii="Arial" w:hAnsi="Arial" w:cs="Arial"/>
          <w:i/>
          <w:iCs/>
          <w:sz w:val="22"/>
          <w:szCs w:val="22"/>
        </w:rPr>
        <w:t>et al.</w:t>
      </w:r>
      <w:r w:rsidRPr="008223C7">
        <w:rPr>
          <w:rFonts w:ascii="Arial" w:hAnsi="Arial" w:cs="Arial"/>
          <w:sz w:val="22"/>
          <w:szCs w:val="22"/>
        </w:rPr>
        <w:t>, 2017; Scott and Hoskin, 2024c).</w:t>
      </w:r>
    </w:p>
    <w:p w14:paraId="082611CF" w14:textId="77777777" w:rsidR="00EA1B27" w:rsidRDefault="00EA1B27" w:rsidP="00EA1B27">
      <w:pPr>
        <w:spacing w:line="360" w:lineRule="auto"/>
        <w:jc w:val="both"/>
        <w:rPr>
          <w:rFonts w:ascii="Arial" w:hAnsi="Arial" w:cs="Arial"/>
          <w:sz w:val="22"/>
          <w:szCs w:val="22"/>
        </w:rPr>
      </w:pPr>
      <w:r w:rsidRPr="008223C7">
        <w:rPr>
          <w:rFonts w:ascii="Arial" w:hAnsi="Arial" w:cs="Arial"/>
          <w:sz w:val="22"/>
          <w:szCs w:val="22"/>
        </w:rPr>
        <w:t xml:space="preserve">Numerous policies and laws in the UK aim to tackle health disparities related to prostate cancer, especially among Black men, but their effectiveness remains uncertain. Initiatives like “Be Clear on Cancer” focus on early diagnosis and treatment, while the 2012 Health and Social Care Act </w:t>
      </w:r>
      <w:r w:rsidRPr="4EC2E67D">
        <w:rPr>
          <w:rFonts w:ascii="Arial" w:hAnsi="Arial" w:cs="Arial"/>
          <w:sz w:val="22"/>
          <w:szCs w:val="22"/>
        </w:rPr>
        <w:t>seek</w:t>
      </w:r>
      <w:r w:rsidRPr="008223C7">
        <w:rPr>
          <w:rFonts w:ascii="Arial" w:hAnsi="Arial" w:cs="Arial"/>
          <w:sz w:val="22"/>
          <w:szCs w:val="22"/>
        </w:rPr>
        <w:t xml:space="preserve"> better service integration for marginalised groups. However, many of these measures fall short in practice (Health Security Agency, 2025b; Valencia </w:t>
      </w:r>
      <w:r w:rsidRPr="008223C7">
        <w:rPr>
          <w:rFonts w:ascii="Arial" w:hAnsi="Arial" w:cs="Arial"/>
          <w:i/>
          <w:iCs/>
          <w:sz w:val="22"/>
          <w:szCs w:val="22"/>
        </w:rPr>
        <w:t>et al.</w:t>
      </w:r>
      <w:r w:rsidRPr="008223C7">
        <w:rPr>
          <w:rFonts w:ascii="Arial" w:hAnsi="Arial" w:cs="Arial"/>
          <w:sz w:val="22"/>
          <w:szCs w:val="22"/>
        </w:rPr>
        <w:t>, 2022). The Cancer Strategy for England recommends targeted interventions and extra resources for high-risk populations, such as educational outreach to Black men. The Equality Act mandates non-discriminatory access to care, and policies promote data collection to inform tailored strategies, but implementation often lacks consistency (Abraham </w:t>
      </w:r>
      <w:r w:rsidRPr="008223C7">
        <w:rPr>
          <w:rFonts w:ascii="Arial" w:hAnsi="Arial" w:cs="Arial"/>
          <w:i/>
          <w:iCs/>
          <w:sz w:val="22"/>
          <w:szCs w:val="22"/>
        </w:rPr>
        <w:t>et al.</w:t>
      </w:r>
      <w:r w:rsidRPr="008223C7">
        <w:rPr>
          <w:rFonts w:ascii="Arial" w:hAnsi="Arial" w:cs="Arial"/>
          <w:sz w:val="22"/>
          <w:szCs w:val="22"/>
        </w:rPr>
        <w:t xml:space="preserve">, 2022a). Socioeconomic barriers, cultural stigma, and systemic inequalities within the NHS delay access to care, and existing guidelines are unevenly applied. Overall, these well-meaning policies are hampered by structural flaws and weak enforcement, highlighting the urgent need for </w:t>
      </w:r>
      <w:r>
        <w:rPr>
          <w:rFonts w:ascii="Arial" w:hAnsi="Arial" w:cs="Arial"/>
          <w:sz w:val="22"/>
          <w:szCs w:val="22"/>
        </w:rPr>
        <w:t>more decisive</w:t>
      </w:r>
      <w:r w:rsidRPr="008223C7">
        <w:rPr>
          <w:rFonts w:ascii="Arial" w:hAnsi="Arial" w:cs="Arial"/>
          <w:sz w:val="22"/>
          <w:szCs w:val="22"/>
        </w:rPr>
        <w:t xml:space="preserve"> action and ongoing advocacy (Chin </w:t>
      </w:r>
      <w:r w:rsidRPr="008223C7">
        <w:rPr>
          <w:rFonts w:ascii="Arial" w:hAnsi="Arial" w:cs="Arial"/>
          <w:i/>
          <w:iCs/>
          <w:sz w:val="22"/>
          <w:szCs w:val="22"/>
        </w:rPr>
        <w:t>et al.</w:t>
      </w:r>
      <w:r w:rsidRPr="008223C7">
        <w:rPr>
          <w:rFonts w:ascii="Arial" w:hAnsi="Arial" w:cs="Arial"/>
          <w:sz w:val="22"/>
          <w:szCs w:val="22"/>
        </w:rPr>
        <w:t>, 2025).</w:t>
      </w:r>
    </w:p>
    <w:p w14:paraId="3785E1B4" w14:textId="77777777" w:rsidR="00EA1B27" w:rsidRDefault="00EA1B27" w:rsidP="00EA1B27">
      <w:pPr>
        <w:spacing w:line="360" w:lineRule="auto"/>
        <w:jc w:val="both"/>
        <w:rPr>
          <w:rFonts w:ascii="Arial" w:hAnsi="Arial" w:cs="Arial"/>
          <w:sz w:val="22"/>
          <w:szCs w:val="22"/>
        </w:rPr>
      </w:pPr>
    </w:p>
    <w:p w14:paraId="26309660" w14:textId="77777777" w:rsidR="00EA1B27" w:rsidRDefault="00EA1B27" w:rsidP="00EA1B27">
      <w:pPr>
        <w:spacing w:line="360" w:lineRule="auto"/>
        <w:jc w:val="both"/>
        <w:rPr>
          <w:rFonts w:ascii="Arial" w:hAnsi="Arial" w:cs="Arial"/>
          <w:sz w:val="22"/>
          <w:szCs w:val="22"/>
        </w:rPr>
      </w:pPr>
    </w:p>
    <w:p w14:paraId="598F03C2" w14:textId="77777777" w:rsidR="0083196A" w:rsidRDefault="0083196A" w:rsidP="00EA1B27">
      <w:pPr>
        <w:spacing w:line="360" w:lineRule="auto"/>
        <w:jc w:val="both"/>
        <w:rPr>
          <w:rFonts w:ascii="Arial" w:hAnsi="Arial" w:cs="Arial"/>
          <w:sz w:val="22"/>
          <w:szCs w:val="22"/>
        </w:rPr>
      </w:pPr>
    </w:p>
    <w:p w14:paraId="56632605" w14:textId="77777777" w:rsidR="0083196A" w:rsidRDefault="0083196A" w:rsidP="00EA1B27">
      <w:pPr>
        <w:spacing w:line="360" w:lineRule="auto"/>
        <w:jc w:val="both"/>
        <w:rPr>
          <w:rFonts w:ascii="Arial" w:hAnsi="Arial" w:cs="Arial"/>
          <w:sz w:val="22"/>
          <w:szCs w:val="22"/>
        </w:rPr>
      </w:pPr>
    </w:p>
    <w:p w14:paraId="545A4DB6" w14:textId="77777777" w:rsidR="0083196A" w:rsidRDefault="0083196A" w:rsidP="00EA1B27">
      <w:pPr>
        <w:spacing w:line="360" w:lineRule="auto"/>
        <w:jc w:val="both"/>
        <w:rPr>
          <w:rFonts w:ascii="Arial" w:hAnsi="Arial" w:cs="Arial"/>
          <w:sz w:val="22"/>
          <w:szCs w:val="22"/>
        </w:rPr>
      </w:pPr>
    </w:p>
    <w:p w14:paraId="47F2CB98" w14:textId="77777777" w:rsidR="0083196A" w:rsidRDefault="0083196A" w:rsidP="00EA1B27">
      <w:pPr>
        <w:spacing w:line="360" w:lineRule="auto"/>
        <w:jc w:val="both"/>
        <w:rPr>
          <w:rFonts w:ascii="Arial" w:hAnsi="Arial" w:cs="Arial"/>
          <w:sz w:val="22"/>
          <w:szCs w:val="22"/>
        </w:rPr>
      </w:pPr>
    </w:p>
    <w:p w14:paraId="7627316F" w14:textId="77777777" w:rsidR="0083196A" w:rsidRDefault="0083196A" w:rsidP="00EA1B27">
      <w:pPr>
        <w:spacing w:line="360" w:lineRule="auto"/>
        <w:jc w:val="both"/>
        <w:rPr>
          <w:rFonts w:ascii="Arial" w:hAnsi="Arial" w:cs="Arial"/>
          <w:sz w:val="22"/>
          <w:szCs w:val="22"/>
        </w:rPr>
      </w:pPr>
    </w:p>
    <w:p w14:paraId="4204453C" w14:textId="77777777" w:rsidR="00EA1B27" w:rsidRPr="008223C7" w:rsidRDefault="00EA1B27" w:rsidP="00EA1B27">
      <w:pPr>
        <w:spacing w:line="360" w:lineRule="auto"/>
        <w:jc w:val="both"/>
        <w:rPr>
          <w:rFonts w:ascii="Arial" w:hAnsi="Arial" w:cs="Arial"/>
          <w:sz w:val="22"/>
          <w:szCs w:val="22"/>
        </w:rPr>
      </w:pPr>
    </w:p>
    <w:p w14:paraId="38E0D561" w14:textId="77777777" w:rsidR="00EA1B27" w:rsidRDefault="00EA1B27" w:rsidP="00EA1B27">
      <w:pPr>
        <w:spacing w:line="360" w:lineRule="auto"/>
        <w:jc w:val="both"/>
        <w:rPr>
          <w:rFonts w:ascii="Arial" w:hAnsi="Arial" w:cs="Arial"/>
          <w:b/>
          <w:bCs/>
          <w:sz w:val="22"/>
          <w:szCs w:val="22"/>
        </w:rPr>
      </w:pPr>
      <w:r w:rsidRPr="008223C7">
        <w:rPr>
          <w:rFonts w:ascii="Arial" w:hAnsi="Arial" w:cs="Arial"/>
          <w:b/>
          <w:bCs/>
          <w:sz w:val="22"/>
          <w:szCs w:val="22"/>
        </w:rPr>
        <w:lastRenderedPageBreak/>
        <w:t xml:space="preserve">                     Implications</w:t>
      </w:r>
    </w:p>
    <w:p w14:paraId="1BFD95B9" w14:textId="77777777" w:rsidR="0083196A" w:rsidRPr="008223C7" w:rsidRDefault="0083196A" w:rsidP="00EA1B27">
      <w:pPr>
        <w:spacing w:line="360" w:lineRule="auto"/>
        <w:jc w:val="both"/>
        <w:rPr>
          <w:rFonts w:ascii="Arial" w:hAnsi="Arial" w:cs="Arial"/>
          <w:b/>
          <w:bCs/>
          <w:sz w:val="22"/>
          <w:szCs w:val="22"/>
        </w:rPr>
      </w:pPr>
    </w:p>
    <w:p w14:paraId="2466C820" w14:textId="77777777" w:rsidR="00EA1B27" w:rsidRPr="008223C7" w:rsidRDefault="00EA1B27" w:rsidP="00EA1B27">
      <w:pPr>
        <w:spacing w:line="360" w:lineRule="auto"/>
        <w:jc w:val="both"/>
        <w:rPr>
          <w:rFonts w:ascii="Arial" w:hAnsi="Arial" w:cs="Arial"/>
          <w:sz w:val="22"/>
          <w:szCs w:val="22"/>
        </w:rPr>
      </w:pPr>
      <w:r w:rsidRPr="008223C7">
        <w:rPr>
          <w:rFonts w:ascii="Arial" w:hAnsi="Arial" w:cs="Arial"/>
          <w:b/>
          <w:bCs/>
          <w:sz w:val="22"/>
          <w:szCs w:val="22"/>
        </w:rPr>
        <w:t>Positive Implications</w:t>
      </w:r>
    </w:p>
    <w:p w14:paraId="16183DF5" w14:textId="77777777" w:rsidR="00EA1B27" w:rsidRPr="008223C7" w:rsidRDefault="00EA1B27" w:rsidP="00EA1B27">
      <w:pPr>
        <w:spacing w:line="360" w:lineRule="auto"/>
        <w:jc w:val="both"/>
        <w:rPr>
          <w:rFonts w:ascii="Arial" w:hAnsi="Arial" w:cs="Arial"/>
          <w:sz w:val="22"/>
          <w:szCs w:val="22"/>
        </w:rPr>
      </w:pPr>
      <w:r w:rsidRPr="008223C7">
        <w:rPr>
          <w:rFonts w:ascii="Arial" w:hAnsi="Arial" w:cs="Arial"/>
          <w:sz w:val="22"/>
          <w:szCs w:val="22"/>
        </w:rPr>
        <w:t>Identifying the barriers to early diagnosis exposes not only the unique challenges confronting Black men but also the persistent neglect these challenges have received from public and professional institutions. Rather than merely raising awareness or galvanising advocacy, it is crucial to recognise how inadequate responses to these disparities perpetuate avoidable suffering. Highlighting such obstacles should drive urgent policy reforms, deeper community collaboration, and more rigorous research, rather than token interventions (Murphy </w:t>
      </w:r>
      <w:r w:rsidRPr="008223C7">
        <w:rPr>
          <w:rFonts w:ascii="Arial" w:hAnsi="Arial" w:cs="Arial"/>
          <w:i/>
          <w:iCs/>
          <w:sz w:val="22"/>
          <w:szCs w:val="22"/>
        </w:rPr>
        <w:t>et al.</w:t>
      </w:r>
      <w:r w:rsidRPr="008223C7">
        <w:rPr>
          <w:rFonts w:ascii="Arial" w:hAnsi="Arial" w:cs="Arial"/>
          <w:sz w:val="22"/>
          <w:szCs w:val="22"/>
        </w:rPr>
        <w:t>, 2024b). Only through an honest examination of systemic failures within the NHS and by demanding culturally competent, equity-driven screening programmes can we meaningfully address health inequities and foster truly inclusive healthcare practices (Abraham </w:t>
      </w:r>
      <w:r w:rsidRPr="008223C7">
        <w:rPr>
          <w:rFonts w:ascii="Arial" w:hAnsi="Arial" w:cs="Arial"/>
          <w:i/>
          <w:iCs/>
          <w:sz w:val="22"/>
          <w:szCs w:val="22"/>
        </w:rPr>
        <w:t>et al.</w:t>
      </w:r>
      <w:r w:rsidRPr="008223C7">
        <w:rPr>
          <w:rFonts w:ascii="Arial" w:hAnsi="Arial" w:cs="Arial"/>
          <w:sz w:val="22"/>
          <w:szCs w:val="22"/>
        </w:rPr>
        <w:t>, 2022b).</w:t>
      </w:r>
    </w:p>
    <w:p w14:paraId="3B0D9AAC" w14:textId="77777777" w:rsidR="00EA1B27" w:rsidRPr="008223C7" w:rsidRDefault="00EA1B27" w:rsidP="00EA1B27">
      <w:pPr>
        <w:spacing w:line="360" w:lineRule="auto"/>
        <w:jc w:val="both"/>
        <w:rPr>
          <w:rFonts w:ascii="Arial" w:hAnsi="Arial" w:cs="Arial"/>
          <w:sz w:val="22"/>
          <w:szCs w:val="22"/>
        </w:rPr>
      </w:pPr>
      <w:r w:rsidRPr="008223C7">
        <w:rPr>
          <w:rFonts w:ascii="Arial" w:hAnsi="Arial" w:cs="Arial"/>
          <w:b/>
          <w:bCs/>
          <w:sz w:val="22"/>
          <w:szCs w:val="22"/>
        </w:rPr>
        <w:t>Negative Implications</w:t>
      </w:r>
    </w:p>
    <w:p w14:paraId="13F39AF1" w14:textId="77777777" w:rsidR="00EA1B27" w:rsidRDefault="00EA1B27" w:rsidP="00EA1B27">
      <w:pPr>
        <w:spacing w:line="360" w:lineRule="auto"/>
        <w:jc w:val="both"/>
        <w:rPr>
          <w:rFonts w:ascii="Arial" w:hAnsi="Arial" w:cs="Arial"/>
          <w:sz w:val="22"/>
          <w:szCs w:val="22"/>
        </w:rPr>
      </w:pPr>
      <w:r w:rsidRPr="008223C7">
        <w:rPr>
          <w:rFonts w:ascii="Arial" w:hAnsi="Arial" w:cs="Arial"/>
          <w:sz w:val="22"/>
          <w:szCs w:val="22"/>
        </w:rPr>
        <w:t>Persistent barriers like socio-economic inequality and inadequate screening use not only sustain but also actively exacerbate existing health disparities. Without meaningful, effective intervention, Black men will remain disproportionately affected, suffering from late-stage diagnoses and higher mortality rates. The ongoing prevalence of stigma and poor communication continues to foster mistrust in healthcare, driving further disengagement and reluctance to participate in early screenings (Murphy </w:t>
      </w:r>
      <w:r w:rsidRPr="008223C7">
        <w:rPr>
          <w:rFonts w:ascii="Arial" w:hAnsi="Arial" w:cs="Arial"/>
          <w:i/>
          <w:iCs/>
          <w:sz w:val="22"/>
          <w:szCs w:val="22"/>
        </w:rPr>
        <w:t>et al.</w:t>
      </w:r>
      <w:r w:rsidRPr="008223C7">
        <w:rPr>
          <w:rFonts w:ascii="Arial" w:hAnsi="Arial" w:cs="Arial"/>
          <w:sz w:val="22"/>
          <w:szCs w:val="22"/>
        </w:rPr>
        <w:t>, 2024c). Moreover, even when policies exist, inconsistent application and chronic under-resourcing often prevent any substantial improvement at the community level, rendering these reforms ineffective and undermining their intended impact (Carthon </w:t>
      </w:r>
      <w:r w:rsidRPr="008223C7">
        <w:rPr>
          <w:rFonts w:ascii="Arial" w:hAnsi="Arial" w:cs="Arial"/>
          <w:i/>
          <w:iCs/>
          <w:sz w:val="22"/>
          <w:szCs w:val="22"/>
        </w:rPr>
        <w:t>et al.</w:t>
      </w:r>
      <w:r w:rsidRPr="008223C7">
        <w:rPr>
          <w:rFonts w:ascii="Arial" w:hAnsi="Arial" w:cs="Arial"/>
          <w:sz w:val="22"/>
          <w:szCs w:val="22"/>
        </w:rPr>
        <w:t>, 2021). Acknowledging barriers to early diagnosis presents opportunities for research, policy progress, and better awareness; it also exposes the potential for deepening existing inequities if meaningful, enforceable interventions are not implemented. This theme not only signals the ongoing urgency but also highlights the entrenched complexity of the health disparities that Black men face in prostate cancer outcomes. Without persistent, coordinated action at multiple levels, there is a real danger that further attention will yield little more than rhetorical improvements rather than substantive, measurable change (Prostate Cancer UK, 2025c; Teo </w:t>
      </w:r>
      <w:r w:rsidRPr="008223C7">
        <w:rPr>
          <w:rFonts w:ascii="Arial" w:hAnsi="Arial" w:cs="Arial"/>
          <w:i/>
          <w:iCs/>
          <w:sz w:val="22"/>
          <w:szCs w:val="22"/>
        </w:rPr>
        <w:t>et al.</w:t>
      </w:r>
      <w:r w:rsidRPr="008223C7">
        <w:rPr>
          <w:rFonts w:ascii="Arial" w:hAnsi="Arial" w:cs="Arial"/>
          <w:sz w:val="22"/>
          <w:szCs w:val="22"/>
        </w:rPr>
        <w:t>, 2016).</w:t>
      </w:r>
    </w:p>
    <w:p w14:paraId="038BDCF5" w14:textId="77777777" w:rsidR="00EA1B27" w:rsidRDefault="00EA1B27" w:rsidP="00EA1B27">
      <w:pPr>
        <w:spacing w:line="360" w:lineRule="auto"/>
        <w:jc w:val="both"/>
        <w:rPr>
          <w:rFonts w:ascii="Arial" w:hAnsi="Arial" w:cs="Arial"/>
          <w:sz w:val="22"/>
          <w:szCs w:val="22"/>
        </w:rPr>
      </w:pPr>
    </w:p>
    <w:p w14:paraId="27A84878" w14:textId="77777777" w:rsidR="00EA1B27" w:rsidRDefault="00EA1B27" w:rsidP="00EA1B27">
      <w:pPr>
        <w:spacing w:line="360" w:lineRule="auto"/>
        <w:jc w:val="both"/>
        <w:rPr>
          <w:rFonts w:ascii="Arial" w:hAnsi="Arial" w:cs="Arial"/>
          <w:sz w:val="22"/>
          <w:szCs w:val="22"/>
        </w:rPr>
      </w:pPr>
    </w:p>
    <w:p w14:paraId="7DF0F689" w14:textId="77777777" w:rsidR="00EA1B27" w:rsidRDefault="00EA1B27" w:rsidP="00EA1B27">
      <w:pPr>
        <w:spacing w:line="360" w:lineRule="auto"/>
        <w:jc w:val="both"/>
        <w:rPr>
          <w:rFonts w:ascii="Arial" w:hAnsi="Arial" w:cs="Arial"/>
          <w:sz w:val="22"/>
          <w:szCs w:val="22"/>
        </w:rPr>
      </w:pPr>
    </w:p>
    <w:p w14:paraId="202EE8E5" w14:textId="77777777" w:rsidR="00EA1B27" w:rsidRDefault="00EA1B27" w:rsidP="00EA1B27">
      <w:pPr>
        <w:spacing w:line="360" w:lineRule="auto"/>
        <w:jc w:val="both"/>
        <w:rPr>
          <w:rFonts w:ascii="Arial" w:hAnsi="Arial" w:cs="Arial"/>
          <w:sz w:val="22"/>
          <w:szCs w:val="22"/>
        </w:rPr>
      </w:pPr>
    </w:p>
    <w:p w14:paraId="57E1C2C0" w14:textId="77777777" w:rsidR="0083196A" w:rsidRDefault="0083196A" w:rsidP="00EA1B27">
      <w:pPr>
        <w:spacing w:line="360" w:lineRule="auto"/>
        <w:jc w:val="both"/>
        <w:rPr>
          <w:rFonts w:ascii="Arial" w:hAnsi="Arial" w:cs="Arial"/>
          <w:sz w:val="22"/>
          <w:szCs w:val="22"/>
        </w:rPr>
      </w:pPr>
    </w:p>
    <w:p w14:paraId="42A96E3C" w14:textId="77777777" w:rsidR="00EA1B27" w:rsidRDefault="00EA1B27" w:rsidP="00EA1B27">
      <w:pPr>
        <w:spacing w:line="360" w:lineRule="auto"/>
        <w:jc w:val="both"/>
        <w:rPr>
          <w:rFonts w:ascii="Arial" w:hAnsi="Arial" w:cs="Arial"/>
          <w:sz w:val="22"/>
          <w:szCs w:val="22"/>
        </w:rPr>
      </w:pPr>
    </w:p>
    <w:p w14:paraId="78F6D3DA" w14:textId="77777777" w:rsidR="00EA1B27" w:rsidRDefault="00EA1B27" w:rsidP="00EA1B27">
      <w:pPr>
        <w:spacing w:line="360" w:lineRule="auto"/>
        <w:jc w:val="both"/>
        <w:rPr>
          <w:rFonts w:ascii="Arial" w:hAnsi="Arial" w:cs="Arial"/>
          <w:sz w:val="22"/>
          <w:szCs w:val="22"/>
        </w:rPr>
      </w:pPr>
    </w:p>
    <w:p w14:paraId="302A4D27" w14:textId="77777777" w:rsidR="00EA1B27" w:rsidRPr="00C7702F" w:rsidRDefault="00EA1B27" w:rsidP="00EA1B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9" w:lineRule="auto"/>
        <w:rPr>
          <w:rFonts w:ascii="Arial" w:hAnsi="Arial" w:cs="Arial"/>
          <w:sz w:val="22"/>
          <w:szCs w:val="22"/>
          <w:lang w:val="en-US"/>
        </w:rPr>
      </w:pPr>
      <w:r>
        <w:rPr>
          <w:rFonts w:ascii="Arial" w:hAnsi="Arial" w:cs="Arial"/>
          <w:b/>
          <w:bCs/>
        </w:rPr>
        <w:lastRenderedPageBreak/>
        <w:t xml:space="preserve">      </w:t>
      </w:r>
      <w:r w:rsidRPr="00C7702F">
        <w:rPr>
          <w:rFonts w:ascii="Arial" w:hAnsi="Arial" w:cs="Arial"/>
          <w:b/>
          <w:bCs/>
          <w:sz w:val="22"/>
          <w:szCs w:val="22"/>
        </w:rPr>
        <w:t>Barriers to Early Diagnosis</w:t>
      </w:r>
    </w:p>
    <w:tbl>
      <w:tblPr>
        <w:tblW w:w="10632" w:type="dxa"/>
        <w:tblInd w:w="-861" w:type="dxa"/>
        <w:tblCellMar>
          <w:left w:w="0" w:type="dxa"/>
          <w:right w:w="0" w:type="dxa"/>
        </w:tblCellMar>
        <w:tblLook w:val="0600" w:firstRow="0" w:lastRow="0" w:firstColumn="0" w:lastColumn="0" w:noHBand="1" w:noVBand="1"/>
      </w:tblPr>
      <w:tblGrid>
        <w:gridCol w:w="3798"/>
        <w:gridCol w:w="6834"/>
      </w:tblGrid>
      <w:tr w:rsidR="00EA1B27" w:rsidRPr="00F3612E" w14:paraId="10DB034B" w14:textId="77777777" w:rsidTr="008B0865">
        <w:trPr>
          <w:trHeight w:val="602"/>
        </w:trPr>
        <w:tc>
          <w:tcPr>
            <w:tcW w:w="37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E9AC8"/>
            <w:tcMar>
              <w:top w:w="72" w:type="dxa"/>
              <w:left w:w="144" w:type="dxa"/>
              <w:bottom w:w="72" w:type="dxa"/>
              <w:right w:w="144" w:type="dxa"/>
            </w:tcMar>
            <w:vAlign w:val="center"/>
            <w:hideMark/>
          </w:tcPr>
          <w:p w14:paraId="61DEADDA" w14:textId="77777777" w:rsidR="00EA1B27" w:rsidRPr="00F3612E" w:rsidRDefault="00EA1B27" w:rsidP="008B0865">
            <w:r>
              <w:rPr>
                <w:b/>
                <w:bCs/>
              </w:rPr>
              <w:t>Finding</w:t>
            </w:r>
          </w:p>
        </w:tc>
        <w:tc>
          <w:tcPr>
            <w:tcW w:w="68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E9AC8"/>
            <w:tcMar>
              <w:top w:w="72" w:type="dxa"/>
              <w:left w:w="144" w:type="dxa"/>
              <w:bottom w:w="72" w:type="dxa"/>
              <w:right w:w="144" w:type="dxa"/>
            </w:tcMar>
            <w:vAlign w:val="center"/>
            <w:hideMark/>
          </w:tcPr>
          <w:p w14:paraId="36C0787C" w14:textId="77777777" w:rsidR="00EA1B27" w:rsidRPr="00F3612E" w:rsidRDefault="00EA1B27" w:rsidP="008B0865">
            <w:pPr>
              <w:rPr>
                <w:b/>
                <w:bCs/>
              </w:rPr>
            </w:pPr>
            <w:r>
              <w:rPr>
                <w:b/>
                <w:bCs/>
              </w:rPr>
              <w:t xml:space="preserve"> </w:t>
            </w:r>
            <w:r w:rsidRPr="00F3612E">
              <w:rPr>
                <w:b/>
                <w:bCs/>
              </w:rPr>
              <w:t xml:space="preserve">Discussions </w:t>
            </w:r>
          </w:p>
        </w:tc>
      </w:tr>
      <w:tr w:rsidR="00EA1B27" w:rsidRPr="00F3612E" w14:paraId="7ADDC89B" w14:textId="77777777" w:rsidTr="008B0865">
        <w:trPr>
          <w:trHeight w:val="4090"/>
        </w:trPr>
        <w:tc>
          <w:tcPr>
            <w:tcW w:w="37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hideMark/>
          </w:tcPr>
          <w:p w14:paraId="3D1A0A58" w14:textId="77777777" w:rsidR="00EA1B27" w:rsidRPr="00D310F1" w:rsidRDefault="00EA1B27" w:rsidP="00EA1B27">
            <w:pPr>
              <w:pStyle w:val="ListParagraph"/>
              <w:numPr>
                <w:ilvl w:val="0"/>
                <w:numId w:val="3"/>
              </w:numPr>
              <w:spacing w:line="360" w:lineRule="auto"/>
              <w:rPr>
                <w:rFonts w:ascii="Arial" w:hAnsi="Arial" w:cs="Arial"/>
                <w:color w:val="000000" w:themeColor="text1"/>
                <w:sz w:val="22"/>
                <w:szCs w:val="22"/>
              </w:rPr>
            </w:pPr>
            <w:bookmarkStart w:id="11" w:name="OLE_LINK34"/>
            <w:r w:rsidRPr="00D310F1">
              <w:rPr>
                <w:rFonts w:ascii="Arial" w:hAnsi="Arial" w:cs="Arial"/>
                <w:color w:val="000000" w:themeColor="text1"/>
                <w:sz w:val="22"/>
                <w:szCs w:val="22"/>
              </w:rPr>
              <w:t>Fry, Hopkinson and Kelly (2021)</w:t>
            </w:r>
            <w:bookmarkEnd w:id="11"/>
            <w:r w:rsidRPr="00D310F1">
              <w:rPr>
                <w:rFonts w:ascii="Arial" w:hAnsi="Arial" w:cs="Arial"/>
                <w:color w:val="000000" w:themeColor="text1"/>
                <w:sz w:val="22"/>
                <w:szCs w:val="22"/>
              </w:rPr>
              <w:t>: Social or cultural factors that may lead to lower diagnosis rates among black men in the UK.</w:t>
            </w:r>
          </w:p>
          <w:p w14:paraId="2B0BB15B" w14:textId="77777777" w:rsidR="00EA1B27" w:rsidRPr="00D310F1" w:rsidRDefault="00EA1B27" w:rsidP="00EA1B27">
            <w:pPr>
              <w:pStyle w:val="ListParagraph"/>
              <w:numPr>
                <w:ilvl w:val="0"/>
                <w:numId w:val="3"/>
              </w:numPr>
              <w:spacing w:line="360" w:lineRule="auto"/>
              <w:rPr>
                <w:rFonts w:ascii="Arial" w:hAnsi="Arial" w:cs="Arial"/>
                <w:color w:val="000000" w:themeColor="text1"/>
                <w:sz w:val="22"/>
                <w:szCs w:val="22"/>
              </w:rPr>
            </w:pPr>
            <w:r w:rsidRPr="00D310F1">
              <w:rPr>
                <w:rFonts w:ascii="Arial" w:hAnsi="Arial" w:cs="Arial"/>
                <w:color w:val="000000" w:themeColor="text1"/>
                <w:sz w:val="22"/>
                <w:szCs w:val="22"/>
              </w:rPr>
              <w:t xml:space="preserve">Jong </w:t>
            </w:r>
            <w:r w:rsidRPr="00D310F1">
              <w:rPr>
                <w:rFonts w:ascii="Arial" w:hAnsi="Arial" w:cs="Arial"/>
                <w:i/>
                <w:iCs/>
                <w:color w:val="000000" w:themeColor="text1"/>
                <w:sz w:val="22"/>
                <w:szCs w:val="22"/>
              </w:rPr>
              <w:t>et al.</w:t>
            </w:r>
            <w:r w:rsidRPr="00D310F1">
              <w:rPr>
                <w:rFonts w:ascii="Arial" w:hAnsi="Arial" w:cs="Arial"/>
                <w:color w:val="000000" w:themeColor="text1"/>
                <w:sz w:val="22"/>
                <w:szCs w:val="22"/>
              </w:rPr>
              <w:t xml:space="preserve"> (2024):</w:t>
            </w:r>
            <w:r w:rsidRPr="00D310F1">
              <w:rPr>
                <w:sz w:val="22"/>
                <w:szCs w:val="22"/>
              </w:rPr>
              <w:t xml:space="preserve"> </w:t>
            </w:r>
            <w:r w:rsidRPr="00D310F1">
              <w:rPr>
                <w:rFonts w:ascii="Arial" w:hAnsi="Arial" w:cs="Arial"/>
                <w:color w:val="000000" w:themeColor="text1"/>
                <w:sz w:val="22"/>
                <w:szCs w:val="22"/>
              </w:rPr>
              <w:t>Social, emotional, cultural, and structural barriers (e.g., mistrust of the healthcare system, stigma, embarrassment, fear, economic constraints).</w:t>
            </w:r>
          </w:p>
          <w:p w14:paraId="7A9FAC4C" w14:textId="77777777" w:rsidR="00EA1B27" w:rsidRPr="006E3A3F" w:rsidRDefault="00EA1B27" w:rsidP="00EA1B27">
            <w:pPr>
              <w:pStyle w:val="ListParagraph"/>
              <w:numPr>
                <w:ilvl w:val="0"/>
                <w:numId w:val="3"/>
              </w:numPr>
              <w:spacing w:line="360" w:lineRule="auto"/>
              <w:rPr>
                <w:sz w:val="21"/>
                <w:szCs w:val="21"/>
              </w:rPr>
            </w:pPr>
            <w:r w:rsidRPr="00D310F1">
              <w:rPr>
                <w:rFonts w:ascii="Arial" w:hAnsi="Arial" w:cs="Arial"/>
                <w:color w:val="000000" w:themeColor="text1"/>
                <w:sz w:val="22"/>
                <w:szCs w:val="22"/>
              </w:rPr>
              <w:t>Alexis, Mansbridge</w:t>
            </w:r>
            <w:r w:rsidRPr="1254DAA7">
              <w:rPr>
                <w:rFonts w:ascii="Arial" w:hAnsi="Arial" w:cs="Arial"/>
                <w:color w:val="000000" w:themeColor="text1"/>
                <w:sz w:val="22"/>
                <w:szCs w:val="22"/>
              </w:rPr>
              <w:t>,</w:t>
            </w:r>
            <w:r w:rsidRPr="00D310F1">
              <w:rPr>
                <w:rFonts w:ascii="Arial" w:hAnsi="Arial" w:cs="Arial"/>
                <w:color w:val="000000" w:themeColor="text1"/>
                <w:sz w:val="22"/>
                <w:szCs w:val="22"/>
              </w:rPr>
              <w:t xml:space="preserve"> and Garbrah (2024): Sharing knowledge, role models, spreading awareness, </w:t>
            </w:r>
            <w:r w:rsidRPr="1254DAA7">
              <w:rPr>
                <w:rFonts w:ascii="Arial" w:hAnsi="Arial" w:cs="Arial"/>
                <w:color w:val="000000" w:themeColor="text1"/>
                <w:sz w:val="22"/>
                <w:szCs w:val="22"/>
              </w:rPr>
              <w:t xml:space="preserve">and </w:t>
            </w:r>
            <w:r w:rsidRPr="00D310F1">
              <w:rPr>
                <w:rFonts w:ascii="Arial" w:hAnsi="Arial" w:cs="Arial"/>
                <w:color w:val="000000" w:themeColor="text1"/>
                <w:sz w:val="22"/>
                <w:szCs w:val="22"/>
              </w:rPr>
              <w:t xml:space="preserve">initiating discussions. Lifestyle changes, PSA testing, seeking medical help. </w:t>
            </w:r>
            <w:bookmarkStart w:id="12" w:name="OLE_LINK35"/>
            <w:r w:rsidRPr="00D310F1">
              <w:rPr>
                <w:rFonts w:ascii="Arial" w:hAnsi="Arial" w:cs="Arial"/>
                <w:color w:val="000000" w:themeColor="text1"/>
                <w:sz w:val="22"/>
                <w:szCs w:val="22"/>
              </w:rPr>
              <w:t>Difficulties accessing tests due to GP awareness and healthcare procedures</w:t>
            </w:r>
            <w:bookmarkEnd w:id="12"/>
            <w:r w:rsidRPr="00D310F1">
              <w:rPr>
                <w:rFonts w:ascii="Arial" w:hAnsi="Arial" w:cs="Arial"/>
                <w:color w:val="000000" w:themeColor="text1"/>
                <w:sz w:val="22"/>
                <w:szCs w:val="22"/>
              </w:rPr>
              <w:t>.</w:t>
            </w:r>
          </w:p>
        </w:tc>
        <w:tc>
          <w:tcPr>
            <w:tcW w:w="68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hideMark/>
          </w:tcPr>
          <w:p w14:paraId="5AA1E14F" w14:textId="77777777" w:rsidR="00EA1B27" w:rsidRPr="003F4CE4" w:rsidRDefault="00EA1B27" w:rsidP="008B0865">
            <w:pPr>
              <w:spacing w:line="360" w:lineRule="auto"/>
              <w:jc w:val="both"/>
            </w:pPr>
            <w:r>
              <w:rPr>
                <w:rFonts w:ascii="Arial" w:hAnsi="Arial" w:cs="Arial"/>
                <w:sz w:val="22"/>
                <w:szCs w:val="22"/>
              </w:rPr>
              <w:t>Fry, Hopkinson, and Kelly (2021) argue that social and cultural identities are fundamental to how Black men perceive and accept their risk of prostate cancer, influencing attitudes toward help-seeking and early diagnosis. However, their analysis may oversimplify the interplay between structural determinants such as systemic racism and these social factors. Similarly, while Jong et al. (2024) found that only 24% of Black men are aware of their increased prostate cancer risk, a statistic intended to highlight a gap in knowledge, the study may underrepresent the influence of broader health inequalities and healthcare distrust. Alexis, Mansbridge, and Garbrah (2024) report empowerment among Black men after learning about their risk, including a willingness to share information and to pursue PSA testing, yet they also identify persistent barriers, particularly limited GP awareness and complex healthcare procedures, suggesting that awareness-raising alone is insufficient without systemic healthcare reform. These findings collectively raise questions about whether current interventions adequately address the underlying causes of lower prostate cancer diagnosis rates among Black men in the United Kingdom, pointing to the need for more comprehensive, equity-focused approaches.</w:t>
            </w:r>
          </w:p>
          <w:p w14:paraId="0F4D7DBA" w14:textId="77777777" w:rsidR="00EA1B27" w:rsidRDefault="00EA1B27" w:rsidP="008B0865">
            <w:pPr>
              <w:spacing w:line="360" w:lineRule="auto"/>
              <w:jc w:val="both"/>
              <w:rPr>
                <w:rFonts w:ascii="Arial" w:hAnsi="Arial" w:cs="Arial"/>
                <w:color w:val="1C1C1C"/>
                <w:sz w:val="21"/>
                <w:szCs w:val="21"/>
                <w:shd w:val="clear" w:color="auto" w:fill="FFFFFF"/>
              </w:rPr>
            </w:pPr>
          </w:p>
          <w:p w14:paraId="2ADCFCDF" w14:textId="77777777" w:rsidR="00EA1B27" w:rsidRPr="00F3612E" w:rsidRDefault="00EA1B27" w:rsidP="008B0865">
            <w:pPr>
              <w:spacing w:line="360" w:lineRule="auto"/>
              <w:rPr>
                <w:rFonts w:ascii="Arial" w:hAnsi="Arial" w:cs="Arial"/>
                <w:sz w:val="22"/>
                <w:szCs w:val="22"/>
              </w:rPr>
            </w:pPr>
          </w:p>
        </w:tc>
      </w:tr>
    </w:tbl>
    <w:p w14:paraId="2965DB18" w14:textId="77777777" w:rsidR="00EA1B27" w:rsidRPr="008223C7" w:rsidRDefault="00EA1B27" w:rsidP="00EA1B27">
      <w:pPr>
        <w:spacing w:line="360" w:lineRule="auto"/>
        <w:jc w:val="both"/>
        <w:rPr>
          <w:rFonts w:ascii="Arial" w:hAnsi="Arial" w:cs="Arial"/>
          <w:sz w:val="22"/>
          <w:szCs w:val="22"/>
        </w:rPr>
      </w:pPr>
    </w:p>
    <w:p w14:paraId="4392FA11" w14:textId="77777777" w:rsidR="00EA1B27" w:rsidRDefault="00EA1B27" w:rsidP="00EA1B27">
      <w:pPr>
        <w:spacing w:line="360" w:lineRule="auto"/>
        <w:jc w:val="both"/>
        <w:rPr>
          <w:rFonts w:ascii="Arial" w:hAnsi="Arial" w:cs="Arial"/>
          <w:sz w:val="22"/>
          <w:szCs w:val="22"/>
        </w:rPr>
      </w:pPr>
    </w:p>
    <w:p w14:paraId="7890298D" w14:textId="77777777" w:rsidR="00EA1B27" w:rsidRDefault="00EA1B27" w:rsidP="00EA1B27">
      <w:pPr>
        <w:spacing w:line="360" w:lineRule="auto"/>
        <w:jc w:val="both"/>
        <w:rPr>
          <w:rFonts w:ascii="Arial" w:hAnsi="Arial" w:cs="Arial"/>
          <w:sz w:val="22"/>
          <w:szCs w:val="22"/>
        </w:rPr>
      </w:pPr>
    </w:p>
    <w:p w14:paraId="4D96FC16" w14:textId="77777777" w:rsidR="00EA1B27" w:rsidRDefault="00EA1B27" w:rsidP="00EA1B27">
      <w:pPr>
        <w:spacing w:line="360" w:lineRule="auto"/>
        <w:jc w:val="both"/>
        <w:rPr>
          <w:rFonts w:ascii="Arial" w:hAnsi="Arial" w:cs="Arial"/>
          <w:sz w:val="22"/>
          <w:szCs w:val="22"/>
        </w:rPr>
      </w:pPr>
    </w:p>
    <w:p w14:paraId="3451A731" w14:textId="77777777" w:rsidR="00EA1B27" w:rsidRDefault="00EA1B27" w:rsidP="00EA1B27">
      <w:pPr>
        <w:spacing w:line="360" w:lineRule="auto"/>
        <w:jc w:val="both"/>
        <w:rPr>
          <w:rFonts w:ascii="Arial" w:hAnsi="Arial" w:cs="Arial"/>
          <w:sz w:val="22"/>
          <w:szCs w:val="22"/>
        </w:rPr>
      </w:pPr>
    </w:p>
    <w:p w14:paraId="3B87DC6A" w14:textId="77777777" w:rsidR="00EA1B27" w:rsidRDefault="00EA1B27" w:rsidP="00EA1B27">
      <w:pPr>
        <w:spacing w:line="360" w:lineRule="auto"/>
        <w:jc w:val="both"/>
        <w:rPr>
          <w:rFonts w:ascii="Arial" w:hAnsi="Arial" w:cs="Arial"/>
          <w:sz w:val="22"/>
          <w:szCs w:val="22"/>
        </w:rPr>
      </w:pPr>
    </w:p>
    <w:p w14:paraId="661FB1A3" w14:textId="77777777" w:rsidR="00EA1B27" w:rsidRDefault="00EA1B27" w:rsidP="00EA1B27">
      <w:pPr>
        <w:spacing w:line="360" w:lineRule="auto"/>
        <w:jc w:val="both"/>
        <w:rPr>
          <w:rFonts w:ascii="Arial" w:hAnsi="Arial" w:cs="Arial"/>
          <w:sz w:val="22"/>
          <w:szCs w:val="22"/>
        </w:rPr>
      </w:pPr>
    </w:p>
    <w:p w14:paraId="68EE9FF7" w14:textId="77777777" w:rsidR="00EA1B27" w:rsidRDefault="00EA1B27" w:rsidP="00EA1B27">
      <w:pPr>
        <w:spacing w:line="360" w:lineRule="auto"/>
        <w:jc w:val="both"/>
        <w:rPr>
          <w:rFonts w:ascii="Arial" w:hAnsi="Arial" w:cs="Arial"/>
          <w:sz w:val="22"/>
          <w:szCs w:val="22"/>
        </w:rPr>
      </w:pPr>
    </w:p>
    <w:p w14:paraId="257BBA32" w14:textId="77777777" w:rsidR="00EA1B27" w:rsidRDefault="00EA1B27" w:rsidP="00EA1B27">
      <w:pPr>
        <w:spacing w:line="360" w:lineRule="auto"/>
        <w:jc w:val="both"/>
        <w:rPr>
          <w:rFonts w:ascii="Arial" w:hAnsi="Arial" w:cs="Arial"/>
          <w:sz w:val="22"/>
          <w:szCs w:val="22"/>
        </w:rPr>
      </w:pPr>
    </w:p>
    <w:p w14:paraId="16A2E67C" w14:textId="77777777" w:rsidR="00EA1B27" w:rsidRDefault="00EA1B27" w:rsidP="00EA1B27">
      <w:pPr>
        <w:spacing w:line="360" w:lineRule="auto"/>
        <w:jc w:val="both"/>
        <w:rPr>
          <w:rFonts w:ascii="Arial" w:hAnsi="Arial" w:cs="Arial"/>
          <w:sz w:val="22"/>
          <w:szCs w:val="22"/>
        </w:rPr>
      </w:pPr>
    </w:p>
    <w:p w14:paraId="0270E01E" w14:textId="77777777" w:rsidR="00EA1B27" w:rsidRDefault="00EA1B27" w:rsidP="00EA1B27">
      <w:pPr>
        <w:spacing w:line="360" w:lineRule="auto"/>
        <w:jc w:val="both"/>
        <w:rPr>
          <w:rFonts w:ascii="Arial" w:hAnsi="Arial" w:cs="Arial"/>
          <w:sz w:val="22"/>
          <w:szCs w:val="22"/>
        </w:rPr>
      </w:pPr>
    </w:p>
    <w:p w14:paraId="3F5293CC" w14:textId="77777777" w:rsidR="00EA1B27" w:rsidRPr="009B14C1" w:rsidRDefault="00EA1B27" w:rsidP="00EA1B27">
      <w:pPr>
        <w:spacing w:line="360" w:lineRule="auto"/>
        <w:jc w:val="both"/>
        <w:rPr>
          <w:rFonts w:ascii="Arial" w:hAnsi="Arial" w:cs="Arial"/>
          <w:b/>
          <w:bCs/>
          <w:sz w:val="22"/>
          <w:szCs w:val="22"/>
        </w:rPr>
      </w:pPr>
      <w:r w:rsidRPr="009B14C1">
        <w:rPr>
          <w:rFonts w:ascii="Arial" w:hAnsi="Arial" w:cs="Arial"/>
          <w:b/>
          <w:bCs/>
          <w:sz w:val="22"/>
          <w:szCs w:val="22"/>
        </w:rPr>
        <w:lastRenderedPageBreak/>
        <w:t>Interconnections</w:t>
      </w:r>
    </w:p>
    <w:p w14:paraId="5DFCDC17" w14:textId="3468BAB8" w:rsidR="00EA1B27" w:rsidRDefault="00EA1B27" w:rsidP="00EA1B27">
      <w:pPr>
        <w:spacing w:line="360" w:lineRule="auto"/>
        <w:jc w:val="both"/>
        <w:rPr>
          <w:rFonts w:ascii="Arial" w:hAnsi="Arial" w:cs="Arial"/>
          <w:sz w:val="22"/>
          <w:szCs w:val="22"/>
        </w:rPr>
      </w:pPr>
      <w:r w:rsidRPr="009B14C1">
        <w:rPr>
          <w:rFonts w:ascii="Arial" w:hAnsi="Arial" w:cs="Arial"/>
          <w:sz w:val="22"/>
          <w:szCs w:val="22"/>
        </w:rPr>
        <w:t>Disproportionate risk and under-representation in research and policy can further erode trust. If Black men do not see themselves represented in awareness campaigns, clinical studies, or healthcare policy, they may perceive the system as unresponsive or even exclusionary. This lack of representation contributes to mistrust and disengagement from preventive health behaviours, further widening health disparities (Rogers </w:t>
      </w:r>
      <w:r w:rsidRPr="009B14C1">
        <w:rPr>
          <w:rFonts w:ascii="Arial" w:hAnsi="Arial" w:cs="Arial"/>
          <w:i/>
          <w:iCs/>
          <w:sz w:val="22"/>
          <w:szCs w:val="22"/>
        </w:rPr>
        <w:t>et al.</w:t>
      </w:r>
      <w:r w:rsidRPr="009B14C1">
        <w:rPr>
          <w:rFonts w:ascii="Arial" w:hAnsi="Arial" w:cs="Arial"/>
          <w:sz w:val="22"/>
          <w:szCs w:val="22"/>
        </w:rPr>
        <w:t>, 2018b).</w:t>
      </w:r>
      <w:r w:rsidR="001D13EF" w:rsidRPr="001D13EF">
        <w:rPr>
          <w:rFonts w:ascii="Arial" w:hAnsi="Arial" w:cs="Arial"/>
          <w:color w:val="151515"/>
          <w:kern w:val="0"/>
          <w:position w:val="6"/>
          <w:sz w:val="22"/>
          <w:szCs w:val="22"/>
        </w:rPr>
        <w:t xml:space="preserve"> </w:t>
      </w:r>
      <w:r w:rsidR="001D13EF" w:rsidRPr="00A8243F">
        <w:rPr>
          <w:rFonts w:ascii="Arial" w:hAnsi="Arial" w:cs="Arial"/>
          <w:color w:val="151515"/>
          <w:kern w:val="0"/>
          <w:position w:val="6"/>
          <w:sz w:val="22"/>
          <w:szCs w:val="22"/>
        </w:rPr>
        <w:t>Recognising and addressing these barriers is critical</w:t>
      </w:r>
      <w:r w:rsidR="001D13EF">
        <w:rPr>
          <w:rFonts w:ascii="Arial" w:hAnsi="Arial" w:cs="Arial"/>
          <w:color w:val="151515"/>
          <w:kern w:val="0"/>
          <w:position w:val="6"/>
          <w:sz w:val="22"/>
          <w:szCs w:val="22"/>
        </w:rPr>
        <w:t xml:space="preserve">; </w:t>
      </w:r>
      <w:r w:rsidR="001D13EF" w:rsidRPr="00A8243F">
        <w:rPr>
          <w:rFonts w:ascii="Arial" w:hAnsi="Arial" w:cs="Arial"/>
          <w:color w:val="151515"/>
          <w:kern w:val="0"/>
          <w:position w:val="6"/>
          <w:sz w:val="22"/>
          <w:szCs w:val="22"/>
        </w:rPr>
        <w:t xml:space="preserve">simply raising awareness is insufficient without system-level changes and culturally competent intervention. In summary, the persistent obstacles to early diagnosis underscore the urgent need for targeted, equity-focused reforms. The </w:t>
      </w:r>
      <w:r w:rsidR="007F322E">
        <w:rPr>
          <w:rFonts w:ascii="Arial" w:hAnsi="Arial" w:cs="Arial"/>
          <w:color w:val="151515"/>
          <w:kern w:val="0"/>
          <w:position w:val="6"/>
          <w:sz w:val="22"/>
          <w:szCs w:val="22"/>
        </w:rPr>
        <w:t>following</w:t>
      </w:r>
      <w:r w:rsidR="001D13EF" w:rsidRPr="00A8243F">
        <w:rPr>
          <w:rFonts w:ascii="Arial" w:hAnsi="Arial" w:cs="Arial"/>
          <w:color w:val="151515"/>
          <w:kern w:val="0"/>
          <w:position w:val="6"/>
          <w:sz w:val="22"/>
          <w:szCs w:val="22"/>
        </w:rPr>
        <w:t xml:space="preserve"> section will explore how these diagnostic gaps are deepened by disproportionate risk and the under-representation of Black men in research and policy, perpetuating a cycle of health inequality</w:t>
      </w:r>
      <w:r w:rsidR="001D13EF" w:rsidRPr="003A7087">
        <w:rPr>
          <w:rFonts w:ascii="Arial" w:hAnsi="Arial" w:cs="Arial"/>
          <w:color w:val="151515"/>
          <w:kern w:val="0"/>
          <w:position w:val="6"/>
          <w:sz w:val="22"/>
          <w:szCs w:val="22"/>
        </w:rPr>
        <w:t xml:space="preserve"> </w:t>
      </w:r>
      <w:r w:rsidR="00B43773">
        <w:rPr>
          <w:rFonts w:ascii="Arial" w:hAnsi="Arial" w:cs="Arial"/>
          <w:color w:val="151515"/>
          <w:kern w:val="0"/>
          <w:position w:val="6"/>
          <w:sz w:val="22"/>
          <w:szCs w:val="22"/>
        </w:rPr>
        <w:t>(</w:t>
      </w:r>
      <w:r w:rsidR="00560630" w:rsidRPr="00A8243F">
        <w:rPr>
          <w:rFonts w:ascii="Arial" w:hAnsi="Arial" w:cs="Arial"/>
          <w:color w:val="151515"/>
          <w:kern w:val="0"/>
          <w:position w:val="6"/>
          <w:sz w:val="22"/>
          <w:szCs w:val="22"/>
        </w:rPr>
        <w:t>Motley et al., 2023</w:t>
      </w:r>
      <w:r w:rsidR="00B43773">
        <w:rPr>
          <w:rFonts w:ascii="Arial" w:hAnsi="Arial" w:cs="Arial"/>
          <w:color w:val="151515"/>
          <w:kern w:val="0"/>
          <w:position w:val="6"/>
          <w:sz w:val="22"/>
          <w:szCs w:val="22"/>
        </w:rPr>
        <w:t>b)</w:t>
      </w:r>
      <w:r w:rsidR="001D13EF" w:rsidRPr="00A8243F">
        <w:rPr>
          <w:rFonts w:ascii="Arial" w:hAnsi="Arial" w:cs="Arial"/>
          <w:color w:val="151515"/>
          <w:kern w:val="0"/>
          <w:position w:val="6"/>
          <w:sz w:val="22"/>
          <w:szCs w:val="22"/>
        </w:rPr>
        <w:t>.</w:t>
      </w:r>
    </w:p>
    <w:p w14:paraId="0EF13BA6" w14:textId="77777777" w:rsidR="00EA1B27" w:rsidRPr="009B14C1" w:rsidRDefault="00EA1B27" w:rsidP="00EA1B27">
      <w:pPr>
        <w:spacing w:line="360" w:lineRule="auto"/>
        <w:jc w:val="both"/>
        <w:rPr>
          <w:rFonts w:ascii="Arial" w:hAnsi="Arial" w:cs="Arial"/>
          <w:sz w:val="22"/>
          <w:szCs w:val="22"/>
        </w:rPr>
      </w:pPr>
    </w:p>
    <w:p w14:paraId="48944D2D" w14:textId="77777777" w:rsidR="00EA1B27" w:rsidRPr="009B14C1" w:rsidRDefault="00EA1B27" w:rsidP="00EA1B27">
      <w:pPr>
        <w:numPr>
          <w:ilvl w:val="1"/>
          <w:numId w:val="1"/>
        </w:numPr>
        <w:spacing w:after="160" w:line="360" w:lineRule="auto"/>
        <w:jc w:val="both"/>
        <w:rPr>
          <w:rFonts w:ascii="Arial" w:hAnsi="Arial" w:cs="Arial"/>
          <w:b/>
          <w:bCs/>
          <w:sz w:val="22"/>
          <w:szCs w:val="22"/>
        </w:rPr>
      </w:pPr>
      <w:r w:rsidRPr="009B14C1">
        <w:rPr>
          <w:rFonts w:ascii="Arial" w:hAnsi="Arial" w:cs="Arial"/>
          <w:b/>
          <w:bCs/>
          <w:sz w:val="22"/>
          <w:szCs w:val="22"/>
        </w:rPr>
        <w:t xml:space="preserve">– Theme 3: </w:t>
      </w:r>
      <w:bookmarkStart w:id="13" w:name="OLE_LINK28"/>
      <w:r w:rsidRPr="009B14C1">
        <w:rPr>
          <w:rFonts w:ascii="Arial" w:hAnsi="Arial" w:cs="Arial"/>
          <w:b/>
          <w:bCs/>
          <w:sz w:val="22"/>
          <w:szCs w:val="22"/>
        </w:rPr>
        <w:t>Disproportionate Risk and Under-Representation</w:t>
      </w:r>
      <w:bookmarkEnd w:id="13"/>
      <w:r w:rsidRPr="009B14C1">
        <w:rPr>
          <w:rFonts w:ascii="Arial" w:hAnsi="Arial" w:cs="Arial"/>
          <w:b/>
          <w:bCs/>
          <w:sz w:val="22"/>
          <w:szCs w:val="22"/>
        </w:rPr>
        <w:t>.</w:t>
      </w:r>
    </w:p>
    <w:p w14:paraId="7C61839F" w14:textId="77777777" w:rsidR="00EA1B27" w:rsidRPr="009B14C1" w:rsidRDefault="00EA1B27" w:rsidP="00EA1B27">
      <w:pPr>
        <w:spacing w:line="360" w:lineRule="auto"/>
        <w:jc w:val="both"/>
        <w:rPr>
          <w:rFonts w:ascii="Arial" w:hAnsi="Arial" w:cs="Arial"/>
          <w:b/>
          <w:bCs/>
          <w:sz w:val="22"/>
          <w:szCs w:val="22"/>
        </w:rPr>
      </w:pPr>
      <w:r w:rsidRPr="009B14C1">
        <w:rPr>
          <w:rFonts w:ascii="Arial" w:hAnsi="Arial" w:cs="Arial"/>
          <w:b/>
          <w:bCs/>
          <w:sz w:val="22"/>
          <w:szCs w:val="22"/>
        </w:rPr>
        <w:t>Definition</w:t>
      </w:r>
    </w:p>
    <w:p w14:paraId="44036784" w14:textId="77777777" w:rsidR="00EA1B27" w:rsidRPr="009B14C1" w:rsidRDefault="00EA1B27" w:rsidP="00EA1B27">
      <w:pPr>
        <w:spacing w:line="360" w:lineRule="auto"/>
        <w:jc w:val="both"/>
        <w:rPr>
          <w:rFonts w:ascii="Arial" w:hAnsi="Arial" w:cs="Arial"/>
          <w:sz w:val="22"/>
          <w:szCs w:val="22"/>
        </w:rPr>
      </w:pPr>
      <w:r w:rsidRPr="009B14C1">
        <w:rPr>
          <w:rFonts w:ascii="Arial" w:hAnsi="Arial" w:cs="Arial"/>
          <w:sz w:val="22"/>
          <w:szCs w:val="22"/>
        </w:rPr>
        <w:t xml:space="preserve">Disproportionate Risk and Under-Representation </w:t>
      </w:r>
      <w:r w:rsidRPr="4EC2E67D">
        <w:rPr>
          <w:rFonts w:ascii="Arial" w:hAnsi="Arial" w:cs="Arial"/>
          <w:sz w:val="22"/>
          <w:szCs w:val="22"/>
        </w:rPr>
        <w:t>refer</w:t>
      </w:r>
      <w:r w:rsidRPr="009B14C1">
        <w:rPr>
          <w:rFonts w:ascii="Arial" w:hAnsi="Arial" w:cs="Arial"/>
          <w:sz w:val="22"/>
          <w:szCs w:val="22"/>
        </w:rPr>
        <w:t xml:space="preserve"> to the systemic phenomenon where groups, individuals, or communities are subjected to elevated levels of risk, danger, or </w:t>
      </w:r>
      <w:r>
        <w:rPr>
          <w:rFonts w:ascii="Arial" w:hAnsi="Arial" w:cs="Arial"/>
          <w:sz w:val="22"/>
          <w:szCs w:val="22"/>
        </w:rPr>
        <w:t>advers</w:t>
      </w:r>
      <w:r w:rsidRPr="009B14C1">
        <w:rPr>
          <w:rFonts w:ascii="Arial" w:hAnsi="Arial" w:cs="Arial"/>
          <w:sz w:val="22"/>
          <w:szCs w:val="22"/>
        </w:rPr>
        <w:t>e consequences compared to others. These risks span health disparities, social injustice, economic hardship, and exposure to harm (Rogers </w:t>
      </w:r>
      <w:r w:rsidRPr="009B14C1">
        <w:rPr>
          <w:rFonts w:ascii="Arial" w:hAnsi="Arial" w:cs="Arial"/>
          <w:i/>
          <w:iCs/>
          <w:sz w:val="22"/>
          <w:szCs w:val="22"/>
        </w:rPr>
        <w:t>et al.</w:t>
      </w:r>
      <w:r w:rsidRPr="009B14C1">
        <w:rPr>
          <w:rFonts w:ascii="Arial" w:hAnsi="Arial" w:cs="Arial"/>
          <w:sz w:val="22"/>
          <w:szCs w:val="22"/>
        </w:rPr>
        <w:t>, 2018c). The reasons are deeply rooted in systemic structures, such as historical discrimination, restricted access to resources, and pervasive institutional biases. Critically, these same groups are frequently denied meaningful participation in decision-making, leadership, or research forums that shape their futures. This intersection of heightened vulnerability and persistent exclusion not only intensifies existing inequalities but also fundamentally undermines efforts to identify and enact effective, just solutions (Loeb </w:t>
      </w:r>
      <w:r w:rsidRPr="009B14C1">
        <w:rPr>
          <w:rFonts w:ascii="Arial" w:hAnsi="Arial" w:cs="Arial"/>
          <w:i/>
          <w:iCs/>
          <w:sz w:val="22"/>
          <w:szCs w:val="22"/>
        </w:rPr>
        <w:t>et al.</w:t>
      </w:r>
      <w:r w:rsidRPr="009B14C1">
        <w:rPr>
          <w:rFonts w:ascii="Arial" w:hAnsi="Arial" w:cs="Arial"/>
          <w:sz w:val="22"/>
          <w:szCs w:val="22"/>
        </w:rPr>
        <w:t>, 2024).</w:t>
      </w:r>
    </w:p>
    <w:p w14:paraId="51A71D6D" w14:textId="77777777" w:rsidR="00EA1B27" w:rsidRPr="009B14C1" w:rsidRDefault="00EA1B27" w:rsidP="00EA1B27">
      <w:pPr>
        <w:spacing w:line="360" w:lineRule="auto"/>
        <w:jc w:val="both"/>
        <w:rPr>
          <w:rFonts w:ascii="Arial" w:hAnsi="Arial" w:cs="Arial"/>
          <w:b/>
          <w:bCs/>
          <w:sz w:val="22"/>
          <w:szCs w:val="22"/>
        </w:rPr>
      </w:pPr>
      <w:r w:rsidRPr="009B14C1">
        <w:rPr>
          <w:rFonts w:ascii="Arial" w:hAnsi="Arial" w:cs="Arial"/>
          <w:b/>
          <w:bCs/>
          <w:sz w:val="22"/>
          <w:szCs w:val="22"/>
        </w:rPr>
        <w:t>Background Information</w:t>
      </w:r>
    </w:p>
    <w:p w14:paraId="1320BCB6" w14:textId="77777777" w:rsidR="00EA1B27" w:rsidRPr="009B14C1" w:rsidRDefault="00EA1B27" w:rsidP="00EA1B27">
      <w:pPr>
        <w:spacing w:line="360" w:lineRule="auto"/>
        <w:jc w:val="both"/>
        <w:rPr>
          <w:rFonts w:ascii="Arial" w:hAnsi="Arial" w:cs="Arial"/>
          <w:sz w:val="22"/>
          <w:szCs w:val="22"/>
        </w:rPr>
      </w:pPr>
      <w:r w:rsidRPr="009B14C1">
        <w:rPr>
          <w:rFonts w:ascii="Arial" w:hAnsi="Arial" w:cs="Arial"/>
          <w:sz w:val="22"/>
          <w:szCs w:val="22"/>
        </w:rPr>
        <w:t xml:space="preserve">Disproportionate risks and underrepresentation continue to be significant problems within the UK’s NHS (National Health Service). While established to provide equal access to healthcare, systemic inequalities have endured since its beginning. Minority groups, </w:t>
      </w:r>
      <w:r w:rsidRPr="4EC2E67D">
        <w:rPr>
          <w:rFonts w:ascii="Arial" w:hAnsi="Arial" w:cs="Arial"/>
          <w:sz w:val="22"/>
          <w:szCs w:val="22"/>
        </w:rPr>
        <w:t>poor</w:t>
      </w:r>
      <w:r w:rsidRPr="009B14C1">
        <w:rPr>
          <w:rFonts w:ascii="Arial" w:hAnsi="Arial" w:cs="Arial"/>
          <w:sz w:val="22"/>
          <w:szCs w:val="22"/>
        </w:rPr>
        <w:t xml:space="preserve"> communities, and individuals with disabilities still encounter </w:t>
      </w:r>
      <w:r>
        <w:rPr>
          <w:rFonts w:ascii="Arial" w:hAnsi="Arial" w:cs="Arial"/>
          <w:sz w:val="22"/>
          <w:szCs w:val="22"/>
        </w:rPr>
        <w:t>significant</w:t>
      </w:r>
      <w:r w:rsidRPr="009B14C1">
        <w:rPr>
          <w:rFonts w:ascii="Arial" w:hAnsi="Arial" w:cs="Arial"/>
          <w:sz w:val="22"/>
          <w:szCs w:val="22"/>
        </w:rPr>
        <w:t xml:space="preserve"> obstacles. Although the NHS began in 1948 with promises of universal, free care, social issues such as poverty, inadequate housing, and persistent discrimination have kept some populations at a disadvantage (Murphy </w:t>
      </w:r>
      <w:r w:rsidRPr="009B14C1">
        <w:rPr>
          <w:rFonts w:ascii="Arial" w:hAnsi="Arial" w:cs="Arial"/>
          <w:i/>
          <w:iCs/>
          <w:sz w:val="22"/>
          <w:szCs w:val="22"/>
        </w:rPr>
        <w:t>et al.</w:t>
      </w:r>
      <w:r w:rsidRPr="009B14C1">
        <w:rPr>
          <w:rFonts w:ascii="Arial" w:hAnsi="Arial" w:cs="Arial"/>
          <w:sz w:val="22"/>
          <w:szCs w:val="22"/>
        </w:rPr>
        <w:t xml:space="preserve">, 2024c; Limb, 2021). Data consistently show that ethnic minorities, low-income populations, and certain regions face higher risks, such as elevated infant mortality, increased chronic illness, and reduced access to specialist services. Equity is further threatened by the under-representation of these groups in NHS leadership, research, and policymaking, which </w:t>
      </w:r>
      <w:r w:rsidRPr="009B14C1">
        <w:rPr>
          <w:rFonts w:ascii="Arial" w:hAnsi="Arial" w:cs="Arial"/>
          <w:sz w:val="22"/>
          <w:szCs w:val="22"/>
        </w:rPr>
        <w:lastRenderedPageBreak/>
        <w:t>often excludes their viewpoints (Otu </w:t>
      </w:r>
      <w:r w:rsidRPr="009B14C1">
        <w:rPr>
          <w:rFonts w:ascii="Arial" w:hAnsi="Arial" w:cs="Arial"/>
          <w:i/>
          <w:iCs/>
          <w:sz w:val="22"/>
          <w:szCs w:val="22"/>
        </w:rPr>
        <w:t>et al.</w:t>
      </w:r>
      <w:r w:rsidRPr="009B14C1">
        <w:rPr>
          <w:rFonts w:ascii="Arial" w:hAnsi="Arial" w:cs="Arial"/>
          <w:sz w:val="22"/>
          <w:szCs w:val="22"/>
        </w:rPr>
        <w:t>, 2020). The COVID-19 pandemic exposed these issues, with Black, Asian, and Minority Ethnic (BAME) groups suffering disproportionate mortality rates and facing additional barriers to care, widely seen as both predictable and preventable. While the NHS has taken some actions, including external reviews and diversity initiatives, progress has been slow, fragmented, and insufficient, given the magnitude of the problem (Chasma and Khonat, 2021).</w:t>
      </w:r>
    </w:p>
    <w:p w14:paraId="69F44AFC" w14:textId="77777777" w:rsidR="00EA1B27" w:rsidRPr="009B14C1" w:rsidRDefault="00EA1B27" w:rsidP="00EA1B27">
      <w:pPr>
        <w:spacing w:line="360" w:lineRule="auto"/>
        <w:jc w:val="both"/>
        <w:rPr>
          <w:rFonts w:ascii="Arial" w:hAnsi="Arial" w:cs="Arial"/>
          <w:b/>
          <w:bCs/>
          <w:sz w:val="22"/>
          <w:szCs w:val="22"/>
        </w:rPr>
      </w:pPr>
      <w:r w:rsidRPr="009B14C1">
        <w:rPr>
          <w:rFonts w:ascii="Arial" w:hAnsi="Arial" w:cs="Arial"/>
          <w:b/>
          <w:bCs/>
          <w:sz w:val="22"/>
          <w:szCs w:val="22"/>
        </w:rPr>
        <w:t>Impact on Research Question</w:t>
      </w:r>
    </w:p>
    <w:p w14:paraId="5BEDA094" w14:textId="77777777" w:rsidR="00EA1B27" w:rsidRPr="009B14C1" w:rsidRDefault="00EA1B27" w:rsidP="00EA1B27">
      <w:pPr>
        <w:spacing w:line="360" w:lineRule="auto"/>
        <w:jc w:val="both"/>
        <w:rPr>
          <w:rFonts w:ascii="Arial" w:hAnsi="Arial" w:cs="Arial"/>
          <w:sz w:val="22"/>
          <w:szCs w:val="22"/>
        </w:rPr>
      </w:pPr>
      <w:r w:rsidRPr="009B14C1">
        <w:rPr>
          <w:rFonts w:ascii="Arial" w:hAnsi="Arial" w:cs="Arial"/>
          <w:sz w:val="22"/>
          <w:szCs w:val="22"/>
        </w:rPr>
        <w:t>Research on disparities in prostate cancer outcomes among Black men in the UK focuses on themes of Disproportionate Risk and Under-Representation. These highlight the higher incidence and mortality rates experienced by Black men, pointing to their increased vulnerability, as well as their persistent underrepresentation in research, policymaking, and healthcare decision-making (Wise and Wise, 2022). Consequently, Black men tend to develop prostate cancer earlier and in more aggressive forms, while also confronting social obstacles such as systemic racism, economic marginalisation, and exclusion from healthcare advances. Their limited participation in clinical trials and policy discussions often results in research and healthcare solutions that do not fully meet their specific needs, leading to less effective, less accessible, or culturally insensitive care (Lillard </w:t>
      </w:r>
      <w:r w:rsidRPr="009B14C1">
        <w:rPr>
          <w:rFonts w:ascii="Arial" w:hAnsi="Arial" w:cs="Arial"/>
          <w:i/>
          <w:iCs/>
          <w:sz w:val="22"/>
          <w:szCs w:val="22"/>
        </w:rPr>
        <w:t>et al.</w:t>
      </w:r>
      <w:r w:rsidRPr="009B14C1">
        <w:rPr>
          <w:rFonts w:ascii="Arial" w:hAnsi="Arial" w:cs="Arial"/>
          <w:sz w:val="22"/>
          <w:szCs w:val="22"/>
        </w:rPr>
        <w:t>, 2022e; Esdaille </w:t>
      </w:r>
      <w:r w:rsidRPr="009B14C1">
        <w:rPr>
          <w:rFonts w:ascii="Arial" w:hAnsi="Arial" w:cs="Arial"/>
          <w:i/>
          <w:iCs/>
          <w:sz w:val="22"/>
          <w:szCs w:val="22"/>
        </w:rPr>
        <w:t>et al.</w:t>
      </w:r>
      <w:r w:rsidRPr="009B14C1">
        <w:rPr>
          <w:rFonts w:ascii="Arial" w:hAnsi="Arial" w:cs="Arial"/>
          <w:sz w:val="22"/>
          <w:szCs w:val="22"/>
        </w:rPr>
        <w:t>, 2021).</w:t>
      </w:r>
    </w:p>
    <w:p w14:paraId="46363158" w14:textId="77777777" w:rsidR="00EA1B27" w:rsidRPr="009B14C1" w:rsidRDefault="00EA1B27" w:rsidP="00EA1B27">
      <w:pPr>
        <w:spacing w:line="360" w:lineRule="auto"/>
        <w:jc w:val="both"/>
        <w:rPr>
          <w:rFonts w:ascii="Arial" w:hAnsi="Arial" w:cs="Arial"/>
          <w:sz w:val="22"/>
          <w:szCs w:val="22"/>
        </w:rPr>
      </w:pPr>
      <w:r w:rsidRPr="009B14C1">
        <w:rPr>
          <w:rFonts w:ascii="Arial" w:hAnsi="Arial" w:cs="Arial"/>
          <w:sz w:val="22"/>
          <w:szCs w:val="22"/>
        </w:rPr>
        <w:t>This underscores the need for targeted research, improved data collection, and more inclusive healthcare policies. It also explains why disparities persist even within systems like the NHS that aim for equity, illustrating how institutional and societal barriers sustain unequal outcomes (Murphy </w:t>
      </w:r>
      <w:r w:rsidRPr="009B14C1">
        <w:rPr>
          <w:rFonts w:ascii="Arial" w:hAnsi="Arial" w:cs="Arial"/>
          <w:i/>
          <w:iCs/>
          <w:sz w:val="22"/>
          <w:szCs w:val="22"/>
        </w:rPr>
        <w:t>et al.</w:t>
      </w:r>
      <w:r w:rsidRPr="009B14C1">
        <w:rPr>
          <w:rFonts w:ascii="Arial" w:hAnsi="Arial" w:cs="Arial"/>
          <w:sz w:val="22"/>
          <w:szCs w:val="22"/>
        </w:rPr>
        <w:t>, 2024d; Ahaghotu, Tyler and Sartor, 2015). Recognising gaps in risk and representation can help guide more effective interventions, including targeted awareness campaigns, culturally sensitive outreach, and improved trial recruitment to support Black men. Beyond clinical considerations, this highlights social and structural factors, emphasising the importance of a comprehensive approach to addressing prostate cancer disparities. Addressing under-representation amplifies the voices of those most affected, fostering policies and research that better reflect their needs</w:t>
      </w:r>
      <w:r w:rsidRPr="4EC2E67D">
        <w:rPr>
          <w:rFonts w:ascii="Arial" w:hAnsi="Arial" w:cs="Arial"/>
          <w:sz w:val="22"/>
          <w:szCs w:val="22"/>
        </w:rPr>
        <w:t xml:space="preserve"> </w:t>
      </w:r>
      <w:r w:rsidRPr="009B14C1">
        <w:rPr>
          <w:rFonts w:ascii="Arial" w:hAnsi="Arial" w:cs="Arial"/>
          <w:sz w:val="22"/>
          <w:szCs w:val="22"/>
        </w:rPr>
        <w:t>(Rogers </w:t>
      </w:r>
      <w:r w:rsidRPr="009B14C1">
        <w:rPr>
          <w:rFonts w:ascii="Arial" w:hAnsi="Arial" w:cs="Arial"/>
          <w:i/>
          <w:iCs/>
          <w:sz w:val="22"/>
          <w:szCs w:val="22"/>
        </w:rPr>
        <w:t>et al.</w:t>
      </w:r>
      <w:r w:rsidRPr="009B14C1">
        <w:rPr>
          <w:rFonts w:ascii="Arial" w:hAnsi="Arial" w:cs="Arial"/>
          <w:sz w:val="22"/>
          <w:szCs w:val="22"/>
        </w:rPr>
        <w:t>, 2018c; Vince </w:t>
      </w:r>
      <w:r w:rsidRPr="009B14C1">
        <w:rPr>
          <w:rFonts w:ascii="Arial" w:hAnsi="Arial" w:cs="Arial"/>
          <w:i/>
          <w:iCs/>
          <w:sz w:val="22"/>
          <w:szCs w:val="22"/>
        </w:rPr>
        <w:t>et al.</w:t>
      </w:r>
      <w:r w:rsidRPr="009B14C1">
        <w:rPr>
          <w:rFonts w:ascii="Arial" w:hAnsi="Arial" w:cs="Arial"/>
          <w:sz w:val="22"/>
          <w:szCs w:val="22"/>
        </w:rPr>
        <w:t>, 2021).</w:t>
      </w:r>
    </w:p>
    <w:p w14:paraId="280FE62B" w14:textId="77777777" w:rsidR="00EA1B27" w:rsidRPr="009B14C1" w:rsidRDefault="00EA1B27" w:rsidP="00EA1B27">
      <w:pPr>
        <w:spacing w:line="360" w:lineRule="auto"/>
        <w:jc w:val="both"/>
        <w:rPr>
          <w:rFonts w:ascii="Arial" w:hAnsi="Arial" w:cs="Arial"/>
          <w:b/>
          <w:bCs/>
          <w:sz w:val="22"/>
          <w:szCs w:val="22"/>
        </w:rPr>
      </w:pPr>
      <w:r w:rsidRPr="009B14C1">
        <w:rPr>
          <w:rFonts w:ascii="Arial" w:hAnsi="Arial" w:cs="Arial"/>
          <w:b/>
          <w:bCs/>
          <w:sz w:val="22"/>
          <w:szCs w:val="22"/>
        </w:rPr>
        <w:t>Statistical Information</w:t>
      </w:r>
    </w:p>
    <w:p w14:paraId="04FDDA5D" w14:textId="77777777" w:rsidR="00EA1B27" w:rsidRPr="009B14C1" w:rsidRDefault="00EA1B27" w:rsidP="00EA1B27">
      <w:pPr>
        <w:spacing w:line="360" w:lineRule="auto"/>
        <w:jc w:val="both"/>
        <w:rPr>
          <w:rFonts w:ascii="Arial" w:hAnsi="Arial" w:cs="Arial"/>
          <w:sz w:val="22"/>
          <w:szCs w:val="22"/>
        </w:rPr>
      </w:pPr>
      <w:r w:rsidRPr="009B14C1">
        <w:rPr>
          <w:rFonts w:ascii="Arial" w:hAnsi="Arial" w:cs="Arial"/>
          <w:sz w:val="22"/>
          <w:szCs w:val="22"/>
        </w:rPr>
        <w:t>Black men in the UK are at least twice as likely as white men to be diagnosed with prostate cancer, with an alarming incidence rate of about 1 in 4 Black men compared to 1 in 8 white men. They also tend to be diagnosed at a younger age and face more aggressive disease more often. Despite these well-known risks, the representation of Black, Asian, and Minority Ethnic individuals remains shockingly low among NHS board members in England. This trend is also seen in clinical trials, where less than 5% of participants are from Black backgrounds, despite their higher disease burden</w:t>
      </w:r>
      <w:r w:rsidRPr="4EC2E67D">
        <w:rPr>
          <w:rFonts w:ascii="Arial" w:hAnsi="Arial" w:cs="Arial"/>
          <w:sz w:val="22"/>
          <w:szCs w:val="22"/>
        </w:rPr>
        <w:t xml:space="preserve"> </w:t>
      </w:r>
      <w:r w:rsidRPr="009B14C1">
        <w:rPr>
          <w:rFonts w:ascii="Arial" w:hAnsi="Arial" w:cs="Arial"/>
          <w:sz w:val="22"/>
          <w:szCs w:val="22"/>
        </w:rPr>
        <w:t xml:space="preserve">(Prostate Cancer UK, 2025b; Rimmer, 2020). This stark disparity has led to urgent calls for earlier, routine screening. However, as of 2025, the NHS has refused to implement such programmes, citing insufficient evidence for population-wide </w:t>
      </w:r>
      <w:r w:rsidRPr="009B14C1">
        <w:rPr>
          <w:rFonts w:ascii="Arial" w:hAnsi="Arial" w:cs="Arial"/>
          <w:sz w:val="22"/>
          <w:szCs w:val="22"/>
        </w:rPr>
        <w:lastRenderedPageBreak/>
        <w:t>screening. This reasoning overlooks the specific risks faced by minority populations and reflects systemic neglect. The ongoing underrepresentation in NHS leadership and research has sparked criticism. Diversity and recruitment efforts have not yet led to meaningful change, and without leadership transformation, institutional biases are likely to persist. Training alone is insufficient, and progress is unacceptably slow (Irons, 2024). Consequently, preventable deaths and poorer health outcomes continue. The persistent lack of representation in research and decision-making risks perpetuating cycles of inequality. Ultimately, improving data collection, tackling systemic bias, and prioritising representation should be central to the NHS's efforts to provide equitable healthcare and rebuild trust among marginalised communities (Green </w:t>
      </w:r>
      <w:r w:rsidRPr="009B14C1">
        <w:rPr>
          <w:rFonts w:ascii="Arial" w:hAnsi="Arial" w:cs="Arial"/>
          <w:i/>
          <w:iCs/>
          <w:sz w:val="22"/>
          <w:szCs w:val="22"/>
        </w:rPr>
        <w:t>et al.</w:t>
      </w:r>
      <w:r w:rsidRPr="009B14C1">
        <w:rPr>
          <w:rFonts w:ascii="Arial" w:hAnsi="Arial" w:cs="Arial"/>
          <w:sz w:val="22"/>
          <w:szCs w:val="22"/>
        </w:rPr>
        <w:t>, 2025a).</w:t>
      </w:r>
    </w:p>
    <w:p w14:paraId="19AED3FD" w14:textId="77777777" w:rsidR="00EA1B27" w:rsidRPr="009B14C1" w:rsidRDefault="00EA1B27" w:rsidP="00EA1B27">
      <w:pPr>
        <w:spacing w:line="360" w:lineRule="auto"/>
        <w:jc w:val="both"/>
        <w:rPr>
          <w:rFonts w:ascii="Arial" w:hAnsi="Arial" w:cs="Arial"/>
          <w:b/>
          <w:bCs/>
          <w:sz w:val="22"/>
          <w:szCs w:val="22"/>
        </w:rPr>
      </w:pPr>
      <w:r w:rsidRPr="009B14C1">
        <w:rPr>
          <w:rFonts w:ascii="Arial" w:hAnsi="Arial" w:cs="Arial"/>
          <w:b/>
          <w:bCs/>
          <w:sz w:val="22"/>
          <w:szCs w:val="22"/>
        </w:rPr>
        <w:t>Theories, Policies, and Legislation</w:t>
      </w:r>
    </w:p>
    <w:p w14:paraId="63075F35" w14:textId="77777777" w:rsidR="00EA1B27" w:rsidRPr="009B14C1" w:rsidRDefault="00EA1B27" w:rsidP="00EA1B27">
      <w:pPr>
        <w:spacing w:line="360" w:lineRule="auto"/>
        <w:jc w:val="both"/>
        <w:rPr>
          <w:rFonts w:ascii="Arial" w:hAnsi="Arial" w:cs="Arial"/>
          <w:sz w:val="22"/>
          <w:szCs w:val="22"/>
        </w:rPr>
      </w:pPr>
      <w:r w:rsidRPr="009B14C1">
        <w:rPr>
          <w:rFonts w:ascii="Arial" w:hAnsi="Arial" w:cs="Arial"/>
          <w:sz w:val="22"/>
          <w:szCs w:val="22"/>
        </w:rPr>
        <w:t>The Theory of Structural Racism argues that healthcare systems like the NHS are shaped by policies, practices, and cultural stereotypes which, whether intentional or not, perpetuate racial inequalities. Within the NHS, this leads to persistent barriers to equal access, underrepresentation of Black men in leadership and research, and consistently worse health outcomes (Green </w:t>
      </w:r>
      <w:r w:rsidRPr="009B14C1">
        <w:rPr>
          <w:rFonts w:ascii="Arial" w:hAnsi="Arial" w:cs="Arial"/>
          <w:i/>
          <w:iCs/>
          <w:sz w:val="22"/>
          <w:szCs w:val="22"/>
        </w:rPr>
        <w:t>et al.</w:t>
      </w:r>
      <w:r w:rsidRPr="009B14C1">
        <w:rPr>
          <w:rFonts w:ascii="Arial" w:hAnsi="Arial" w:cs="Arial"/>
          <w:sz w:val="22"/>
          <w:szCs w:val="22"/>
        </w:rPr>
        <w:t>, 2025b). In prostate cancer research, this framework underscores how institutional neglect and failure to address the needs of Black men drive higher risks and their continued underrepresentation (Fryer </w:t>
      </w:r>
      <w:r w:rsidRPr="009B14C1">
        <w:rPr>
          <w:rFonts w:ascii="Arial" w:hAnsi="Arial" w:cs="Arial"/>
          <w:i/>
          <w:iCs/>
          <w:sz w:val="22"/>
          <w:szCs w:val="22"/>
        </w:rPr>
        <w:t>et al.</w:t>
      </w:r>
      <w:r w:rsidRPr="009B14C1">
        <w:rPr>
          <w:rFonts w:ascii="Arial" w:hAnsi="Arial" w:cs="Arial"/>
          <w:sz w:val="22"/>
          <w:szCs w:val="22"/>
        </w:rPr>
        <w:t>, 2024). Intersectionality Theory, pioneered by Kimberlé Crenshaw, reveals that overlapping identities, such as race, gender, and socioeconomic status, create unique and compounded disadvantages. Not only do Black men face racial bias, but their experiences are further worsened by gendered and class-based discrimination, which the system rarely addresses holistically (Nyame </w:t>
      </w:r>
      <w:r w:rsidRPr="009B14C1">
        <w:rPr>
          <w:rFonts w:ascii="Arial" w:hAnsi="Arial" w:cs="Arial"/>
          <w:i/>
          <w:iCs/>
          <w:sz w:val="22"/>
          <w:szCs w:val="22"/>
        </w:rPr>
        <w:t>et al.</w:t>
      </w:r>
      <w:r w:rsidRPr="009B14C1">
        <w:rPr>
          <w:rFonts w:ascii="Arial" w:hAnsi="Arial" w:cs="Arial"/>
          <w:sz w:val="22"/>
          <w:szCs w:val="22"/>
        </w:rPr>
        <w:t xml:space="preserve">, 2022). </w:t>
      </w:r>
    </w:p>
    <w:p w14:paraId="2CDC6D57" w14:textId="77777777" w:rsidR="00EA1B27" w:rsidRPr="009B14C1" w:rsidRDefault="00EA1B27" w:rsidP="00EA1B27">
      <w:pPr>
        <w:spacing w:line="360" w:lineRule="auto"/>
        <w:jc w:val="both"/>
        <w:rPr>
          <w:rFonts w:ascii="Arial" w:hAnsi="Arial" w:cs="Arial"/>
          <w:sz w:val="22"/>
          <w:szCs w:val="22"/>
        </w:rPr>
      </w:pPr>
      <w:r w:rsidRPr="009B14C1">
        <w:rPr>
          <w:rFonts w:ascii="Arial" w:hAnsi="Arial" w:cs="Arial"/>
          <w:sz w:val="22"/>
          <w:szCs w:val="22"/>
        </w:rPr>
        <w:t>Critical Race Theory (CRT) offers a deeper interrogation, exposing how laws and institutional policies, such as the NHS’s justification for delaying screenings on grounds of “insufficient evidence</w:t>
      </w:r>
      <w:r w:rsidRPr="1254DAA7">
        <w:rPr>
          <w:rFonts w:ascii="Arial" w:hAnsi="Arial" w:cs="Arial"/>
          <w:sz w:val="22"/>
          <w:szCs w:val="22"/>
        </w:rPr>
        <w:t>,”</w:t>
      </w:r>
      <w:r w:rsidRPr="009B14C1">
        <w:rPr>
          <w:rFonts w:ascii="Arial" w:hAnsi="Arial" w:cs="Arial"/>
          <w:sz w:val="22"/>
          <w:szCs w:val="22"/>
        </w:rPr>
        <w:t xml:space="preserve"> mask systemic neglect and signal an enduring undervaluation of Black men’s health risks. Collectively, these critical frameworks reveal that structural and institutional forces, not just medical factors, are central to understanding and addressing the heightened risks and under-representation Black men face in healthcare (Tsai, </w:t>
      </w:r>
      <w:bookmarkStart w:id="14" w:name="_Int_IpgCC7wo"/>
      <w:r w:rsidRPr="009B14C1">
        <w:rPr>
          <w:rFonts w:ascii="Arial" w:hAnsi="Arial" w:cs="Arial"/>
          <w:sz w:val="22"/>
          <w:szCs w:val="22"/>
        </w:rPr>
        <w:t>Lindo</w:t>
      </w:r>
      <w:bookmarkEnd w:id="14"/>
      <w:r w:rsidRPr="009B14C1">
        <w:rPr>
          <w:rFonts w:ascii="Arial" w:hAnsi="Arial" w:cs="Arial"/>
          <w:sz w:val="22"/>
          <w:szCs w:val="22"/>
        </w:rPr>
        <w:t xml:space="preserve"> and Bridges, 2021</w:t>
      </w:r>
      <w:r>
        <w:rPr>
          <w:rFonts w:ascii="Arial" w:hAnsi="Arial" w:cs="Arial"/>
          <w:sz w:val="22"/>
          <w:szCs w:val="22"/>
        </w:rPr>
        <w:t>a</w:t>
      </w:r>
      <w:r w:rsidRPr="009B14C1">
        <w:rPr>
          <w:rFonts w:ascii="Arial" w:hAnsi="Arial" w:cs="Arial"/>
          <w:sz w:val="22"/>
          <w:szCs w:val="22"/>
        </w:rPr>
        <w:t>; O’Driscoll and Bawden, 2022).</w:t>
      </w:r>
    </w:p>
    <w:p w14:paraId="1F5B6A77" w14:textId="77777777" w:rsidR="00EA1B27" w:rsidRPr="009B14C1" w:rsidRDefault="00EA1B27" w:rsidP="00EA1B27">
      <w:pPr>
        <w:spacing w:line="360" w:lineRule="auto"/>
        <w:jc w:val="both"/>
        <w:rPr>
          <w:rFonts w:ascii="Arial" w:hAnsi="Arial" w:cs="Arial"/>
          <w:sz w:val="22"/>
          <w:szCs w:val="22"/>
        </w:rPr>
      </w:pPr>
      <w:r w:rsidRPr="009B14C1">
        <w:rPr>
          <w:rFonts w:ascii="Arial" w:hAnsi="Arial" w:cs="Arial"/>
          <w:sz w:val="22"/>
          <w:szCs w:val="22"/>
        </w:rPr>
        <w:t xml:space="preserve">The NHS Constitution claims to guarantee rights for patients, the public, and staff, emphasising services based on clinical need rather than ability to pay, while promoting respect for diversity and human rights. Although it underscores fairness, equality, and inclusivity, these principles often fail to translate into </w:t>
      </w:r>
      <w:r>
        <w:rPr>
          <w:rFonts w:ascii="Arial" w:hAnsi="Arial" w:cs="Arial"/>
          <w:sz w:val="22"/>
          <w:szCs w:val="22"/>
        </w:rPr>
        <w:t>practical</w:t>
      </w:r>
      <w:r w:rsidRPr="009B14C1">
        <w:rPr>
          <w:rFonts w:ascii="Arial" w:hAnsi="Arial" w:cs="Arial"/>
          <w:sz w:val="22"/>
          <w:szCs w:val="22"/>
        </w:rPr>
        <w:t xml:space="preserve"> action (Agnew, 2015</w:t>
      </w:r>
      <w:r>
        <w:rPr>
          <w:rFonts w:ascii="Arial" w:hAnsi="Arial" w:cs="Arial"/>
          <w:sz w:val="22"/>
          <w:szCs w:val="22"/>
        </w:rPr>
        <w:t>a</w:t>
      </w:r>
      <w:r w:rsidRPr="009B14C1">
        <w:rPr>
          <w:rFonts w:ascii="Arial" w:hAnsi="Arial" w:cs="Arial"/>
          <w:sz w:val="22"/>
          <w:szCs w:val="22"/>
        </w:rPr>
        <w:t xml:space="preserve">). The Workforce Race Equality Standard (WRES), requiring progress across nine indicators relating to BAME staff experiences and leadership, has led to more procedural compliance than substantive change. Key legislation, such as the Equality Act and WRES, outlines frameworks for workforce </w:t>
      </w:r>
      <w:r w:rsidRPr="009B14C1">
        <w:rPr>
          <w:rFonts w:ascii="Arial" w:hAnsi="Arial" w:cs="Arial"/>
          <w:sz w:val="22"/>
          <w:szCs w:val="22"/>
        </w:rPr>
        <w:lastRenderedPageBreak/>
        <w:t>diversity and care quality, but too often, implementation focuses on ticking boxes rather than achieving genuine outcomes (Dhanani </w:t>
      </w:r>
      <w:r w:rsidRPr="009B14C1">
        <w:rPr>
          <w:rFonts w:ascii="Arial" w:hAnsi="Arial" w:cs="Arial"/>
          <w:i/>
          <w:iCs/>
          <w:sz w:val="22"/>
          <w:szCs w:val="22"/>
        </w:rPr>
        <w:t>et al.</w:t>
      </w:r>
      <w:r w:rsidRPr="009B14C1">
        <w:rPr>
          <w:rFonts w:ascii="Arial" w:hAnsi="Arial" w:cs="Arial"/>
          <w:sz w:val="22"/>
          <w:szCs w:val="22"/>
        </w:rPr>
        <w:t>, 2024; Kline </w:t>
      </w:r>
      <w:r w:rsidRPr="009B14C1">
        <w:rPr>
          <w:rFonts w:ascii="Arial" w:hAnsi="Arial" w:cs="Arial"/>
          <w:i/>
          <w:iCs/>
          <w:sz w:val="22"/>
          <w:szCs w:val="22"/>
        </w:rPr>
        <w:t>et al.</w:t>
      </w:r>
      <w:r w:rsidRPr="009B14C1">
        <w:rPr>
          <w:rFonts w:ascii="Arial" w:hAnsi="Arial" w:cs="Arial"/>
          <w:sz w:val="22"/>
          <w:szCs w:val="22"/>
        </w:rPr>
        <w:t>, 2017a).</w:t>
      </w:r>
    </w:p>
    <w:p w14:paraId="11101221" w14:textId="77777777" w:rsidR="00EA1B27" w:rsidRPr="009B14C1" w:rsidRDefault="00EA1B27" w:rsidP="00EA1B27">
      <w:pPr>
        <w:spacing w:line="360" w:lineRule="auto"/>
        <w:jc w:val="both"/>
        <w:rPr>
          <w:rFonts w:ascii="Arial" w:hAnsi="Arial" w:cs="Arial"/>
          <w:sz w:val="22"/>
          <w:szCs w:val="22"/>
        </w:rPr>
      </w:pPr>
      <w:r w:rsidRPr="009B14C1">
        <w:rPr>
          <w:rFonts w:ascii="Arial" w:hAnsi="Arial" w:cs="Arial"/>
          <w:sz w:val="22"/>
          <w:szCs w:val="22"/>
        </w:rPr>
        <w:t>Systemic issues persist, notably the continued under-representation of minority groups from clinical trials to leadership roles. The policies and frameworks, while well-intentioned, are frequently undermined by deep-seated biases and a lack of inclusive leadership, resulting in minimal practical improvements (Peate, 2020). These ongoing shortcomings directly impact research and healthcare interventions for Black men’s prostate cancer, perpetuating disparities. Clinical guidelines and screening remain generic, not attuned to the specific needs of Black men, and research still under-represents this group, limiting the relevance and impact of findings. Thus, without robust accountability and an emphasis on meaningful change over compliance, disparities remain entrenched despite aspirational policy rhetoric (Esdaille </w:t>
      </w:r>
      <w:r w:rsidRPr="009B14C1">
        <w:rPr>
          <w:rFonts w:ascii="Arial" w:hAnsi="Arial" w:cs="Arial"/>
          <w:i/>
          <w:iCs/>
          <w:sz w:val="22"/>
          <w:szCs w:val="22"/>
        </w:rPr>
        <w:t>et al.</w:t>
      </w:r>
      <w:r w:rsidRPr="009B14C1">
        <w:rPr>
          <w:rFonts w:ascii="Arial" w:hAnsi="Arial" w:cs="Arial"/>
          <w:sz w:val="22"/>
          <w:szCs w:val="22"/>
        </w:rPr>
        <w:t>, 2021b).</w:t>
      </w:r>
    </w:p>
    <w:p w14:paraId="309426A0" w14:textId="77777777" w:rsidR="00EA1B27" w:rsidRPr="009B14C1" w:rsidRDefault="00EA1B27" w:rsidP="00EA1B27">
      <w:pPr>
        <w:spacing w:line="360" w:lineRule="auto"/>
        <w:jc w:val="both"/>
        <w:rPr>
          <w:rFonts w:ascii="Arial" w:hAnsi="Arial" w:cs="Arial"/>
          <w:b/>
          <w:bCs/>
          <w:sz w:val="22"/>
          <w:szCs w:val="22"/>
        </w:rPr>
      </w:pPr>
      <w:r w:rsidRPr="009B14C1">
        <w:rPr>
          <w:rFonts w:ascii="Arial" w:hAnsi="Arial" w:cs="Arial"/>
          <w:b/>
          <w:bCs/>
          <w:sz w:val="22"/>
          <w:szCs w:val="22"/>
        </w:rPr>
        <w:t xml:space="preserve">                   Implications</w:t>
      </w:r>
    </w:p>
    <w:p w14:paraId="3E9A892A" w14:textId="77777777" w:rsidR="00EA1B27" w:rsidRPr="009B14C1" w:rsidRDefault="00EA1B27" w:rsidP="00EA1B27">
      <w:pPr>
        <w:spacing w:line="360" w:lineRule="auto"/>
        <w:jc w:val="both"/>
        <w:rPr>
          <w:rFonts w:ascii="Arial" w:hAnsi="Arial" w:cs="Arial"/>
          <w:b/>
          <w:bCs/>
          <w:sz w:val="22"/>
          <w:szCs w:val="22"/>
        </w:rPr>
      </w:pPr>
      <w:r w:rsidRPr="009B14C1">
        <w:rPr>
          <w:rFonts w:ascii="Arial" w:hAnsi="Arial" w:cs="Arial"/>
          <w:b/>
          <w:bCs/>
          <w:sz w:val="22"/>
          <w:szCs w:val="22"/>
        </w:rPr>
        <w:t>Positive Impacts</w:t>
      </w:r>
    </w:p>
    <w:p w14:paraId="498CDD35" w14:textId="77777777" w:rsidR="00EA1B27" w:rsidRPr="009B14C1" w:rsidRDefault="00EA1B27" w:rsidP="00EA1B27">
      <w:pPr>
        <w:spacing w:line="360" w:lineRule="auto"/>
        <w:jc w:val="both"/>
        <w:rPr>
          <w:rFonts w:ascii="Arial" w:hAnsi="Arial" w:cs="Arial"/>
          <w:sz w:val="22"/>
          <w:szCs w:val="22"/>
        </w:rPr>
      </w:pPr>
      <w:r w:rsidRPr="009B14C1">
        <w:rPr>
          <w:rFonts w:ascii="Arial" w:hAnsi="Arial" w:cs="Arial"/>
          <w:sz w:val="22"/>
          <w:szCs w:val="22"/>
        </w:rPr>
        <w:t>Highlighting disproportionate risk and under-representation draws necessary attention to the health inequities Black men face, ensuring these concerns are acknowledged in both research and policy. Emphasising the need for culturally sensitive, population-specific studies can foster interventions better tailored to the needs of Black men (Green </w:t>
      </w:r>
      <w:r w:rsidRPr="009B14C1">
        <w:rPr>
          <w:rFonts w:ascii="Arial" w:hAnsi="Arial" w:cs="Arial"/>
          <w:i/>
          <w:iCs/>
          <w:sz w:val="22"/>
          <w:szCs w:val="22"/>
        </w:rPr>
        <w:t>et al.</w:t>
      </w:r>
      <w:r w:rsidRPr="009B14C1">
        <w:rPr>
          <w:rFonts w:ascii="Arial" w:hAnsi="Arial" w:cs="Arial"/>
          <w:sz w:val="22"/>
          <w:szCs w:val="22"/>
        </w:rPr>
        <w:t>, 2025c). Increased awareness of disparities can empower stakeholders, such as advocates, healthcare professionals, and policymakers, to pursue structural reforms, including improved data collection and more inclusive leadership. The focus could also catalyse targeted awareness campaigns to promote earlier detection and encourage engagement with healthcare among high-risk populations (Kline </w:t>
      </w:r>
      <w:r w:rsidRPr="009B14C1">
        <w:rPr>
          <w:rFonts w:ascii="Arial" w:hAnsi="Arial" w:cs="Arial"/>
          <w:i/>
          <w:iCs/>
          <w:sz w:val="22"/>
          <w:szCs w:val="22"/>
        </w:rPr>
        <w:t>et al.</w:t>
      </w:r>
      <w:r w:rsidRPr="009B14C1">
        <w:rPr>
          <w:rFonts w:ascii="Arial" w:hAnsi="Arial" w:cs="Arial"/>
          <w:sz w:val="22"/>
          <w:szCs w:val="22"/>
        </w:rPr>
        <w:t xml:space="preserve">, 2017b). </w:t>
      </w:r>
    </w:p>
    <w:p w14:paraId="3C0F2900" w14:textId="77777777" w:rsidR="00EA1B27" w:rsidRPr="009B14C1" w:rsidRDefault="00EA1B27" w:rsidP="00EA1B27">
      <w:pPr>
        <w:spacing w:line="360" w:lineRule="auto"/>
        <w:jc w:val="both"/>
        <w:rPr>
          <w:rFonts w:ascii="Arial" w:hAnsi="Arial" w:cs="Arial"/>
          <w:b/>
          <w:bCs/>
          <w:sz w:val="22"/>
          <w:szCs w:val="22"/>
        </w:rPr>
      </w:pPr>
      <w:r w:rsidRPr="009B14C1">
        <w:rPr>
          <w:rFonts w:ascii="Arial" w:hAnsi="Arial" w:cs="Arial"/>
          <w:sz w:val="22"/>
          <w:szCs w:val="22"/>
        </w:rPr>
        <w:t xml:space="preserve"> </w:t>
      </w:r>
      <w:r w:rsidRPr="009B14C1">
        <w:rPr>
          <w:rFonts w:ascii="Arial" w:hAnsi="Arial" w:cs="Arial"/>
          <w:b/>
          <w:bCs/>
          <w:sz w:val="22"/>
          <w:szCs w:val="22"/>
        </w:rPr>
        <w:t xml:space="preserve">Negative Impacts </w:t>
      </w:r>
    </w:p>
    <w:p w14:paraId="2CA4AA4F" w14:textId="609C2017" w:rsidR="00EA1B27" w:rsidRDefault="00EA1B27" w:rsidP="00EA1B27">
      <w:pPr>
        <w:spacing w:line="360" w:lineRule="auto"/>
        <w:jc w:val="both"/>
        <w:rPr>
          <w:rFonts w:ascii="Arial" w:hAnsi="Arial" w:cs="Arial"/>
          <w:sz w:val="22"/>
          <w:szCs w:val="22"/>
        </w:rPr>
      </w:pPr>
      <w:r w:rsidRPr="009B14C1">
        <w:rPr>
          <w:rFonts w:ascii="Arial" w:hAnsi="Arial" w:cs="Arial"/>
          <w:sz w:val="22"/>
          <w:szCs w:val="22"/>
        </w:rPr>
        <w:t>Focusing on high risks among Black men can unintentionally strengthen harmful stereotypes and stigma, which might discourage engagement in healthcare or research. The ongoing under-representation in research and policy can deepen cycles of neglect, leading to solutions that are too generic and fail to be tailored to community needs (Nyame </w:t>
      </w:r>
      <w:r w:rsidRPr="009B14C1">
        <w:rPr>
          <w:rFonts w:ascii="Arial" w:hAnsi="Arial" w:cs="Arial"/>
          <w:i/>
          <w:iCs/>
          <w:sz w:val="22"/>
          <w:szCs w:val="22"/>
        </w:rPr>
        <w:t>et al.</w:t>
      </w:r>
      <w:r w:rsidRPr="009B14C1">
        <w:rPr>
          <w:rFonts w:ascii="Arial" w:hAnsi="Arial" w:cs="Arial"/>
          <w:sz w:val="22"/>
          <w:szCs w:val="22"/>
        </w:rPr>
        <w:t xml:space="preserve">, 2022b). Systemic obstacles frequently block the transition from awareness to effective action, and even when disparities are acknowledged, change tends to be slow or superficial, leading to community disillusionment and mistrust. Additionally, policy language often emphasises rhetoric over real reform, leading to symbolic actions that lack tangible benefits </w:t>
      </w:r>
      <w:bookmarkStart w:id="15" w:name="OLE_LINK58"/>
      <w:r w:rsidRPr="009B14C1">
        <w:rPr>
          <w:rFonts w:ascii="Arial" w:hAnsi="Arial" w:cs="Arial"/>
          <w:sz w:val="22"/>
          <w:szCs w:val="22"/>
        </w:rPr>
        <w:t>(Scott, 2016</w:t>
      </w:r>
      <w:r w:rsidR="00F3386D">
        <w:rPr>
          <w:rFonts w:ascii="Arial" w:hAnsi="Arial" w:cs="Arial"/>
          <w:sz w:val="22"/>
          <w:szCs w:val="22"/>
        </w:rPr>
        <w:t>a</w:t>
      </w:r>
      <w:r w:rsidRPr="009B14C1">
        <w:rPr>
          <w:rFonts w:ascii="Arial" w:hAnsi="Arial" w:cs="Arial"/>
          <w:sz w:val="22"/>
          <w:szCs w:val="22"/>
        </w:rPr>
        <w:t>)</w:t>
      </w:r>
      <w:bookmarkEnd w:id="15"/>
      <w:r w:rsidRPr="009B14C1">
        <w:rPr>
          <w:rFonts w:ascii="Arial" w:hAnsi="Arial" w:cs="Arial"/>
          <w:sz w:val="22"/>
          <w:szCs w:val="22"/>
        </w:rPr>
        <w:t>.</w:t>
      </w:r>
    </w:p>
    <w:p w14:paraId="44267336" w14:textId="77777777" w:rsidR="00EA1B27" w:rsidRDefault="00EA1B27" w:rsidP="00EA1B27">
      <w:pPr>
        <w:spacing w:line="360" w:lineRule="auto"/>
        <w:jc w:val="both"/>
        <w:rPr>
          <w:rFonts w:ascii="Arial" w:hAnsi="Arial" w:cs="Arial"/>
          <w:sz w:val="22"/>
          <w:szCs w:val="22"/>
        </w:rPr>
      </w:pPr>
    </w:p>
    <w:p w14:paraId="121EC8A5" w14:textId="77777777" w:rsidR="00EA1B27" w:rsidRDefault="00EA1B27" w:rsidP="00EA1B27">
      <w:pPr>
        <w:spacing w:line="360" w:lineRule="auto"/>
        <w:jc w:val="both"/>
        <w:rPr>
          <w:rFonts w:ascii="Arial" w:hAnsi="Arial" w:cs="Arial"/>
          <w:sz w:val="22"/>
          <w:szCs w:val="22"/>
        </w:rPr>
      </w:pPr>
    </w:p>
    <w:p w14:paraId="4204163E" w14:textId="77777777" w:rsidR="00EA1B27" w:rsidRDefault="00EA1B27" w:rsidP="00EA1B27">
      <w:pPr>
        <w:spacing w:line="360" w:lineRule="auto"/>
        <w:jc w:val="both"/>
        <w:rPr>
          <w:rFonts w:ascii="Arial" w:hAnsi="Arial" w:cs="Arial"/>
          <w:sz w:val="22"/>
          <w:szCs w:val="22"/>
        </w:rPr>
      </w:pPr>
    </w:p>
    <w:p w14:paraId="2F7637F2" w14:textId="77777777" w:rsidR="00EA1B27" w:rsidRDefault="00EA1B27" w:rsidP="00EA1B27">
      <w:pPr>
        <w:spacing w:line="360" w:lineRule="auto"/>
        <w:jc w:val="both"/>
        <w:rPr>
          <w:rFonts w:ascii="Arial" w:hAnsi="Arial" w:cs="Arial"/>
          <w:sz w:val="22"/>
          <w:szCs w:val="22"/>
        </w:rPr>
      </w:pPr>
    </w:p>
    <w:p w14:paraId="3077C916" w14:textId="77777777" w:rsidR="00B43773" w:rsidRPr="009B14C1" w:rsidRDefault="00B43773" w:rsidP="00EA1B27">
      <w:pPr>
        <w:spacing w:line="360" w:lineRule="auto"/>
        <w:jc w:val="both"/>
        <w:rPr>
          <w:rFonts w:ascii="Arial" w:hAnsi="Arial" w:cs="Arial"/>
          <w:sz w:val="22"/>
          <w:szCs w:val="22"/>
        </w:rPr>
      </w:pPr>
    </w:p>
    <w:p w14:paraId="654D184D" w14:textId="77777777" w:rsidR="00EA1B27" w:rsidRPr="009B14C1" w:rsidRDefault="00EA1B27" w:rsidP="00EA1B27">
      <w:pPr>
        <w:spacing w:line="360" w:lineRule="auto"/>
        <w:jc w:val="both"/>
        <w:rPr>
          <w:rFonts w:ascii="Arial" w:hAnsi="Arial" w:cs="Arial"/>
          <w:b/>
          <w:bCs/>
          <w:sz w:val="22"/>
          <w:szCs w:val="22"/>
        </w:rPr>
      </w:pPr>
      <w:r w:rsidRPr="009B14C1">
        <w:rPr>
          <w:rFonts w:ascii="Arial" w:hAnsi="Arial" w:cs="Arial"/>
          <w:b/>
          <w:bCs/>
          <w:sz w:val="22"/>
          <w:szCs w:val="22"/>
        </w:rPr>
        <w:lastRenderedPageBreak/>
        <w:t>Disproportionate Risk and Under-Representation.</w:t>
      </w:r>
    </w:p>
    <w:tbl>
      <w:tblPr>
        <w:tblW w:w="10774" w:type="dxa"/>
        <w:tblInd w:w="-1003" w:type="dxa"/>
        <w:tblCellMar>
          <w:left w:w="0" w:type="dxa"/>
          <w:right w:w="0" w:type="dxa"/>
        </w:tblCellMar>
        <w:tblLook w:val="0600" w:firstRow="0" w:lastRow="0" w:firstColumn="0" w:lastColumn="0" w:noHBand="1" w:noVBand="1"/>
      </w:tblPr>
      <w:tblGrid>
        <w:gridCol w:w="3185"/>
        <w:gridCol w:w="7589"/>
      </w:tblGrid>
      <w:tr w:rsidR="00EA1B27" w:rsidRPr="00AA1A3D" w14:paraId="6B4E9E27" w14:textId="77777777" w:rsidTr="008B0865">
        <w:trPr>
          <w:trHeight w:val="636"/>
        </w:trPr>
        <w:tc>
          <w:tcPr>
            <w:tcW w:w="290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E9AC8"/>
            <w:tcMar>
              <w:top w:w="72" w:type="dxa"/>
              <w:left w:w="144" w:type="dxa"/>
              <w:bottom w:w="72" w:type="dxa"/>
              <w:right w:w="144" w:type="dxa"/>
            </w:tcMar>
            <w:vAlign w:val="center"/>
            <w:hideMark/>
          </w:tcPr>
          <w:p w14:paraId="59AA368F" w14:textId="77777777" w:rsidR="00EA1B27" w:rsidRPr="00AA1A3D" w:rsidRDefault="00EA1B27" w:rsidP="008B0865">
            <w:r>
              <w:rPr>
                <w:b/>
                <w:bCs/>
              </w:rPr>
              <w:t>Finding</w:t>
            </w:r>
          </w:p>
        </w:tc>
        <w:tc>
          <w:tcPr>
            <w:tcW w:w="78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E9AC8"/>
            <w:tcMar>
              <w:top w:w="72" w:type="dxa"/>
              <w:left w:w="144" w:type="dxa"/>
              <w:bottom w:w="72" w:type="dxa"/>
              <w:right w:w="144" w:type="dxa"/>
            </w:tcMar>
            <w:vAlign w:val="center"/>
            <w:hideMark/>
          </w:tcPr>
          <w:p w14:paraId="71FBFE10" w14:textId="77777777" w:rsidR="00EA1B27" w:rsidRPr="00AA1A3D" w:rsidRDefault="00EA1B27" w:rsidP="008B0865">
            <w:r>
              <w:rPr>
                <w:b/>
                <w:bCs/>
              </w:rPr>
              <w:t xml:space="preserve">             </w:t>
            </w:r>
            <w:r w:rsidRPr="00F3612E">
              <w:rPr>
                <w:b/>
                <w:bCs/>
              </w:rPr>
              <w:t xml:space="preserve">Discussions </w:t>
            </w:r>
          </w:p>
        </w:tc>
      </w:tr>
      <w:tr w:rsidR="00EA1B27" w:rsidRPr="00AA1A3D" w14:paraId="14B5522E" w14:textId="77777777" w:rsidTr="008B0865">
        <w:trPr>
          <w:trHeight w:val="4310"/>
        </w:trPr>
        <w:tc>
          <w:tcPr>
            <w:tcW w:w="29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vAlign w:val="center"/>
            <w:hideMark/>
          </w:tcPr>
          <w:p w14:paraId="42161F33" w14:textId="77777777" w:rsidR="00EA1B27" w:rsidRPr="00283DC4" w:rsidRDefault="00EA1B27" w:rsidP="00EA1B27">
            <w:pPr>
              <w:pStyle w:val="ListParagraph"/>
              <w:numPr>
                <w:ilvl w:val="0"/>
                <w:numId w:val="2"/>
              </w:numPr>
              <w:spacing w:after="160" w:line="360" w:lineRule="auto"/>
              <w:rPr>
                <w:rFonts w:ascii="Arial" w:hAnsi="Arial" w:cs="Arial"/>
                <w:sz w:val="22"/>
                <w:szCs w:val="22"/>
              </w:rPr>
            </w:pPr>
            <w:r w:rsidRPr="00283DC4">
              <w:rPr>
                <w:rFonts w:ascii="Arial" w:hAnsi="Arial" w:cs="Arial"/>
                <w:sz w:val="22"/>
                <w:szCs w:val="22"/>
              </w:rPr>
              <w:t xml:space="preserve">Hainsworth </w:t>
            </w:r>
            <w:r w:rsidRPr="00283DC4">
              <w:rPr>
                <w:rFonts w:ascii="Arial" w:hAnsi="Arial" w:cs="Arial"/>
                <w:i/>
                <w:iCs/>
                <w:sz w:val="22"/>
                <w:szCs w:val="22"/>
              </w:rPr>
              <w:t>et al</w:t>
            </w:r>
            <w:r w:rsidRPr="00283DC4">
              <w:rPr>
                <w:rFonts w:ascii="Arial" w:hAnsi="Arial" w:cs="Arial"/>
                <w:sz w:val="22"/>
                <w:szCs w:val="22"/>
              </w:rPr>
              <w:t xml:space="preserve">. (2022): Black men face a </w:t>
            </w:r>
            <w:bookmarkStart w:id="16" w:name="OLE_LINK38"/>
            <w:r w:rsidRPr="00283DC4">
              <w:rPr>
                <w:rFonts w:ascii="Arial" w:hAnsi="Arial" w:cs="Arial"/>
                <w:sz w:val="22"/>
                <w:szCs w:val="22"/>
              </w:rPr>
              <w:t>higher risk of prostate cancer but have historically been underrepresented in related research.</w:t>
            </w:r>
          </w:p>
          <w:bookmarkEnd w:id="16"/>
          <w:p w14:paraId="65B7CA0E" w14:textId="77777777" w:rsidR="00EA1B27" w:rsidRPr="00283DC4" w:rsidRDefault="00EA1B27" w:rsidP="00EA1B27">
            <w:pPr>
              <w:pStyle w:val="ListParagraph"/>
              <w:numPr>
                <w:ilvl w:val="0"/>
                <w:numId w:val="2"/>
              </w:numPr>
              <w:spacing w:after="160" w:line="360" w:lineRule="auto"/>
              <w:rPr>
                <w:rFonts w:ascii="Arial" w:hAnsi="Arial" w:cs="Arial"/>
                <w:sz w:val="22"/>
                <w:szCs w:val="22"/>
              </w:rPr>
            </w:pPr>
            <w:r w:rsidRPr="00283DC4">
              <w:rPr>
                <w:rFonts w:ascii="Arial" w:hAnsi="Arial" w:cs="Arial"/>
                <w:sz w:val="22"/>
                <w:szCs w:val="22"/>
              </w:rPr>
              <w:t xml:space="preserve">Mulugeta </w:t>
            </w:r>
            <w:r w:rsidRPr="00283DC4">
              <w:rPr>
                <w:rFonts w:ascii="Arial" w:hAnsi="Arial" w:cs="Arial"/>
                <w:i/>
                <w:iCs/>
                <w:sz w:val="22"/>
                <w:szCs w:val="22"/>
              </w:rPr>
              <w:t>et al.</w:t>
            </w:r>
            <w:r w:rsidRPr="00283DC4">
              <w:rPr>
                <w:rFonts w:ascii="Arial" w:hAnsi="Arial" w:cs="Arial"/>
                <w:sz w:val="22"/>
                <w:szCs w:val="22"/>
              </w:rPr>
              <w:t xml:space="preserve"> (2017): </w:t>
            </w:r>
            <w:bookmarkStart w:id="17" w:name="OLE_LINK40"/>
            <w:r w:rsidRPr="00283DC4">
              <w:rPr>
                <w:rFonts w:ascii="Arial" w:hAnsi="Arial" w:cs="Arial"/>
                <w:sz w:val="22"/>
                <w:szCs w:val="22"/>
              </w:rPr>
              <w:t>Data gaps (lack of national data for UK black communities), Recruitment issues in research (underrepresentation).</w:t>
            </w:r>
            <w:bookmarkEnd w:id="17"/>
          </w:p>
          <w:p w14:paraId="56CF75D1" w14:textId="77777777" w:rsidR="00EA1B27" w:rsidRPr="00283DC4" w:rsidRDefault="00EA1B27" w:rsidP="00EA1B27">
            <w:pPr>
              <w:pStyle w:val="ListParagraph"/>
              <w:numPr>
                <w:ilvl w:val="0"/>
                <w:numId w:val="2"/>
              </w:numPr>
              <w:spacing w:after="160" w:line="360" w:lineRule="auto"/>
              <w:rPr>
                <w:rFonts w:ascii="Arial" w:hAnsi="Arial" w:cs="Arial"/>
                <w:sz w:val="22"/>
                <w:szCs w:val="22"/>
              </w:rPr>
            </w:pPr>
            <w:r w:rsidRPr="00283DC4">
              <w:rPr>
                <w:rFonts w:ascii="Arial" w:hAnsi="Arial" w:cs="Arial"/>
                <w:sz w:val="22"/>
                <w:szCs w:val="22"/>
              </w:rPr>
              <w:t xml:space="preserve">Alexis and Worsley (2022): </w:t>
            </w:r>
            <w:bookmarkStart w:id="18" w:name="OLE_LINK41"/>
            <w:r w:rsidRPr="00283DC4">
              <w:rPr>
                <w:rFonts w:ascii="Arial" w:hAnsi="Arial" w:cs="Arial"/>
                <w:sz w:val="22"/>
                <w:szCs w:val="22"/>
              </w:rPr>
              <w:t>Peer support from black men and organisations aids coping and sharing experiences.</w:t>
            </w:r>
          </w:p>
          <w:bookmarkEnd w:id="18"/>
          <w:p w14:paraId="6FE7C0FE" w14:textId="77777777" w:rsidR="00EA1B27" w:rsidRPr="00AA1A3D" w:rsidRDefault="00EA1B27" w:rsidP="008B0865"/>
        </w:tc>
        <w:tc>
          <w:tcPr>
            <w:tcW w:w="7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vAlign w:val="center"/>
            <w:hideMark/>
          </w:tcPr>
          <w:p w14:paraId="28E3C9F5" w14:textId="77777777" w:rsidR="00EA1B27" w:rsidRPr="00041868" w:rsidRDefault="00EA1B27" w:rsidP="008B0865">
            <w:pPr>
              <w:spacing w:line="360" w:lineRule="auto"/>
              <w:jc w:val="both"/>
              <w:rPr>
                <w:rFonts w:ascii="Arial" w:hAnsi="Arial" w:cs="Arial"/>
                <w:sz w:val="22"/>
                <w:szCs w:val="22"/>
              </w:rPr>
            </w:pPr>
            <w:r w:rsidRPr="00206C14">
              <w:rPr>
                <w:rFonts w:ascii="Arial" w:hAnsi="Arial" w:cs="Arial"/>
                <w:sz w:val="22"/>
                <w:szCs w:val="22"/>
              </w:rPr>
              <w:t>Hainsworth et al. (2022) pinpoint several factors behind the historical underrepresentation of Black men in research. These include restricted access to healthcare and research opportunities, along with persistent mistrust of healthcare systems within these communities. Moreover, using clinical language or statistics in health information may not effectively engage these populations. Hainsworth emphasises that involving community members in planning and communication can boost engagement and recruitment. However, it is crucial to critically examine whether such methods tackle deeper, systemic issues or if they merely offer superficial solutions.</w:t>
            </w:r>
            <w:r w:rsidRPr="005A3FB6">
              <w:rPr>
                <w:rFonts w:ascii="Arial" w:hAnsi="Arial" w:cs="Arial"/>
                <w:sz w:val="22"/>
                <w:szCs w:val="22"/>
              </w:rPr>
              <w:t xml:space="preserve"> In line with</w:t>
            </w:r>
            <w:r w:rsidRPr="00206C14">
              <w:rPr>
                <w:rFonts w:ascii="Arial" w:hAnsi="Arial" w:cs="Arial"/>
                <w:sz w:val="22"/>
                <w:szCs w:val="22"/>
              </w:rPr>
              <w:t xml:space="preserve"> Hainsworth</w:t>
            </w:r>
            <w:r>
              <w:rPr>
                <w:rFonts w:ascii="Arial" w:hAnsi="Arial" w:cs="Arial"/>
                <w:sz w:val="22"/>
                <w:szCs w:val="22"/>
              </w:rPr>
              <w:t xml:space="preserve"> finding</w:t>
            </w:r>
            <w:r w:rsidRPr="00D815E3">
              <w:rPr>
                <w:rFonts w:ascii="Arial" w:hAnsi="Arial" w:cs="Arial"/>
                <w:sz w:val="22"/>
                <w:szCs w:val="22"/>
              </w:rPr>
              <w:t xml:space="preserve"> Mulugeta </w:t>
            </w:r>
            <w:r w:rsidRPr="00D815E3">
              <w:rPr>
                <w:rFonts w:ascii="Arial" w:hAnsi="Arial" w:cs="Arial"/>
                <w:i/>
                <w:iCs/>
                <w:sz w:val="22"/>
                <w:szCs w:val="22"/>
              </w:rPr>
              <w:t>et al.</w:t>
            </w:r>
            <w:r w:rsidRPr="00D815E3">
              <w:rPr>
                <w:rFonts w:ascii="Arial" w:hAnsi="Arial" w:cs="Arial"/>
                <w:sz w:val="22"/>
                <w:szCs w:val="22"/>
              </w:rPr>
              <w:t xml:space="preserve"> (2017)</w:t>
            </w:r>
            <w:r>
              <w:rPr>
                <w:rFonts w:ascii="Arial" w:hAnsi="Arial" w:cs="Arial"/>
                <w:sz w:val="22"/>
                <w:szCs w:val="22"/>
              </w:rPr>
              <w:t>,</w:t>
            </w:r>
            <w:r w:rsidRPr="00D815E3">
              <w:rPr>
                <w:rFonts w:ascii="Arial" w:hAnsi="Arial" w:cs="Arial"/>
                <w:sz w:val="22"/>
                <w:szCs w:val="22"/>
              </w:rPr>
              <w:t xml:space="preserve"> </w:t>
            </w:r>
            <w:r>
              <w:rPr>
                <w:rFonts w:ascii="Arial" w:hAnsi="Arial" w:cs="Arial"/>
                <w:sz w:val="22"/>
                <w:szCs w:val="22"/>
              </w:rPr>
              <w:t xml:space="preserve">indicate that </w:t>
            </w:r>
            <w:r w:rsidRPr="005A3FB6">
              <w:rPr>
                <w:rFonts w:ascii="Arial" w:hAnsi="Arial" w:cs="Arial"/>
                <w:sz w:val="22"/>
                <w:szCs w:val="22"/>
              </w:rPr>
              <w:t>UK</w:t>
            </w:r>
            <w:r>
              <w:rPr>
                <w:rFonts w:ascii="Arial" w:hAnsi="Arial" w:cs="Arial"/>
                <w:sz w:val="22"/>
                <w:szCs w:val="22"/>
              </w:rPr>
              <w:t xml:space="preserve"> health databases lack data on cancer among black communities, creating a gap in reliable statistics. Ethnic groups are often lumped into broad categories like “BAME,” masking differences among black African, Caribbean, and other groups. Recruitment issues, stemming from mistrust, poor outreach, cultural barriers, and sampling inaccuracies, worsen the underrepresentation of black populations in UK cancer research. This neglect hampers understanding of their unique experiences and needs.</w:t>
            </w:r>
            <w:r w:rsidRPr="00283DC4">
              <w:rPr>
                <w:rFonts w:ascii="Arial" w:hAnsi="Arial" w:cs="Arial"/>
                <w:sz w:val="22"/>
                <w:szCs w:val="22"/>
              </w:rPr>
              <w:t xml:space="preserve"> Alexis and Worsley (2022)</w:t>
            </w:r>
            <w:r>
              <w:rPr>
                <w:rFonts w:ascii="Arial" w:hAnsi="Arial" w:cs="Arial"/>
                <w:sz w:val="22"/>
                <w:szCs w:val="22"/>
              </w:rPr>
              <w:t>,</w:t>
            </w:r>
            <w:r>
              <w:t xml:space="preserve"> </w:t>
            </w:r>
            <w:r w:rsidRPr="00283DC4">
              <w:rPr>
                <w:rFonts w:ascii="Arial" w:hAnsi="Arial" w:cs="Arial"/>
                <w:sz w:val="22"/>
                <w:szCs w:val="22"/>
              </w:rPr>
              <w:t xml:space="preserve">As reported </w:t>
            </w:r>
            <w:r>
              <w:rPr>
                <w:rFonts w:ascii="Arial" w:hAnsi="Arial" w:cs="Arial"/>
                <w:sz w:val="22"/>
                <w:szCs w:val="22"/>
              </w:rPr>
              <w:t>black men</w:t>
            </w:r>
            <w:r w:rsidRPr="00041868">
              <w:rPr>
                <w:rFonts w:ascii="Inter-Regular" w:hAnsi="Inter-Regular" w:cs="Inter-Regular"/>
                <w:color w:val="151515"/>
                <w:position w:val="6"/>
                <w:sz w:val="28"/>
                <w:szCs w:val="28"/>
              </w:rPr>
              <w:t xml:space="preserve"> </w:t>
            </w:r>
            <w:r w:rsidRPr="00041868">
              <w:rPr>
                <w:rFonts w:ascii="Arial" w:hAnsi="Arial" w:cs="Arial"/>
                <w:sz w:val="22"/>
                <w:szCs w:val="22"/>
              </w:rPr>
              <w:t xml:space="preserve">Peer support, especially from fellow Black men and community organisations, played a vital role as a coping mechanism. It enabled sharing practical advice and emotional experiences, reduced feelings of isolation, and was seen as essential in managing post-treatment challenges for prostate cancer. These results highlight the importance of culturally sensitive, peer-led support programs tailored for Black men facing or recovering from prostate cancer. </w:t>
            </w:r>
          </w:p>
          <w:p w14:paraId="45C7953E" w14:textId="77777777" w:rsidR="00EA1B27" w:rsidRPr="00AA1A3D" w:rsidRDefault="00EA1B27" w:rsidP="008B0865">
            <w:pPr>
              <w:spacing w:line="360" w:lineRule="auto"/>
              <w:jc w:val="both"/>
              <w:rPr>
                <w:rFonts w:ascii="Arial" w:hAnsi="Arial" w:cs="Arial"/>
                <w:sz w:val="22"/>
                <w:szCs w:val="22"/>
              </w:rPr>
            </w:pPr>
            <w:r>
              <w:rPr>
                <w:rFonts w:ascii="Arial" w:hAnsi="Arial" w:cs="Arial"/>
                <w:sz w:val="22"/>
                <w:szCs w:val="22"/>
              </w:rPr>
              <w:t xml:space="preserve"> </w:t>
            </w:r>
          </w:p>
        </w:tc>
      </w:tr>
    </w:tbl>
    <w:p w14:paraId="0B1E5C59" w14:textId="77777777" w:rsidR="00EA1B27" w:rsidRDefault="00EA1B27" w:rsidP="00EA1B27">
      <w:pPr>
        <w:spacing w:line="360" w:lineRule="auto"/>
        <w:jc w:val="both"/>
        <w:rPr>
          <w:rFonts w:ascii="Arial" w:hAnsi="Arial" w:cs="Arial"/>
          <w:sz w:val="22"/>
          <w:szCs w:val="22"/>
        </w:rPr>
      </w:pPr>
    </w:p>
    <w:p w14:paraId="26C96733" w14:textId="77777777" w:rsidR="00EA1B27" w:rsidRDefault="00EA1B27" w:rsidP="00EA1B27">
      <w:pPr>
        <w:spacing w:line="360" w:lineRule="auto"/>
        <w:jc w:val="both"/>
        <w:rPr>
          <w:rFonts w:ascii="Arial" w:hAnsi="Arial" w:cs="Arial"/>
          <w:sz w:val="22"/>
          <w:szCs w:val="22"/>
        </w:rPr>
      </w:pPr>
    </w:p>
    <w:p w14:paraId="1788D118" w14:textId="77777777" w:rsidR="00EA1B27" w:rsidRDefault="00EA1B27" w:rsidP="00EA1B27">
      <w:pPr>
        <w:spacing w:line="360" w:lineRule="auto"/>
        <w:jc w:val="both"/>
        <w:rPr>
          <w:rFonts w:ascii="Arial" w:hAnsi="Arial" w:cs="Arial"/>
          <w:sz w:val="22"/>
          <w:szCs w:val="22"/>
        </w:rPr>
      </w:pPr>
    </w:p>
    <w:p w14:paraId="76CA36B8" w14:textId="77777777" w:rsidR="00EA1B27" w:rsidRDefault="00EA1B27" w:rsidP="00EA1B27">
      <w:pPr>
        <w:spacing w:line="360" w:lineRule="auto"/>
        <w:jc w:val="both"/>
        <w:rPr>
          <w:rFonts w:ascii="Arial" w:hAnsi="Arial" w:cs="Arial"/>
          <w:sz w:val="22"/>
          <w:szCs w:val="22"/>
        </w:rPr>
      </w:pPr>
    </w:p>
    <w:p w14:paraId="46A2291B" w14:textId="77777777" w:rsidR="00EA1B27" w:rsidRDefault="00EA1B27" w:rsidP="00EA1B27">
      <w:pPr>
        <w:spacing w:line="360" w:lineRule="auto"/>
        <w:jc w:val="both"/>
        <w:rPr>
          <w:rFonts w:ascii="Arial" w:hAnsi="Arial" w:cs="Arial"/>
          <w:sz w:val="22"/>
          <w:szCs w:val="22"/>
        </w:rPr>
      </w:pPr>
    </w:p>
    <w:p w14:paraId="470BC0CE" w14:textId="77777777" w:rsidR="00B43773" w:rsidRDefault="00B43773" w:rsidP="00EA1B27">
      <w:pPr>
        <w:spacing w:line="360" w:lineRule="auto"/>
        <w:jc w:val="both"/>
        <w:rPr>
          <w:rFonts w:ascii="Arial" w:hAnsi="Arial" w:cs="Arial"/>
          <w:sz w:val="22"/>
          <w:szCs w:val="22"/>
        </w:rPr>
      </w:pPr>
    </w:p>
    <w:p w14:paraId="2C7A94B6" w14:textId="77777777" w:rsidR="00B43773" w:rsidRDefault="00B43773" w:rsidP="00EA1B27">
      <w:pPr>
        <w:spacing w:line="360" w:lineRule="auto"/>
        <w:jc w:val="both"/>
        <w:rPr>
          <w:rFonts w:ascii="Arial" w:hAnsi="Arial" w:cs="Arial"/>
          <w:sz w:val="22"/>
          <w:szCs w:val="22"/>
        </w:rPr>
      </w:pPr>
    </w:p>
    <w:p w14:paraId="7B3AC53B" w14:textId="77777777" w:rsidR="00EA1B27" w:rsidRDefault="00EA1B27" w:rsidP="00EA1B27">
      <w:pPr>
        <w:spacing w:line="360" w:lineRule="auto"/>
        <w:jc w:val="both"/>
        <w:rPr>
          <w:rFonts w:ascii="Arial" w:hAnsi="Arial" w:cs="Arial"/>
          <w:sz w:val="22"/>
          <w:szCs w:val="22"/>
        </w:rPr>
      </w:pPr>
    </w:p>
    <w:p w14:paraId="18AD5096" w14:textId="3030AD9E" w:rsidR="00EA1B27" w:rsidRPr="00EA53C7" w:rsidRDefault="00B43773" w:rsidP="00EA1B27">
      <w:pPr>
        <w:spacing w:line="360" w:lineRule="auto"/>
        <w:jc w:val="both"/>
        <w:rPr>
          <w:rFonts w:ascii="Arial" w:hAnsi="Arial" w:cs="Arial"/>
          <w:b/>
          <w:bCs/>
          <w:sz w:val="22"/>
          <w:szCs w:val="22"/>
        </w:rPr>
      </w:pPr>
      <w:r>
        <w:rPr>
          <w:rFonts w:ascii="Arial" w:hAnsi="Arial" w:cs="Arial"/>
          <w:b/>
          <w:bCs/>
          <w:sz w:val="22"/>
          <w:szCs w:val="22"/>
        </w:rPr>
        <w:lastRenderedPageBreak/>
        <w:t xml:space="preserve">        </w:t>
      </w:r>
      <w:r w:rsidR="00EA1B27" w:rsidRPr="00EA53C7">
        <w:rPr>
          <w:rFonts w:ascii="Arial" w:hAnsi="Arial" w:cs="Arial"/>
          <w:b/>
          <w:bCs/>
          <w:sz w:val="22"/>
          <w:szCs w:val="22"/>
        </w:rPr>
        <w:t>Connections to Other Themes</w:t>
      </w:r>
      <w:bookmarkStart w:id="19" w:name="_Int_X3xgIVEd"/>
      <w:r w:rsidR="00EA1B27" w:rsidRPr="00EA53C7">
        <w:rPr>
          <w:rFonts w:ascii="Arial" w:hAnsi="Arial" w:cs="Arial"/>
          <w:b/>
          <w:bCs/>
          <w:sz w:val="22"/>
          <w:szCs w:val="22"/>
        </w:rPr>
        <w:t xml:space="preserve">.  </w:t>
      </w:r>
      <w:bookmarkEnd w:id="19"/>
      <w:r w:rsidR="00EA1B27" w:rsidRPr="00EA53C7">
        <w:rPr>
          <w:rFonts w:ascii="Arial" w:hAnsi="Arial" w:cs="Arial"/>
          <w:b/>
          <w:bCs/>
          <w:sz w:val="22"/>
          <w:szCs w:val="22"/>
        </w:rPr>
        <w:t xml:space="preserve">                                                                                    </w:t>
      </w:r>
    </w:p>
    <w:p w14:paraId="34469BEF" w14:textId="06960399" w:rsidR="00C67BE5" w:rsidRPr="00C67BE5" w:rsidRDefault="00EA1B27" w:rsidP="00C67BE5">
      <w:pPr>
        <w:spacing w:line="360" w:lineRule="auto"/>
        <w:jc w:val="both"/>
        <w:rPr>
          <w:rFonts w:ascii="Arial" w:hAnsi="Arial" w:cs="Arial"/>
          <w:sz w:val="22"/>
          <w:szCs w:val="22"/>
        </w:rPr>
      </w:pPr>
      <w:r w:rsidRPr="00EA53C7">
        <w:rPr>
          <w:rFonts w:ascii="Arial" w:hAnsi="Arial" w:cs="Arial"/>
          <w:sz w:val="22"/>
          <w:szCs w:val="22"/>
        </w:rPr>
        <w:t xml:space="preserve">Structural and systemic barriers, such as limited access to screening or diagnostic technologies, are often found in communities that are already underrepresented or at higher risk of adverse outcomes. When research fails to represent Black men, their unique challenges are </w:t>
      </w:r>
      <w:r>
        <w:rPr>
          <w:rFonts w:ascii="Arial" w:hAnsi="Arial" w:cs="Arial"/>
          <w:sz w:val="22"/>
          <w:szCs w:val="22"/>
        </w:rPr>
        <w:t>frequently</w:t>
      </w:r>
      <w:r w:rsidRPr="00EA53C7">
        <w:rPr>
          <w:rFonts w:ascii="Arial" w:hAnsi="Arial" w:cs="Arial"/>
          <w:sz w:val="22"/>
          <w:szCs w:val="22"/>
        </w:rPr>
        <w:t xml:space="preserve"> overlooked, resulting in policies and interventions that fail to address their specific needs. This cycle perpetuates their disproportionately </w:t>
      </w:r>
      <w:r w:rsidRPr="4EC2E67D">
        <w:rPr>
          <w:rFonts w:ascii="Arial" w:hAnsi="Arial" w:cs="Arial"/>
          <w:sz w:val="22"/>
          <w:szCs w:val="22"/>
        </w:rPr>
        <w:t>elevated</w:t>
      </w:r>
      <w:r w:rsidRPr="00EA53C7">
        <w:rPr>
          <w:rFonts w:ascii="Arial" w:hAnsi="Arial" w:cs="Arial"/>
          <w:sz w:val="22"/>
          <w:szCs w:val="22"/>
        </w:rPr>
        <w:t xml:space="preserve"> risk and poorer health outcomes (Knox and Seide, 2023).</w:t>
      </w:r>
      <w:r w:rsidR="00C67BE5" w:rsidRPr="00C67BE5">
        <w:rPr>
          <w:rFonts w:ascii="Arial" w:hAnsi="Arial" w:cs="Arial"/>
          <w:color w:val="151515"/>
          <w:kern w:val="0"/>
          <w:position w:val="6"/>
          <w:sz w:val="22"/>
          <w:szCs w:val="22"/>
        </w:rPr>
        <w:t xml:space="preserve"> </w:t>
      </w:r>
      <w:r w:rsidR="00C67BE5" w:rsidRPr="00C67BE5">
        <w:rPr>
          <w:rFonts w:ascii="Arial" w:hAnsi="Arial" w:cs="Arial"/>
          <w:sz w:val="22"/>
          <w:szCs w:val="22"/>
        </w:rPr>
        <w:t>In summary, disproportionate risk and under-representation perpetuate a cycle of neglect and disadvantage for Black men with prostate cancer. Bridging these gaps demands systemic reform, advocacy, and an inclusive, data-driven approach, elements essential to advancing health equity in the next stage</w:t>
      </w:r>
      <w:r w:rsidR="00AD0B57" w:rsidRPr="00AD0B57">
        <w:rPr>
          <w:rFonts w:ascii="-webkit-standard" w:hAnsi="-webkit-standard"/>
          <w:color w:val="000000"/>
          <w:sz w:val="27"/>
          <w:szCs w:val="27"/>
        </w:rPr>
        <w:t xml:space="preserve"> </w:t>
      </w:r>
      <w:r w:rsidR="00AD0B57" w:rsidRPr="00AD0B57">
        <w:rPr>
          <w:rFonts w:ascii="Arial" w:hAnsi="Arial" w:cs="Arial"/>
          <w:sz w:val="22"/>
          <w:szCs w:val="22"/>
        </w:rPr>
        <w:t>(Nyame </w:t>
      </w:r>
      <w:r w:rsidR="00AD0B57" w:rsidRPr="00AD0B57">
        <w:rPr>
          <w:rFonts w:ascii="Arial" w:hAnsi="Arial" w:cs="Arial"/>
          <w:i/>
          <w:iCs/>
          <w:sz w:val="22"/>
          <w:szCs w:val="22"/>
        </w:rPr>
        <w:t>et al.</w:t>
      </w:r>
      <w:r w:rsidR="00AD0B57" w:rsidRPr="00AD0B57">
        <w:rPr>
          <w:rFonts w:ascii="Arial" w:hAnsi="Arial" w:cs="Arial"/>
          <w:sz w:val="22"/>
          <w:szCs w:val="22"/>
        </w:rPr>
        <w:t>, 2022c)</w:t>
      </w:r>
      <w:r w:rsidR="00C67BE5" w:rsidRPr="00C67BE5">
        <w:rPr>
          <w:rFonts w:ascii="Arial" w:hAnsi="Arial" w:cs="Arial"/>
          <w:sz w:val="22"/>
          <w:szCs w:val="22"/>
        </w:rPr>
        <w:t>.</w:t>
      </w:r>
    </w:p>
    <w:p w14:paraId="369404B2" w14:textId="77777777" w:rsidR="00EA1B27" w:rsidRPr="00EA53C7" w:rsidRDefault="00EA1B27" w:rsidP="00EA1B27">
      <w:pPr>
        <w:spacing w:line="360" w:lineRule="auto"/>
        <w:jc w:val="both"/>
        <w:rPr>
          <w:rFonts w:ascii="Arial" w:hAnsi="Arial" w:cs="Arial"/>
          <w:sz w:val="22"/>
          <w:szCs w:val="22"/>
        </w:rPr>
      </w:pPr>
    </w:p>
    <w:p w14:paraId="6784E17A" w14:textId="77777777" w:rsidR="00EA1B27" w:rsidRDefault="00EA1B27" w:rsidP="00EA1B27">
      <w:pPr>
        <w:pStyle w:val="ListParagraph"/>
        <w:numPr>
          <w:ilvl w:val="1"/>
          <w:numId w:val="1"/>
        </w:numPr>
        <w:spacing w:after="160" w:line="360" w:lineRule="auto"/>
        <w:jc w:val="both"/>
        <w:rPr>
          <w:rFonts w:ascii="Arial" w:hAnsi="Arial" w:cs="Arial"/>
          <w:b/>
          <w:bCs/>
          <w:sz w:val="22"/>
          <w:szCs w:val="22"/>
        </w:rPr>
      </w:pPr>
      <w:bookmarkStart w:id="20" w:name="OLE_LINK56"/>
      <w:r w:rsidRPr="00EA53C7">
        <w:rPr>
          <w:rFonts w:ascii="Arial" w:hAnsi="Arial" w:cs="Arial"/>
          <w:b/>
          <w:bCs/>
          <w:sz w:val="22"/>
          <w:szCs w:val="22"/>
        </w:rPr>
        <w:t xml:space="preserve">–  Conclusion </w:t>
      </w:r>
    </w:p>
    <w:p w14:paraId="6FCAE3BA" w14:textId="7EC4F508" w:rsidR="00EA1B27" w:rsidRPr="0044213A" w:rsidRDefault="00EA1B27" w:rsidP="00EA1B27">
      <w:pPr>
        <w:spacing w:line="360" w:lineRule="auto"/>
        <w:jc w:val="both"/>
        <w:rPr>
          <w:rFonts w:ascii="Arial" w:hAnsi="Arial" w:cs="Arial"/>
          <w:color w:val="000000" w:themeColor="text1"/>
          <w:sz w:val="22"/>
          <w:szCs w:val="22"/>
        </w:rPr>
      </w:pPr>
      <w:r w:rsidRPr="0044213A">
        <w:rPr>
          <w:rFonts w:ascii="Arial" w:hAnsi="Arial" w:cs="Arial"/>
          <w:color w:val="000000" w:themeColor="text1"/>
          <w:sz w:val="22"/>
          <w:szCs w:val="22"/>
        </w:rPr>
        <w:t>This chapter highlights three key themes behind disparities in prostate cancer outcomes among Black men</w:t>
      </w:r>
      <w:r>
        <w:rPr>
          <w:rFonts w:ascii="Arial" w:hAnsi="Arial" w:cs="Arial"/>
          <w:color w:val="000000" w:themeColor="text1"/>
          <w:sz w:val="22"/>
          <w:szCs w:val="22"/>
        </w:rPr>
        <w:t xml:space="preserve">, </w:t>
      </w:r>
      <w:r w:rsidRPr="0044213A">
        <w:rPr>
          <w:rFonts w:ascii="Arial" w:hAnsi="Arial" w:cs="Arial"/>
          <w:color w:val="000000" w:themeColor="text1"/>
          <w:sz w:val="22"/>
          <w:szCs w:val="22"/>
        </w:rPr>
        <w:t>trust and healthcare experiences, barriers to early diagnosis, and under-representation. It demonstrates that mistrust toward healthcare providers and institutions- stemming from historical discrimination, poor communication, and lack of transparency- remains a significant obstacle to effective engagement and participation</w:t>
      </w:r>
      <w:r>
        <w:rPr>
          <w:rFonts w:ascii="Arial" w:hAnsi="Arial" w:cs="Arial"/>
          <w:color w:val="000000" w:themeColor="text1"/>
          <w:sz w:val="22"/>
          <w:szCs w:val="22"/>
        </w:rPr>
        <w:t>(</w:t>
      </w:r>
      <w:r w:rsidRPr="008F21CB">
        <w:rPr>
          <w:rFonts w:ascii="Arial" w:hAnsi="Arial" w:cs="Arial"/>
          <w:color w:val="000000" w:themeColor="text1"/>
          <w:sz w:val="22"/>
          <w:szCs w:val="22"/>
        </w:rPr>
        <w:t>Chowdhury-Paulino </w:t>
      </w:r>
      <w:r w:rsidRPr="008F21CB">
        <w:rPr>
          <w:rFonts w:ascii="Arial" w:hAnsi="Arial" w:cs="Arial"/>
          <w:i/>
          <w:iCs/>
          <w:color w:val="000000" w:themeColor="text1"/>
          <w:sz w:val="22"/>
          <w:szCs w:val="22"/>
        </w:rPr>
        <w:t>et al.</w:t>
      </w:r>
      <w:r w:rsidRPr="008F21CB">
        <w:rPr>
          <w:rFonts w:ascii="Arial" w:hAnsi="Arial" w:cs="Arial"/>
          <w:color w:val="000000" w:themeColor="text1"/>
          <w:sz w:val="22"/>
          <w:szCs w:val="22"/>
        </w:rPr>
        <w:t>, 2021</w:t>
      </w:r>
      <w:r>
        <w:rPr>
          <w:rFonts w:ascii="Arial" w:hAnsi="Arial" w:cs="Arial"/>
          <w:color w:val="000000" w:themeColor="text1"/>
          <w:sz w:val="22"/>
          <w:szCs w:val="22"/>
        </w:rPr>
        <w:t>)</w:t>
      </w:r>
      <w:r w:rsidRPr="0044213A">
        <w:rPr>
          <w:rFonts w:ascii="Arial" w:hAnsi="Arial" w:cs="Arial"/>
          <w:color w:val="000000" w:themeColor="text1"/>
          <w:sz w:val="22"/>
          <w:szCs w:val="22"/>
        </w:rPr>
        <w:t>. Factors such as low awareness, stigma, and limited healthcare access lead to late-stage diagnosis and poorer outcomes for Black men. Moreover, their persistent under-representation in clinical research, policy development, and leadership often means their specific needs are ignored, reducing the effectiveness of interventions</w:t>
      </w:r>
      <w:r>
        <w:rPr>
          <w:rFonts w:ascii="Arial" w:hAnsi="Arial" w:cs="Arial"/>
          <w:color w:val="000000" w:themeColor="text1"/>
          <w:sz w:val="22"/>
          <w:szCs w:val="22"/>
        </w:rPr>
        <w:t xml:space="preserve"> (</w:t>
      </w:r>
      <w:r w:rsidRPr="009B14C1">
        <w:rPr>
          <w:rFonts w:ascii="Arial" w:hAnsi="Arial" w:cs="Arial"/>
          <w:sz w:val="22"/>
          <w:szCs w:val="22"/>
        </w:rPr>
        <w:t>Tsai, Lindo</w:t>
      </w:r>
      <w:r>
        <w:rPr>
          <w:rFonts w:ascii="Arial" w:hAnsi="Arial" w:cs="Arial"/>
          <w:sz w:val="22"/>
          <w:szCs w:val="22"/>
        </w:rPr>
        <w:t xml:space="preserve"> </w:t>
      </w:r>
      <w:r w:rsidRPr="009B14C1">
        <w:rPr>
          <w:rFonts w:ascii="Arial" w:hAnsi="Arial" w:cs="Arial"/>
          <w:sz w:val="22"/>
          <w:szCs w:val="22"/>
        </w:rPr>
        <w:t>and Bridges, 2021</w:t>
      </w:r>
      <w:r>
        <w:rPr>
          <w:rFonts w:ascii="Arial" w:hAnsi="Arial" w:cs="Arial"/>
          <w:sz w:val="22"/>
          <w:szCs w:val="22"/>
        </w:rPr>
        <w:t>)</w:t>
      </w:r>
      <w:r w:rsidRPr="0044213A">
        <w:rPr>
          <w:rFonts w:ascii="Arial" w:hAnsi="Arial" w:cs="Arial"/>
          <w:color w:val="000000" w:themeColor="text1"/>
          <w:sz w:val="22"/>
          <w:szCs w:val="22"/>
        </w:rPr>
        <w:t>.</w:t>
      </w:r>
    </w:p>
    <w:p w14:paraId="558F51AD" w14:textId="75AF5FD3" w:rsidR="00EA1B27" w:rsidRDefault="00EA1B27" w:rsidP="00EA1B27">
      <w:pPr>
        <w:spacing w:line="360" w:lineRule="auto"/>
        <w:jc w:val="both"/>
        <w:rPr>
          <w:rFonts w:ascii="Arial" w:hAnsi="Arial" w:cs="Arial"/>
          <w:sz w:val="22"/>
          <w:szCs w:val="22"/>
        </w:rPr>
      </w:pPr>
      <w:r>
        <w:rPr>
          <w:rFonts w:ascii="Arial" w:hAnsi="Arial" w:cs="Arial"/>
          <w:color w:val="000000" w:themeColor="text1"/>
          <w:sz w:val="22"/>
          <w:szCs w:val="22"/>
        </w:rPr>
        <w:t xml:space="preserve">These interconnected themes highlight how structural </w:t>
      </w:r>
      <w:r w:rsidR="00A56FB1">
        <w:rPr>
          <w:rFonts w:ascii="Arial" w:hAnsi="Arial" w:cs="Arial"/>
          <w:color w:val="000000" w:themeColor="text1"/>
          <w:sz w:val="22"/>
          <w:szCs w:val="22"/>
        </w:rPr>
        <w:t>inequalities</w:t>
      </w:r>
      <w:r>
        <w:rPr>
          <w:rFonts w:ascii="Arial" w:hAnsi="Arial" w:cs="Arial"/>
          <w:color w:val="000000" w:themeColor="text1"/>
          <w:sz w:val="22"/>
          <w:szCs w:val="22"/>
        </w:rPr>
        <w:t xml:space="preserve"> and social factors significantly shape health outcomes. The results indicate that reducing these disparities requires more than isolated policies or awareness efforts; it requires culturally sensitive, targeted, and sustained strategies to dismantle systemic barriers and build trust, inclusion, and fairness. Enhancing community partnerships, encouraging diversity in research, and ensuring accountability in healthcare policies are essential steps to tackle current disparities. Future research should focus on systemic changes that elevate Black men's voices and address their specific needs to improve prostate cancer outcomes. </w:t>
      </w:r>
      <w:r>
        <w:rPr>
          <w:rFonts w:ascii="Arial" w:hAnsi="Arial" w:cs="Arial"/>
          <w:sz w:val="22"/>
          <w:szCs w:val="22"/>
        </w:rPr>
        <w:t xml:space="preserve">The following section will be the </w:t>
      </w:r>
      <w:r w:rsidRPr="4EC2E67D">
        <w:rPr>
          <w:rFonts w:ascii="Arial" w:hAnsi="Arial" w:cs="Arial"/>
          <w:sz w:val="22"/>
          <w:szCs w:val="22"/>
        </w:rPr>
        <w:t>closing</w:t>
      </w:r>
      <w:r>
        <w:rPr>
          <w:rFonts w:ascii="Arial" w:hAnsi="Arial" w:cs="Arial"/>
          <w:sz w:val="22"/>
          <w:szCs w:val="22"/>
        </w:rPr>
        <w:t xml:space="preserve"> chapter, presenting the overall conclusion and recommendations</w:t>
      </w:r>
      <w:r w:rsidRPr="009B14C1">
        <w:rPr>
          <w:rFonts w:ascii="Arial" w:hAnsi="Arial" w:cs="Arial"/>
          <w:sz w:val="22"/>
          <w:szCs w:val="22"/>
        </w:rPr>
        <w:t>(Agnew, 2015</w:t>
      </w:r>
      <w:r>
        <w:rPr>
          <w:rFonts w:ascii="Arial" w:hAnsi="Arial" w:cs="Arial"/>
          <w:sz w:val="22"/>
          <w:szCs w:val="22"/>
        </w:rPr>
        <w:t>b</w:t>
      </w:r>
      <w:r w:rsidRPr="009B14C1">
        <w:rPr>
          <w:rFonts w:ascii="Arial" w:hAnsi="Arial" w:cs="Arial"/>
          <w:sz w:val="22"/>
          <w:szCs w:val="22"/>
        </w:rPr>
        <w:t>)</w:t>
      </w:r>
      <w:r>
        <w:rPr>
          <w:rFonts w:ascii="Arial" w:hAnsi="Arial" w:cs="Arial"/>
          <w:sz w:val="22"/>
          <w:szCs w:val="22"/>
        </w:rPr>
        <w:t>.</w:t>
      </w:r>
    </w:p>
    <w:p w14:paraId="763D4478" w14:textId="77777777" w:rsidR="00EA1B27" w:rsidRDefault="00EA1B27" w:rsidP="00EA1B27">
      <w:pPr>
        <w:spacing w:line="360" w:lineRule="auto"/>
        <w:jc w:val="both"/>
        <w:rPr>
          <w:rFonts w:ascii="Arial" w:hAnsi="Arial" w:cs="Arial"/>
          <w:sz w:val="22"/>
          <w:szCs w:val="22"/>
        </w:rPr>
      </w:pPr>
    </w:p>
    <w:p w14:paraId="5028B491" w14:textId="77777777" w:rsidR="00724E44" w:rsidRDefault="00724E44" w:rsidP="00EA1B27">
      <w:pPr>
        <w:spacing w:line="360" w:lineRule="auto"/>
        <w:jc w:val="both"/>
        <w:rPr>
          <w:rFonts w:ascii="Arial" w:hAnsi="Arial" w:cs="Arial"/>
          <w:sz w:val="22"/>
          <w:szCs w:val="22"/>
        </w:rPr>
      </w:pPr>
    </w:p>
    <w:p w14:paraId="27789BA4" w14:textId="77777777" w:rsidR="00EA1B27" w:rsidRDefault="00EA1B27" w:rsidP="00EA1B27">
      <w:pPr>
        <w:spacing w:line="360" w:lineRule="auto"/>
        <w:jc w:val="both"/>
        <w:rPr>
          <w:rFonts w:ascii="Arial" w:hAnsi="Arial" w:cs="Arial"/>
          <w:sz w:val="22"/>
          <w:szCs w:val="22"/>
        </w:rPr>
      </w:pPr>
    </w:p>
    <w:p w14:paraId="257A371D" w14:textId="321761CE" w:rsidR="00E36CF0" w:rsidRDefault="00724E44" w:rsidP="00E36CF0">
      <w:pPr>
        <w:spacing w:line="360" w:lineRule="auto"/>
        <w:jc w:val="both"/>
        <w:rPr>
          <w:rFonts w:ascii="Arial" w:hAnsi="Arial" w:cs="Arial"/>
          <w:sz w:val="22"/>
          <w:szCs w:val="22"/>
        </w:rPr>
      </w:pPr>
      <w:bookmarkStart w:id="21" w:name="OLE_LINK50"/>
      <w:r>
        <w:rPr>
          <w:rFonts w:ascii="Arial" w:hAnsi="Arial" w:cs="Arial"/>
          <w:b/>
          <w:sz w:val="22"/>
          <w:szCs w:val="22"/>
          <w:lang w:bidi="en-GB"/>
        </w:rPr>
        <w:lastRenderedPageBreak/>
        <w:t xml:space="preserve">                  </w:t>
      </w:r>
      <w:r w:rsidR="00E36CF0" w:rsidRPr="00B1377F">
        <w:rPr>
          <w:rFonts w:ascii="Arial" w:hAnsi="Arial" w:cs="Arial"/>
          <w:b/>
          <w:sz w:val="22"/>
          <w:szCs w:val="22"/>
          <w:lang w:bidi="en-GB"/>
        </w:rPr>
        <w:t>C</w:t>
      </w:r>
      <w:r w:rsidR="00E36CF0">
        <w:rPr>
          <w:rFonts w:ascii="Arial" w:hAnsi="Arial" w:cs="Arial"/>
          <w:b/>
          <w:sz w:val="22"/>
          <w:szCs w:val="22"/>
          <w:lang w:bidi="en-GB"/>
        </w:rPr>
        <w:t>hapter</w:t>
      </w:r>
      <w:r w:rsidR="00E36CF0" w:rsidRPr="00B1377F">
        <w:rPr>
          <w:rFonts w:ascii="Arial" w:hAnsi="Arial" w:cs="Arial"/>
          <w:b/>
          <w:sz w:val="22"/>
          <w:szCs w:val="22"/>
          <w:lang w:bidi="en-GB"/>
        </w:rPr>
        <w:t xml:space="preserve"> 5 – Conclusion and Recommendations</w:t>
      </w:r>
      <w:bookmarkEnd w:id="21"/>
    </w:p>
    <w:p w14:paraId="5CA112FF" w14:textId="77777777" w:rsidR="00E36CF0" w:rsidRDefault="00E36CF0" w:rsidP="00E36CF0">
      <w:pPr>
        <w:rPr>
          <w:rFonts w:ascii="Arial" w:hAnsi="Arial" w:cs="Arial"/>
          <w:sz w:val="22"/>
          <w:szCs w:val="22"/>
        </w:rPr>
      </w:pPr>
    </w:p>
    <w:p w14:paraId="28AF73BD" w14:textId="77777777" w:rsidR="00E36CF0" w:rsidRPr="00552466" w:rsidRDefault="00E36CF0" w:rsidP="00E36CF0">
      <w:pPr>
        <w:rPr>
          <w:rFonts w:ascii="Arial" w:hAnsi="Arial" w:cs="Arial"/>
          <w:b/>
          <w:bCs/>
          <w:sz w:val="22"/>
          <w:szCs w:val="22"/>
        </w:rPr>
      </w:pPr>
      <w:bookmarkStart w:id="22" w:name="OLE_LINK52"/>
      <w:r>
        <w:rPr>
          <w:rFonts w:ascii="Arial" w:hAnsi="Arial" w:cs="Arial"/>
          <w:b/>
          <w:bCs/>
          <w:sz w:val="22"/>
          <w:szCs w:val="22"/>
        </w:rPr>
        <w:t xml:space="preserve">5.1 </w:t>
      </w:r>
      <w:r w:rsidRPr="00552466">
        <w:rPr>
          <w:rFonts w:ascii="Arial" w:hAnsi="Arial" w:cs="Arial"/>
          <w:b/>
          <w:bCs/>
          <w:sz w:val="22"/>
          <w:szCs w:val="22"/>
        </w:rPr>
        <w:t>Overall conclusions</w:t>
      </w:r>
    </w:p>
    <w:bookmarkEnd w:id="22"/>
    <w:p w14:paraId="6DF7D719" w14:textId="77777777" w:rsidR="00E36CF0" w:rsidRDefault="00E36CF0" w:rsidP="00E36CF0">
      <w:pPr>
        <w:pStyle w:val="ListParagraph"/>
        <w:rPr>
          <w:rFonts w:ascii="Arial" w:hAnsi="Arial" w:cs="Arial"/>
          <w:b/>
          <w:bCs/>
          <w:sz w:val="22"/>
          <w:szCs w:val="22"/>
        </w:rPr>
      </w:pPr>
    </w:p>
    <w:p w14:paraId="30519C9F" w14:textId="77777777" w:rsidR="005A5885" w:rsidRDefault="00E36CF0" w:rsidP="00724E44">
      <w:pPr>
        <w:spacing w:line="360" w:lineRule="auto"/>
        <w:jc w:val="both"/>
        <w:rPr>
          <w:rFonts w:ascii="Arial" w:hAnsi="Arial" w:cs="Arial"/>
          <w:sz w:val="22"/>
          <w:szCs w:val="22"/>
        </w:rPr>
      </w:pPr>
      <w:r>
        <w:rPr>
          <w:rFonts w:ascii="Arial" w:hAnsi="Arial" w:cs="Arial"/>
          <w:sz w:val="22"/>
          <w:szCs w:val="22"/>
        </w:rPr>
        <w:t>This research highlights significant disparities in prostate cancer outcomes for Black men in the UK. Black men face higher risks, later-stage diagnoses, and increased mortality, influenced not just by genetics but by socioeconomic, cultural, and systemic factors. These health inequities are rooted in social determinants and cultural barriers that hinder early detection and timely treatment. International, national, and local perspectives show that targeted education, accessible screening, and culturally sensitive care are urgently required</w:t>
      </w:r>
      <w:r w:rsidR="0079461C" w:rsidRPr="0079461C">
        <w:rPr>
          <w:rFonts w:ascii="Arial" w:hAnsi="Arial" w:cs="Arial"/>
          <w:sz w:val="22"/>
          <w:szCs w:val="22"/>
        </w:rPr>
        <w:t>(Prostate Cancer UK, no date</w:t>
      </w:r>
      <w:r w:rsidR="00876E88">
        <w:rPr>
          <w:rFonts w:ascii="Arial" w:hAnsi="Arial" w:cs="Arial"/>
          <w:sz w:val="22"/>
          <w:szCs w:val="22"/>
        </w:rPr>
        <w:t>a;</w:t>
      </w:r>
      <w:r w:rsidR="00876E88" w:rsidRPr="00876E88">
        <w:rPr>
          <w:rFonts w:ascii="-webkit-standard" w:hAnsi="-webkit-standard"/>
          <w:color w:val="000000"/>
          <w:sz w:val="27"/>
          <w:szCs w:val="27"/>
        </w:rPr>
        <w:t xml:space="preserve"> </w:t>
      </w:r>
      <w:r w:rsidR="00876E88" w:rsidRPr="00876E88">
        <w:rPr>
          <w:rFonts w:ascii="Arial" w:hAnsi="Arial" w:cs="Arial"/>
          <w:color w:val="000000"/>
          <w:sz w:val="22"/>
          <w:szCs w:val="22"/>
        </w:rPr>
        <w:t>Lillard</w:t>
      </w:r>
      <w:r w:rsidR="00876E88" w:rsidRPr="00876E88">
        <w:rPr>
          <w:rStyle w:val="apple-converted-space"/>
          <w:rFonts w:ascii="Arial" w:hAnsi="Arial" w:cs="Arial"/>
          <w:color w:val="000000"/>
          <w:sz w:val="22"/>
          <w:szCs w:val="22"/>
        </w:rPr>
        <w:t> </w:t>
      </w:r>
      <w:r w:rsidR="00876E88" w:rsidRPr="00876E88">
        <w:rPr>
          <w:rFonts w:ascii="Arial" w:hAnsi="Arial" w:cs="Arial"/>
          <w:i/>
          <w:iCs/>
          <w:color w:val="000000"/>
          <w:sz w:val="22"/>
          <w:szCs w:val="22"/>
        </w:rPr>
        <w:t>et al.</w:t>
      </w:r>
      <w:r w:rsidR="00876E88" w:rsidRPr="00876E88">
        <w:rPr>
          <w:rFonts w:ascii="Arial" w:hAnsi="Arial" w:cs="Arial"/>
          <w:color w:val="000000"/>
          <w:sz w:val="22"/>
          <w:szCs w:val="22"/>
        </w:rPr>
        <w:t>, 2022f</w:t>
      </w:r>
      <w:r w:rsidR="0079461C" w:rsidRPr="00876E88">
        <w:rPr>
          <w:rFonts w:ascii="Arial" w:hAnsi="Arial" w:cs="Arial"/>
          <w:sz w:val="22"/>
          <w:szCs w:val="22"/>
        </w:rPr>
        <w:t>)</w:t>
      </w:r>
      <w:r w:rsidRPr="00876E88">
        <w:rPr>
          <w:rFonts w:ascii="Arial" w:hAnsi="Arial" w:cs="Arial"/>
          <w:sz w:val="22"/>
          <w:szCs w:val="22"/>
        </w:rPr>
        <w:t>.</w:t>
      </w:r>
      <w:r>
        <w:rPr>
          <w:rFonts w:ascii="Arial" w:hAnsi="Arial" w:cs="Arial"/>
          <w:sz w:val="22"/>
          <w:szCs w:val="22"/>
        </w:rPr>
        <w:t xml:space="preserve"> Effective strategies must address both individual beliefs and broader structural barriers through multidisciplinary, informed public health policies. Collaboration among healthcare providers, policymakers, and community leaders is crucial to improving early detection and ensuring equitable access to care. </w:t>
      </w:r>
    </w:p>
    <w:p w14:paraId="3A0D2890" w14:textId="66B1749C" w:rsidR="00E36CF0" w:rsidRDefault="00E36CF0" w:rsidP="00724E44">
      <w:pPr>
        <w:spacing w:line="360" w:lineRule="auto"/>
        <w:jc w:val="both"/>
        <w:rPr>
          <w:rFonts w:ascii="Arial" w:hAnsi="Arial" w:cs="Arial"/>
          <w:sz w:val="22"/>
          <w:szCs w:val="22"/>
        </w:rPr>
      </w:pPr>
      <w:r>
        <w:rPr>
          <w:rFonts w:ascii="Arial" w:hAnsi="Arial" w:cs="Arial"/>
          <w:sz w:val="22"/>
          <w:szCs w:val="22"/>
        </w:rPr>
        <w:t xml:space="preserve">Additionally, mistrust in healthcare stemming from historical discrimination and negative experiences reduces engagement </w:t>
      </w:r>
      <w:r w:rsidR="00F3386D">
        <w:rPr>
          <w:rFonts w:ascii="Arial" w:hAnsi="Arial" w:cs="Arial"/>
          <w:sz w:val="22"/>
          <w:szCs w:val="22"/>
        </w:rPr>
        <w:t>in</w:t>
      </w:r>
      <w:r>
        <w:rPr>
          <w:rFonts w:ascii="Arial" w:hAnsi="Arial" w:cs="Arial"/>
          <w:sz w:val="22"/>
          <w:szCs w:val="22"/>
        </w:rPr>
        <w:t xml:space="preserve"> screening and treatment</w:t>
      </w:r>
      <w:r w:rsidR="00F3386D" w:rsidRPr="00F3386D">
        <w:rPr>
          <w:rFonts w:ascii="-webkit-standard" w:hAnsi="-webkit-standard"/>
          <w:color w:val="000000"/>
          <w:sz w:val="27"/>
          <w:szCs w:val="27"/>
        </w:rPr>
        <w:t xml:space="preserve"> </w:t>
      </w:r>
      <w:r w:rsidR="00F3386D" w:rsidRPr="00F3386D">
        <w:rPr>
          <w:rFonts w:ascii="Arial" w:hAnsi="Arial" w:cs="Arial"/>
          <w:sz w:val="22"/>
          <w:szCs w:val="22"/>
        </w:rPr>
        <w:t>(Cazap </w:t>
      </w:r>
      <w:r w:rsidR="00F3386D" w:rsidRPr="00F3386D">
        <w:rPr>
          <w:rFonts w:ascii="Arial" w:hAnsi="Arial" w:cs="Arial"/>
          <w:i/>
          <w:iCs/>
          <w:sz w:val="22"/>
          <w:szCs w:val="22"/>
        </w:rPr>
        <w:t>et al.</w:t>
      </w:r>
      <w:r w:rsidR="00F3386D" w:rsidRPr="00F3386D">
        <w:rPr>
          <w:rFonts w:ascii="Arial" w:hAnsi="Arial" w:cs="Arial"/>
          <w:sz w:val="22"/>
          <w:szCs w:val="22"/>
        </w:rPr>
        <w:t>, 2015b)</w:t>
      </w:r>
      <w:r>
        <w:rPr>
          <w:rFonts w:ascii="Arial" w:hAnsi="Arial" w:cs="Arial"/>
          <w:sz w:val="22"/>
          <w:szCs w:val="22"/>
        </w:rPr>
        <w:t xml:space="preserve">. Low awareness, stigma, limited access, and underrepresentation in research and leadership exacerbate late diagnoses and poorer survival. </w:t>
      </w:r>
      <w:r w:rsidR="00CB5714">
        <w:rPr>
          <w:rFonts w:ascii="Arial" w:hAnsi="Arial" w:cs="Arial"/>
          <w:sz w:val="22"/>
          <w:szCs w:val="22"/>
        </w:rPr>
        <w:t>Actual</w:t>
      </w:r>
      <w:r>
        <w:rPr>
          <w:rFonts w:ascii="Arial" w:hAnsi="Arial" w:cs="Arial"/>
          <w:sz w:val="22"/>
          <w:szCs w:val="22"/>
        </w:rPr>
        <w:t xml:space="preserve"> progress requires culturally competent and equity-focused reforms that build trust, address social determinants, and increase representation, alongside community engagement. Ultimately, these efforts will improve outcomes, quality of life, and trust for Black men with prostate cancer, guiding future research and policy with inclusivity, transparency, and accountability</w:t>
      </w:r>
      <w:r w:rsidR="00F3386D" w:rsidRPr="009B14C1">
        <w:rPr>
          <w:rFonts w:ascii="Arial" w:hAnsi="Arial" w:cs="Arial"/>
          <w:sz w:val="22"/>
          <w:szCs w:val="22"/>
        </w:rPr>
        <w:t>(Scott, 2016</w:t>
      </w:r>
      <w:r w:rsidR="00F3386D">
        <w:rPr>
          <w:rFonts w:ascii="Arial" w:hAnsi="Arial" w:cs="Arial"/>
          <w:sz w:val="22"/>
          <w:szCs w:val="22"/>
        </w:rPr>
        <w:t>b</w:t>
      </w:r>
      <w:r w:rsidR="00F3386D" w:rsidRPr="009B14C1">
        <w:rPr>
          <w:rFonts w:ascii="Arial" w:hAnsi="Arial" w:cs="Arial"/>
          <w:sz w:val="22"/>
          <w:szCs w:val="22"/>
        </w:rPr>
        <w:t>)</w:t>
      </w:r>
      <w:r>
        <w:rPr>
          <w:rFonts w:ascii="Arial" w:hAnsi="Arial" w:cs="Arial"/>
          <w:sz w:val="22"/>
          <w:szCs w:val="22"/>
        </w:rPr>
        <w:t>.</w:t>
      </w:r>
    </w:p>
    <w:p w14:paraId="1C904D9D" w14:textId="77777777" w:rsidR="00724E44" w:rsidRPr="00724E44" w:rsidRDefault="00724E44" w:rsidP="00724E44">
      <w:pPr>
        <w:spacing w:line="360" w:lineRule="auto"/>
        <w:jc w:val="both"/>
        <w:rPr>
          <w:rFonts w:ascii="Arial" w:hAnsi="Arial" w:cs="Arial"/>
          <w:sz w:val="22"/>
          <w:szCs w:val="22"/>
        </w:rPr>
      </w:pPr>
    </w:p>
    <w:p w14:paraId="25D9F6AE" w14:textId="77777777" w:rsidR="00E36CF0" w:rsidRDefault="00E36CF0" w:rsidP="00E36CF0">
      <w:pPr>
        <w:rPr>
          <w:rFonts w:ascii="Arial" w:hAnsi="Arial" w:cs="Arial"/>
          <w:b/>
          <w:bCs/>
          <w:color w:val="000000" w:themeColor="text1"/>
          <w:sz w:val="22"/>
          <w:szCs w:val="22"/>
        </w:rPr>
      </w:pPr>
      <w:r>
        <w:rPr>
          <w:rFonts w:ascii="Arial" w:hAnsi="Arial" w:cs="Arial"/>
          <w:b/>
          <w:bCs/>
          <w:color w:val="000000" w:themeColor="text1"/>
          <w:sz w:val="22"/>
          <w:szCs w:val="22"/>
        </w:rPr>
        <w:t xml:space="preserve">              </w:t>
      </w:r>
      <w:r w:rsidRPr="007B409A">
        <w:rPr>
          <w:rFonts w:ascii="Arial" w:hAnsi="Arial" w:cs="Arial"/>
          <w:b/>
          <w:bCs/>
          <w:color w:val="000000" w:themeColor="text1"/>
          <w:sz w:val="22"/>
          <w:szCs w:val="22"/>
        </w:rPr>
        <w:t xml:space="preserve">Recommendations </w:t>
      </w:r>
    </w:p>
    <w:p w14:paraId="66B781BA" w14:textId="77777777" w:rsidR="00E36CF0" w:rsidRDefault="00E36CF0" w:rsidP="00E36CF0">
      <w:pPr>
        <w:rPr>
          <w:rFonts w:ascii="Arial" w:hAnsi="Arial" w:cs="Arial"/>
          <w:b/>
          <w:bCs/>
          <w:color w:val="000000" w:themeColor="text1"/>
          <w:sz w:val="22"/>
          <w:szCs w:val="22"/>
        </w:rPr>
      </w:pPr>
    </w:p>
    <w:p w14:paraId="28F8B3C8" w14:textId="77777777" w:rsidR="00E36CF0" w:rsidRDefault="00E36CF0" w:rsidP="00E36CF0">
      <w:pPr>
        <w:rPr>
          <w:b/>
          <w:bCs/>
          <w:color w:val="000000" w:themeColor="text1"/>
        </w:rPr>
      </w:pPr>
      <w:r w:rsidRPr="00B1377F">
        <w:rPr>
          <w:rFonts w:ascii="Arial" w:hAnsi="Arial" w:cs="Arial"/>
          <w:b/>
          <w:sz w:val="22"/>
          <w:szCs w:val="22"/>
          <w:lang w:bidi="en-GB"/>
        </w:rPr>
        <w:t xml:space="preserve">5.2.1 – </w:t>
      </w:r>
      <w:bookmarkStart w:id="23" w:name="OLE_LINK54"/>
      <w:r w:rsidRPr="001A296C">
        <w:rPr>
          <w:b/>
          <w:bCs/>
          <w:color w:val="000000" w:themeColor="text1"/>
        </w:rPr>
        <w:t>Recommendation 1: Implement Culturally Tailored Community Outreach and Education Programs</w:t>
      </w:r>
    </w:p>
    <w:p w14:paraId="6815D91E" w14:textId="77777777" w:rsidR="00E36CF0" w:rsidRPr="001A296C" w:rsidRDefault="00E36CF0" w:rsidP="00E36CF0">
      <w:pPr>
        <w:rPr>
          <w:b/>
          <w:bCs/>
          <w:color w:val="000000" w:themeColor="text1"/>
        </w:rPr>
      </w:pPr>
    </w:p>
    <w:p w14:paraId="4BFB67E3" w14:textId="718CD4D1" w:rsidR="00724E44" w:rsidRDefault="00E36CF0" w:rsidP="00E36CF0">
      <w:pPr>
        <w:spacing w:line="360" w:lineRule="auto"/>
        <w:jc w:val="both"/>
        <w:rPr>
          <w:rFonts w:ascii="Arial" w:hAnsi="Arial" w:cs="Arial"/>
          <w:sz w:val="22"/>
          <w:szCs w:val="22"/>
        </w:rPr>
      </w:pPr>
      <w:r w:rsidRPr="001A296C">
        <w:rPr>
          <w:rFonts w:ascii="Arial" w:hAnsi="Arial" w:cs="Arial"/>
          <w:sz w:val="22"/>
          <w:szCs w:val="22"/>
        </w:rPr>
        <w:t>To effectively address the widespread issue of mistrust and to enhance awareness among Black men regarding prostate cancer, the NHS and public health organisations should make substantial investments in culturally sensitive community outreach and educational initiatives. Research indicates that a limited understanding of the risks associated with prostate cancer, coupled with historical mistrust stemming from systemic healthcare inequalities, leads to decreased participation in screening and delayed diagnoses within this demographic</w:t>
      </w:r>
      <w:r w:rsidR="008503D5" w:rsidRPr="008503D5">
        <w:rPr>
          <w:rFonts w:ascii="Arial" w:hAnsi="Arial" w:cs="Arial"/>
          <w:sz w:val="22"/>
          <w:szCs w:val="22"/>
        </w:rPr>
        <w:t>(Prostate Cancer UK, no date</w:t>
      </w:r>
      <w:r w:rsidR="00A83926">
        <w:rPr>
          <w:rFonts w:ascii="Arial" w:hAnsi="Arial" w:cs="Arial"/>
          <w:sz w:val="22"/>
          <w:szCs w:val="22"/>
        </w:rPr>
        <w:t>a</w:t>
      </w:r>
      <w:r w:rsidR="008503D5" w:rsidRPr="008503D5">
        <w:rPr>
          <w:rFonts w:ascii="Arial" w:hAnsi="Arial" w:cs="Arial"/>
          <w:sz w:val="22"/>
          <w:szCs w:val="22"/>
        </w:rPr>
        <w:t>)</w:t>
      </w:r>
      <w:r w:rsidRPr="001A296C">
        <w:rPr>
          <w:rFonts w:ascii="Arial" w:hAnsi="Arial" w:cs="Arial"/>
          <w:sz w:val="22"/>
          <w:szCs w:val="22"/>
        </w:rPr>
        <w:t>. Programs co-designed with influential Black community leaders and established organisations such as local churches, cultural clubs, and advocacy groups have shown significant improvements in community engagement. Educational materials and outreach events should use relatable language and include visual representations that resonate with Black men's experiences and identities</w:t>
      </w:r>
      <w:r w:rsidR="0079461C" w:rsidRPr="0079461C">
        <w:rPr>
          <w:rFonts w:ascii="Arial" w:hAnsi="Arial" w:cs="Arial"/>
          <w:sz w:val="22"/>
          <w:szCs w:val="22"/>
        </w:rPr>
        <w:t>(Look Ahead, 2025a)</w:t>
      </w:r>
      <w:r w:rsidRPr="001A296C">
        <w:rPr>
          <w:rFonts w:ascii="Arial" w:hAnsi="Arial" w:cs="Arial"/>
          <w:sz w:val="22"/>
          <w:szCs w:val="22"/>
        </w:rPr>
        <w:t xml:space="preserve">. Furthermore, </w:t>
      </w:r>
      <w:r w:rsidRPr="001A296C">
        <w:rPr>
          <w:rFonts w:ascii="Arial" w:hAnsi="Arial" w:cs="Arial"/>
          <w:sz w:val="22"/>
          <w:szCs w:val="22"/>
        </w:rPr>
        <w:lastRenderedPageBreak/>
        <w:t>incorporating peer-led discussions has proven effective in fostering stronger connections with the target population</w:t>
      </w:r>
      <w:r w:rsidR="008503D5" w:rsidRPr="00724E44">
        <w:rPr>
          <w:rFonts w:ascii="Arial" w:hAnsi="Arial" w:cs="Arial"/>
          <w:sz w:val="22"/>
          <w:szCs w:val="22"/>
        </w:rPr>
        <w:t>(Prostate Cancer Research, 2025</w:t>
      </w:r>
      <w:r w:rsidR="008503D5">
        <w:rPr>
          <w:rFonts w:ascii="Arial" w:hAnsi="Arial" w:cs="Arial"/>
          <w:sz w:val="22"/>
          <w:szCs w:val="22"/>
        </w:rPr>
        <w:t>a</w:t>
      </w:r>
      <w:r w:rsidR="008503D5" w:rsidRPr="00724E44">
        <w:rPr>
          <w:rFonts w:ascii="Arial" w:hAnsi="Arial" w:cs="Arial"/>
          <w:sz w:val="22"/>
          <w:szCs w:val="22"/>
        </w:rPr>
        <w:t>)</w:t>
      </w:r>
      <w:r w:rsidRPr="001A296C">
        <w:rPr>
          <w:rFonts w:ascii="Arial" w:hAnsi="Arial" w:cs="Arial"/>
          <w:sz w:val="22"/>
          <w:szCs w:val="22"/>
        </w:rPr>
        <w:t>.</w:t>
      </w:r>
    </w:p>
    <w:p w14:paraId="73744FE5" w14:textId="31FC5B3D" w:rsidR="00E36CF0" w:rsidRPr="00B1377F" w:rsidRDefault="00E36CF0" w:rsidP="00724E44">
      <w:pPr>
        <w:spacing w:line="360" w:lineRule="auto"/>
        <w:jc w:val="both"/>
        <w:rPr>
          <w:rFonts w:ascii="Arial" w:hAnsi="Arial" w:cs="Arial"/>
          <w:sz w:val="22"/>
          <w:szCs w:val="22"/>
        </w:rPr>
      </w:pPr>
      <w:r w:rsidRPr="001A296C">
        <w:rPr>
          <w:rFonts w:ascii="Arial" w:hAnsi="Arial" w:cs="Arial"/>
          <w:sz w:val="22"/>
          <w:szCs w:val="22"/>
        </w:rPr>
        <w:t>Evidence suggests that peer support groups and the involvement of community-based educators can empower Black men to discuss their experiences</w:t>
      </w:r>
      <w:r>
        <w:rPr>
          <w:rFonts w:ascii="Arial" w:hAnsi="Arial" w:cs="Arial"/>
          <w:sz w:val="22"/>
          <w:szCs w:val="22"/>
        </w:rPr>
        <w:t xml:space="preserve"> openly</w:t>
      </w:r>
      <w:r w:rsidRPr="001A296C">
        <w:rPr>
          <w:rFonts w:ascii="Arial" w:hAnsi="Arial" w:cs="Arial"/>
          <w:sz w:val="22"/>
          <w:szCs w:val="22"/>
        </w:rPr>
        <w:t>, challenge the stigma surrounding prostate cancer, and encourage early healthcare-seeking behaviours. Initiatives like these not only help build trust but also enhance health literacy, effectively breaking down barriers created by cultural taboos and misinformation. To achieve maximum impact, NHS staff should undergo comprehensive cultural competence training. This training should equip healthcare professionals with the skills needed for respectful, effective communication, ensuring their interactions with Black men are culturally appropriate and sensitive</w:t>
      </w:r>
      <w:r w:rsidR="0079461C" w:rsidRPr="0079461C">
        <w:rPr>
          <w:rFonts w:ascii="-webkit-standard" w:hAnsi="-webkit-standard"/>
          <w:color w:val="000000"/>
          <w:sz w:val="27"/>
          <w:szCs w:val="27"/>
        </w:rPr>
        <w:t xml:space="preserve"> </w:t>
      </w:r>
      <w:r w:rsidR="0079461C" w:rsidRPr="0079461C">
        <w:rPr>
          <w:rFonts w:ascii="Arial" w:hAnsi="Arial" w:cs="Arial"/>
          <w:sz w:val="22"/>
          <w:szCs w:val="22"/>
        </w:rPr>
        <w:t>(Lopez </w:t>
      </w:r>
      <w:r w:rsidR="0079461C" w:rsidRPr="0079461C">
        <w:rPr>
          <w:rFonts w:ascii="Arial" w:hAnsi="Arial" w:cs="Arial"/>
          <w:i/>
          <w:iCs/>
          <w:sz w:val="22"/>
          <w:szCs w:val="22"/>
        </w:rPr>
        <w:t>et al.</w:t>
      </w:r>
      <w:r w:rsidR="0079461C" w:rsidRPr="0079461C">
        <w:rPr>
          <w:rFonts w:ascii="Arial" w:hAnsi="Arial" w:cs="Arial"/>
          <w:sz w:val="22"/>
          <w:szCs w:val="22"/>
        </w:rPr>
        <w:t>, 2024)</w:t>
      </w:r>
      <w:r w:rsidRPr="001A296C">
        <w:rPr>
          <w:rFonts w:ascii="Arial" w:hAnsi="Arial" w:cs="Arial"/>
          <w:sz w:val="22"/>
          <w:szCs w:val="22"/>
        </w:rPr>
        <w:t>.</w:t>
      </w:r>
      <w:r w:rsidR="00724E44">
        <w:rPr>
          <w:rFonts w:ascii="Arial" w:hAnsi="Arial" w:cs="Arial"/>
          <w:sz w:val="22"/>
          <w:szCs w:val="22"/>
        </w:rPr>
        <w:t xml:space="preserve"> </w:t>
      </w:r>
      <w:r w:rsidRPr="001A296C">
        <w:rPr>
          <w:rFonts w:ascii="Arial" w:hAnsi="Arial" w:cs="Arial"/>
          <w:sz w:val="22"/>
          <w:szCs w:val="22"/>
        </w:rPr>
        <w:t>Moreover, to evaluate the success of these initiatives and promote continuous improvement, it is advisable to establish key outcome metrics. This could involve monitoring screening uptake rates, assessing variations in awareness levels through pre- and post-intervention surveys, and gathering community feedback to understand perceptions and experiences related to the implemented programs. By taking these steps, healthcare organi</w:t>
      </w:r>
      <w:r>
        <w:rPr>
          <w:rFonts w:ascii="Arial" w:hAnsi="Arial" w:cs="Arial"/>
          <w:sz w:val="22"/>
          <w:szCs w:val="22"/>
        </w:rPr>
        <w:t>s</w:t>
      </w:r>
      <w:r w:rsidRPr="001A296C">
        <w:rPr>
          <w:rFonts w:ascii="Arial" w:hAnsi="Arial" w:cs="Arial"/>
          <w:sz w:val="22"/>
          <w:szCs w:val="22"/>
        </w:rPr>
        <w:t xml:space="preserve">ations can foster a more inclusive and </w:t>
      </w:r>
      <w:r>
        <w:rPr>
          <w:rFonts w:ascii="Arial" w:hAnsi="Arial" w:cs="Arial"/>
          <w:sz w:val="22"/>
          <w:szCs w:val="22"/>
        </w:rPr>
        <w:t>practical</w:t>
      </w:r>
      <w:r w:rsidRPr="001A296C">
        <w:rPr>
          <w:rFonts w:ascii="Arial" w:hAnsi="Arial" w:cs="Arial"/>
          <w:sz w:val="22"/>
          <w:szCs w:val="22"/>
        </w:rPr>
        <w:t xml:space="preserve"> approach to prostate cancer awareness and intervention within Black communities</w:t>
      </w:r>
      <w:r w:rsidR="00876E88" w:rsidRPr="00876E88">
        <w:rPr>
          <w:rFonts w:ascii="-webkit-standard" w:hAnsi="-webkit-standard"/>
          <w:color w:val="000000"/>
          <w:sz w:val="27"/>
          <w:szCs w:val="27"/>
        </w:rPr>
        <w:t xml:space="preserve"> </w:t>
      </w:r>
      <w:r w:rsidR="00876E88" w:rsidRPr="00876E88">
        <w:rPr>
          <w:rFonts w:ascii="Arial" w:hAnsi="Arial" w:cs="Arial"/>
          <w:sz w:val="22"/>
          <w:szCs w:val="22"/>
        </w:rPr>
        <w:t>(Cobbs, Chesnut and Shafi, 2025)</w:t>
      </w:r>
      <w:r w:rsidRPr="001A296C">
        <w:rPr>
          <w:rFonts w:ascii="Arial" w:hAnsi="Arial" w:cs="Arial"/>
          <w:sz w:val="22"/>
          <w:szCs w:val="22"/>
        </w:rPr>
        <w:t>.</w:t>
      </w:r>
      <w:bookmarkEnd w:id="23"/>
    </w:p>
    <w:p w14:paraId="5029E91F" w14:textId="77777777" w:rsidR="00E36CF0" w:rsidRPr="00AC551B" w:rsidRDefault="00E36CF0" w:rsidP="00E36CF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hAnsi="Arial" w:cs="Arial"/>
          <w:kern w:val="0"/>
          <w:sz w:val="22"/>
          <w:szCs w:val="22"/>
        </w:rPr>
      </w:pPr>
      <w:r w:rsidRPr="00B1377F">
        <w:rPr>
          <w:rFonts w:ascii="Arial" w:hAnsi="Arial" w:cs="Arial"/>
          <w:b/>
          <w:bCs/>
          <w:color w:val="151515"/>
          <w:kern w:val="0"/>
          <w:position w:val="6"/>
          <w:sz w:val="22"/>
          <w:szCs w:val="22"/>
          <w:lang w:bidi="en-GB"/>
        </w:rPr>
        <w:t xml:space="preserve">5.2.2 – </w:t>
      </w:r>
      <w:r w:rsidRPr="00AC551B">
        <w:rPr>
          <w:rFonts w:ascii="Arial" w:hAnsi="Arial" w:cs="Arial"/>
          <w:b/>
          <w:bCs/>
          <w:color w:val="151515"/>
          <w:kern w:val="0"/>
          <w:position w:val="6"/>
          <w:sz w:val="22"/>
          <w:szCs w:val="22"/>
        </w:rPr>
        <w:t>Recommendation 2: Improve Representation and Inclusion in Research and Policymaking</w:t>
      </w:r>
    </w:p>
    <w:p w14:paraId="0AD1A9C2" w14:textId="654EF9A9" w:rsidR="00724E44" w:rsidRPr="00724E44" w:rsidRDefault="00E36CF0" w:rsidP="00E36CF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color w:val="151515"/>
          <w:kern w:val="0"/>
          <w:position w:val="6"/>
          <w:sz w:val="22"/>
          <w:szCs w:val="22"/>
        </w:rPr>
      </w:pPr>
      <w:r w:rsidRPr="00AC551B">
        <w:rPr>
          <w:rFonts w:ascii="Arial" w:hAnsi="Arial" w:cs="Arial"/>
          <w:color w:val="151515"/>
          <w:kern w:val="0"/>
          <w:position w:val="6"/>
          <w:sz w:val="22"/>
          <w:szCs w:val="22"/>
        </w:rPr>
        <w:t>The persistent under-representation of Black men in clinical research and healthcare leadership perpetuates missed opportunities to address their unique needs. To redress this, research institutions, funding bodies, and the NHS should mandate the inclusion of Black men in prostate cancer studies and involve them in decision-making processes. Strategies can include targeted recruitment, direct collaboration with trusted community organisations, and transparent reporting of ethnic breakdowns in research participation</w:t>
      </w:r>
      <w:r w:rsidR="00A83926" w:rsidRPr="00A83926">
        <w:rPr>
          <w:rFonts w:ascii="Arial" w:hAnsi="Arial" w:cs="Arial"/>
          <w:color w:val="151515"/>
          <w:kern w:val="0"/>
          <w:position w:val="6"/>
          <w:sz w:val="22"/>
          <w:szCs w:val="22"/>
        </w:rPr>
        <w:t>(Prostate Cancer UK, no date</w:t>
      </w:r>
      <w:r w:rsidR="00A83926">
        <w:rPr>
          <w:rFonts w:ascii="Arial" w:hAnsi="Arial" w:cs="Arial"/>
          <w:color w:val="151515"/>
          <w:kern w:val="0"/>
          <w:position w:val="6"/>
          <w:sz w:val="22"/>
          <w:szCs w:val="22"/>
        </w:rPr>
        <w:t>b</w:t>
      </w:r>
      <w:r w:rsidR="00A83926" w:rsidRPr="00A83926">
        <w:rPr>
          <w:rFonts w:ascii="Arial" w:hAnsi="Arial" w:cs="Arial"/>
          <w:color w:val="151515"/>
          <w:kern w:val="0"/>
          <w:position w:val="6"/>
          <w:sz w:val="22"/>
          <w:szCs w:val="22"/>
        </w:rPr>
        <w:t>)</w:t>
      </w:r>
      <w:r w:rsidRPr="00AC551B">
        <w:rPr>
          <w:rFonts w:ascii="Arial" w:hAnsi="Arial" w:cs="Arial"/>
          <w:color w:val="151515"/>
          <w:kern w:val="0"/>
          <w:position w:val="6"/>
          <w:sz w:val="22"/>
          <w:szCs w:val="22"/>
        </w:rPr>
        <w:t>. Addressing data gaps by improving ethnic-specific cancer registries and ensuring that research outcomes can be meaningfully disaggregated helps identify where interventions are most needed</w:t>
      </w:r>
      <w:r w:rsidR="008503D5" w:rsidRPr="008503D5">
        <w:rPr>
          <w:rFonts w:ascii="Arial" w:hAnsi="Arial" w:cs="Arial"/>
          <w:color w:val="151515"/>
          <w:kern w:val="0"/>
          <w:position w:val="6"/>
          <w:sz w:val="22"/>
          <w:szCs w:val="22"/>
        </w:rPr>
        <w:t>(House of Lords Library, 2025</w:t>
      </w:r>
      <w:r w:rsidR="008503D5">
        <w:rPr>
          <w:rFonts w:ascii="Arial" w:hAnsi="Arial" w:cs="Arial"/>
          <w:color w:val="151515"/>
          <w:kern w:val="0"/>
          <w:position w:val="6"/>
          <w:sz w:val="22"/>
          <w:szCs w:val="22"/>
        </w:rPr>
        <w:t>a</w:t>
      </w:r>
      <w:r w:rsidR="008503D5" w:rsidRPr="008503D5">
        <w:rPr>
          <w:rFonts w:ascii="Arial" w:hAnsi="Arial" w:cs="Arial"/>
          <w:color w:val="151515"/>
          <w:kern w:val="0"/>
          <w:position w:val="6"/>
          <w:sz w:val="22"/>
          <w:szCs w:val="22"/>
        </w:rPr>
        <w:t>)</w:t>
      </w:r>
      <w:r w:rsidRPr="00AC551B">
        <w:rPr>
          <w:rFonts w:ascii="Arial" w:hAnsi="Arial" w:cs="Arial"/>
          <w:color w:val="151515"/>
          <w:kern w:val="0"/>
          <w:position w:val="6"/>
          <w:sz w:val="22"/>
          <w:szCs w:val="22"/>
        </w:rPr>
        <w:t>. In parallel, Black men should be actively represented on policy advisory boards and within NHS leadership, providing perspectives that shape healthcare priorities and resource allocation. This can help craft more inclusive, relevant guidelines and support population-specific early detection programs. Systematically monitoring and reporting on progress in representation across research and leadership structures will enhance accountability and drive sustained change, ensuring that policies move beyond rhetoric to real-world impact</w:t>
      </w:r>
      <w:r w:rsidR="0079461C" w:rsidRPr="0079461C">
        <w:rPr>
          <w:rFonts w:ascii="Arial" w:hAnsi="Arial" w:cs="Arial"/>
          <w:color w:val="151515"/>
          <w:kern w:val="0"/>
          <w:position w:val="6"/>
          <w:sz w:val="22"/>
          <w:szCs w:val="22"/>
        </w:rPr>
        <w:t>(Look Ahead, 2025</w:t>
      </w:r>
      <w:r w:rsidR="0079461C">
        <w:rPr>
          <w:rFonts w:ascii="Arial" w:hAnsi="Arial" w:cs="Arial"/>
          <w:color w:val="151515"/>
          <w:kern w:val="0"/>
          <w:position w:val="6"/>
          <w:sz w:val="22"/>
          <w:szCs w:val="22"/>
        </w:rPr>
        <w:t>b</w:t>
      </w:r>
      <w:r w:rsidR="0079461C" w:rsidRPr="0079461C">
        <w:rPr>
          <w:rFonts w:ascii="Arial" w:hAnsi="Arial" w:cs="Arial"/>
          <w:color w:val="151515"/>
          <w:kern w:val="0"/>
          <w:position w:val="6"/>
          <w:sz w:val="22"/>
          <w:szCs w:val="22"/>
        </w:rPr>
        <w:t>)</w:t>
      </w:r>
      <w:r w:rsidRPr="00AC551B">
        <w:rPr>
          <w:rFonts w:ascii="Arial" w:hAnsi="Arial" w:cs="Arial"/>
          <w:color w:val="151515"/>
          <w:kern w:val="0"/>
          <w:position w:val="6"/>
          <w:sz w:val="22"/>
          <w:szCs w:val="22"/>
        </w:rPr>
        <w:t>.</w:t>
      </w:r>
    </w:p>
    <w:p w14:paraId="35464173" w14:textId="77777777" w:rsidR="00F3386D" w:rsidRDefault="00E36CF0" w:rsidP="00F338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b/>
          <w:bCs/>
          <w:color w:val="151515"/>
          <w:kern w:val="0"/>
          <w:position w:val="6"/>
          <w:sz w:val="22"/>
          <w:szCs w:val="22"/>
          <w:lang w:bidi="en-GB"/>
        </w:rPr>
      </w:pPr>
      <w:r w:rsidRPr="00B766E5">
        <w:rPr>
          <w:rFonts w:ascii="Arial" w:hAnsi="Arial" w:cs="Arial"/>
          <w:b/>
          <w:bCs/>
          <w:color w:val="151515"/>
          <w:kern w:val="0"/>
          <w:position w:val="6"/>
          <w:sz w:val="22"/>
          <w:szCs w:val="22"/>
          <w:lang w:bidi="en-GB"/>
        </w:rPr>
        <w:lastRenderedPageBreak/>
        <w:t>5.2.3 – Recommendation 3</w:t>
      </w:r>
      <w:r>
        <w:rPr>
          <w:rFonts w:ascii="Arial" w:hAnsi="Arial" w:cs="Arial"/>
          <w:b/>
          <w:bCs/>
          <w:color w:val="151515"/>
          <w:kern w:val="0"/>
          <w:position w:val="6"/>
          <w:sz w:val="22"/>
          <w:szCs w:val="22"/>
          <w:lang w:bidi="en-GB"/>
        </w:rPr>
        <w:t xml:space="preserve">: </w:t>
      </w:r>
      <w:r w:rsidRPr="000E1484">
        <w:rPr>
          <w:rFonts w:ascii="Arial" w:hAnsi="Arial" w:cs="Arial"/>
          <w:b/>
          <w:bCs/>
          <w:color w:val="151515"/>
          <w:kern w:val="0"/>
          <w:position w:val="6"/>
          <w:sz w:val="22"/>
          <w:szCs w:val="22"/>
        </w:rPr>
        <w:t>Establish a National Targeted Prostate Cancer Screening and Awareness Program for Black Men in the UK</w:t>
      </w:r>
    </w:p>
    <w:p w14:paraId="537199CE" w14:textId="72FED535" w:rsidR="00E36CF0" w:rsidRPr="00F3386D" w:rsidRDefault="00E36CF0" w:rsidP="00F338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b/>
          <w:bCs/>
          <w:color w:val="151515"/>
          <w:kern w:val="0"/>
          <w:position w:val="6"/>
          <w:sz w:val="22"/>
          <w:szCs w:val="22"/>
          <w:lang w:bidi="en-GB"/>
        </w:rPr>
      </w:pPr>
      <w:r>
        <w:rPr>
          <w:rFonts w:ascii="Arial" w:hAnsi="Arial" w:cs="Arial"/>
          <w:sz w:val="22"/>
          <w:szCs w:val="22"/>
        </w:rPr>
        <w:t>To meaningfully reduce the disproportionately high rates of prostate cancer incidence and mortality among Black men in the UK, a targeted national screening and awareness initiative should be implemented. This program must prioritise early detection, education, and equitable healthcare access for Black men, especially those over 4</w:t>
      </w:r>
      <w:r w:rsidR="00724E44">
        <w:rPr>
          <w:rFonts w:ascii="Arial" w:hAnsi="Arial" w:cs="Arial"/>
          <w:sz w:val="22"/>
          <w:szCs w:val="22"/>
        </w:rPr>
        <w:t>5</w:t>
      </w:r>
      <w:r>
        <w:rPr>
          <w:rFonts w:ascii="Arial" w:hAnsi="Arial" w:cs="Arial"/>
          <w:sz w:val="22"/>
          <w:szCs w:val="22"/>
        </w:rPr>
        <w:t>, who are at significantly greater risk than other groups. The starting age for PSA screening should be lowered to 4</w:t>
      </w:r>
      <w:r w:rsidR="00724E44">
        <w:rPr>
          <w:rFonts w:ascii="Arial" w:hAnsi="Arial" w:cs="Arial"/>
          <w:sz w:val="22"/>
          <w:szCs w:val="22"/>
        </w:rPr>
        <w:t>5</w:t>
      </w:r>
      <w:r>
        <w:rPr>
          <w:rFonts w:ascii="Arial" w:hAnsi="Arial" w:cs="Arial"/>
          <w:sz w:val="22"/>
          <w:szCs w:val="22"/>
        </w:rPr>
        <w:t xml:space="preserve"> for Black men, as emerging evidence and public health guidelines suggest. Screening invitations ought to be automatically distributed to all eligible Black men using NHS records and community health registers</w:t>
      </w:r>
      <w:r w:rsidR="00724E44" w:rsidRPr="00724E44">
        <w:rPr>
          <w:rFonts w:ascii="Arial" w:hAnsi="Arial" w:cs="Arial"/>
          <w:sz w:val="22"/>
          <w:szCs w:val="22"/>
        </w:rPr>
        <w:t>(Prostate Cancer Research, 2025</w:t>
      </w:r>
      <w:r w:rsidR="008503D5">
        <w:rPr>
          <w:rFonts w:ascii="Arial" w:hAnsi="Arial" w:cs="Arial"/>
          <w:sz w:val="22"/>
          <w:szCs w:val="22"/>
        </w:rPr>
        <w:t>b</w:t>
      </w:r>
      <w:r w:rsidR="00724E44" w:rsidRPr="00724E44">
        <w:rPr>
          <w:rFonts w:ascii="Arial" w:hAnsi="Arial" w:cs="Arial"/>
          <w:sz w:val="22"/>
          <w:szCs w:val="22"/>
        </w:rPr>
        <w:t>)</w:t>
      </w:r>
      <w:r>
        <w:rPr>
          <w:rFonts w:ascii="Arial" w:hAnsi="Arial" w:cs="Arial"/>
          <w:sz w:val="22"/>
          <w:szCs w:val="22"/>
        </w:rPr>
        <w:t>. Educational campaigns should be developed in consultation with Black communities and delivered through trusted channels, such as community leaders, faith groups, and local organisations. Information materials need to address misconceptions and cultural stigma, offering clear explanations of the benefits of early screening and treatment</w:t>
      </w:r>
      <w:r w:rsidR="008503D5" w:rsidRPr="008503D5">
        <w:rPr>
          <w:rFonts w:ascii="Arial" w:hAnsi="Arial" w:cs="Arial"/>
          <w:sz w:val="22"/>
          <w:szCs w:val="22"/>
        </w:rPr>
        <w:t>(House of Lords Library, 2025</w:t>
      </w:r>
      <w:r w:rsidR="008503D5">
        <w:rPr>
          <w:rFonts w:ascii="Arial" w:hAnsi="Arial" w:cs="Arial"/>
          <w:sz w:val="22"/>
          <w:szCs w:val="22"/>
        </w:rPr>
        <w:t>b</w:t>
      </w:r>
      <w:r w:rsidR="008503D5" w:rsidRPr="008503D5">
        <w:rPr>
          <w:rFonts w:ascii="Arial" w:hAnsi="Arial" w:cs="Arial"/>
          <w:sz w:val="22"/>
          <w:szCs w:val="22"/>
        </w:rPr>
        <w:t>)</w:t>
      </w:r>
      <w:r>
        <w:rPr>
          <w:rFonts w:ascii="Arial" w:hAnsi="Arial" w:cs="Arial"/>
          <w:sz w:val="22"/>
          <w:szCs w:val="22"/>
        </w:rPr>
        <w:t>. Targeted screening must be free at the point of use and provided at accessible locations, including community centres, places of worship, and GP practices. Healthcare professionals from diverse backgrounds should be employed and trained to build trust and foster engagement. The program should also collect data on effectiveness, participation rates, diagnosis stage, and outcomes to support continuous improvement and sustainability. By implementing a culturally competent, data-driven approach, this recommendation addresses the root causes of health disparities. It could save lives, reduce inequalities, and improve outcomes for Black men facing prostate cancer in the UK</w:t>
      </w:r>
      <w:r w:rsidR="00A83926" w:rsidRPr="00A83926">
        <w:rPr>
          <w:rFonts w:ascii="Arial" w:hAnsi="Arial" w:cs="Arial"/>
          <w:sz w:val="22"/>
          <w:szCs w:val="22"/>
        </w:rPr>
        <w:t>(Prostate Cancer UK, no date</w:t>
      </w:r>
      <w:r w:rsidR="00A83926">
        <w:rPr>
          <w:rFonts w:ascii="Arial" w:hAnsi="Arial" w:cs="Arial"/>
          <w:sz w:val="22"/>
          <w:szCs w:val="22"/>
        </w:rPr>
        <w:t>c</w:t>
      </w:r>
      <w:r w:rsidR="00876E88">
        <w:rPr>
          <w:rFonts w:ascii="Arial" w:hAnsi="Arial" w:cs="Arial"/>
          <w:sz w:val="22"/>
          <w:szCs w:val="22"/>
        </w:rPr>
        <w:t>;</w:t>
      </w:r>
      <w:r w:rsidR="00876E88" w:rsidRPr="00876E88">
        <w:rPr>
          <w:rFonts w:ascii="-webkit-standard" w:hAnsi="-webkit-standard"/>
          <w:color w:val="000000"/>
          <w:sz w:val="27"/>
          <w:szCs w:val="27"/>
        </w:rPr>
        <w:t xml:space="preserve"> </w:t>
      </w:r>
      <w:r w:rsidR="00876E88" w:rsidRPr="00876E88">
        <w:rPr>
          <w:rFonts w:ascii="Arial" w:hAnsi="Arial" w:cs="Arial"/>
          <w:sz w:val="22"/>
          <w:szCs w:val="22"/>
        </w:rPr>
        <w:t>Burnett, Nyame and Mitchell, 2023</w:t>
      </w:r>
      <w:r w:rsidR="00A83926" w:rsidRPr="00A83926">
        <w:rPr>
          <w:rFonts w:ascii="Arial" w:hAnsi="Arial" w:cs="Arial"/>
          <w:sz w:val="22"/>
          <w:szCs w:val="22"/>
        </w:rPr>
        <w:t>)</w:t>
      </w:r>
      <w:r>
        <w:rPr>
          <w:rFonts w:ascii="Arial" w:hAnsi="Arial" w:cs="Arial"/>
          <w:sz w:val="22"/>
          <w:szCs w:val="22"/>
        </w:rPr>
        <w:t>.</w:t>
      </w:r>
    </w:p>
    <w:p w14:paraId="48265DC9" w14:textId="77777777" w:rsidR="00E36CF0" w:rsidRPr="00B1377F" w:rsidRDefault="00E36CF0" w:rsidP="00E36CF0">
      <w:pPr>
        <w:rPr>
          <w:rFonts w:ascii="Arial" w:hAnsi="Arial" w:cs="Arial"/>
          <w:b/>
          <w:sz w:val="22"/>
          <w:szCs w:val="22"/>
          <w:lang w:bidi="en-GB"/>
        </w:rPr>
      </w:pPr>
    </w:p>
    <w:p w14:paraId="02E8BBB8" w14:textId="77777777" w:rsidR="00E36CF0" w:rsidRPr="007B409A" w:rsidRDefault="00E36CF0" w:rsidP="00E36CF0">
      <w:pPr>
        <w:rPr>
          <w:rFonts w:ascii="Arial" w:hAnsi="Arial" w:cs="Arial"/>
          <w:b/>
          <w:bCs/>
          <w:color w:val="000000" w:themeColor="text1"/>
          <w:sz w:val="22"/>
          <w:szCs w:val="22"/>
        </w:rPr>
      </w:pPr>
    </w:p>
    <w:p w14:paraId="2FE5FF27" w14:textId="77777777" w:rsidR="00E36CF0" w:rsidRDefault="00E36CF0" w:rsidP="00EA1B27">
      <w:pPr>
        <w:spacing w:line="360" w:lineRule="auto"/>
        <w:jc w:val="both"/>
        <w:rPr>
          <w:rFonts w:ascii="Arial" w:hAnsi="Arial" w:cs="Arial"/>
          <w:sz w:val="22"/>
          <w:szCs w:val="22"/>
        </w:rPr>
      </w:pPr>
    </w:p>
    <w:p w14:paraId="58F7B9B8" w14:textId="77777777" w:rsidR="00EA1B27" w:rsidRDefault="00EA1B27" w:rsidP="00EA1B27">
      <w:pPr>
        <w:spacing w:line="360" w:lineRule="auto"/>
        <w:jc w:val="both"/>
        <w:rPr>
          <w:rFonts w:ascii="Arial" w:hAnsi="Arial" w:cs="Arial"/>
          <w:sz w:val="22"/>
          <w:szCs w:val="22"/>
        </w:rPr>
      </w:pPr>
    </w:p>
    <w:p w14:paraId="329CAB33" w14:textId="77777777" w:rsidR="00EA1B27" w:rsidRDefault="00EA1B27" w:rsidP="00EA1B27">
      <w:pPr>
        <w:spacing w:line="360" w:lineRule="auto"/>
        <w:jc w:val="both"/>
        <w:rPr>
          <w:rFonts w:ascii="Arial" w:hAnsi="Arial" w:cs="Arial"/>
          <w:sz w:val="22"/>
          <w:szCs w:val="22"/>
        </w:rPr>
      </w:pPr>
    </w:p>
    <w:p w14:paraId="3F6097D2" w14:textId="77777777" w:rsidR="00EA1B27" w:rsidRDefault="00EA1B27" w:rsidP="00EA1B27">
      <w:pPr>
        <w:spacing w:line="360" w:lineRule="auto"/>
        <w:jc w:val="both"/>
        <w:rPr>
          <w:rFonts w:ascii="Arial" w:hAnsi="Arial" w:cs="Arial"/>
          <w:sz w:val="22"/>
          <w:szCs w:val="22"/>
        </w:rPr>
      </w:pPr>
    </w:p>
    <w:bookmarkEnd w:id="20"/>
    <w:p w14:paraId="77CF769A" w14:textId="77777777" w:rsidR="00353098" w:rsidRDefault="00353098"/>
    <w:sectPr w:rsidR="00353098" w:rsidSect="00A2562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Source Sans Pro">
    <w:panose1 w:val="020B0503030403020204"/>
    <w:charset w:val="00"/>
    <w:family w:val="swiss"/>
    <w:pitch w:val="variable"/>
    <w:sig w:usb0="600002F7" w:usb1="02000001" w:usb2="00000000" w:usb3="00000000" w:csb0="0000019F" w:csb1="00000000"/>
  </w:font>
  <w:font w:name="Inter-Regular">
    <w:altName w:val="Calibri"/>
    <w:panose1 w:val="020B0604020202020204"/>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8A1"/>
    <w:multiLevelType w:val="multilevel"/>
    <w:tmpl w:val="E32A4774"/>
    <w:lvl w:ilvl="0">
      <w:start w:val="4"/>
      <w:numFmt w:val="decimal"/>
      <w:lvlText w:val="%1"/>
      <w:lvlJc w:val="left"/>
      <w:pPr>
        <w:ind w:left="360" w:hanging="360"/>
      </w:pPr>
      <w:rPr>
        <w:rFonts w:hint="default"/>
        <w:color w:val="000000" w:themeColor="text1"/>
      </w:rPr>
    </w:lvl>
    <w:lvl w:ilvl="1">
      <w:start w:val="5"/>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 w15:restartNumberingAfterBreak="0">
    <w:nsid w:val="02A23E31"/>
    <w:multiLevelType w:val="hybridMultilevel"/>
    <w:tmpl w:val="53E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C0362"/>
    <w:multiLevelType w:val="hybridMultilevel"/>
    <w:tmpl w:val="E1DC5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764F45"/>
    <w:multiLevelType w:val="hybridMultilevel"/>
    <w:tmpl w:val="877C2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8741832">
    <w:abstractNumId w:val="0"/>
  </w:num>
  <w:num w:numId="2" w16cid:durableId="122114510">
    <w:abstractNumId w:val="2"/>
  </w:num>
  <w:num w:numId="3" w16cid:durableId="2002536555">
    <w:abstractNumId w:val="1"/>
  </w:num>
  <w:num w:numId="4" w16cid:durableId="20280220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B27"/>
    <w:rsid w:val="000F4C41"/>
    <w:rsid w:val="001A3576"/>
    <w:rsid w:val="001B7EEC"/>
    <w:rsid w:val="001D13EF"/>
    <w:rsid w:val="00353098"/>
    <w:rsid w:val="00404BAB"/>
    <w:rsid w:val="0043587C"/>
    <w:rsid w:val="00560630"/>
    <w:rsid w:val="005A5885"/>
    <w:rsid w:val="00724E44"/>
    <w:rsid w:val="0079461C"/>
    <w:rsid w:val="007F322E"/>
    <w:rsid w:val="0083196A"/>
    <w:rsid w:val="008503D5"/>
    <w:rsid w:val="00876632"/>
    <w:rsid w:val="00876E88"/>
    <w:rsid w:val="008F74C3"/>
    <w:rsid w:val="009408B8"/>
    <w:rsid w:val="00980554"/>
    <w:rsid w:val="009A0516"/>
    <w:rsid w:val="00A120D3"/>
    <w:rsid w:val="00A25625"/>
    <w:rsid w:val="00A56FB1"/>
    <w:rsid w:val="00A83926"/>
    <w:rsid w:val="00AD0B57"/>
    <w:rsid w:val="00AE026D"/>
    <w:rsid w:val="00B43773"/>
    <w:rsid w:val="00BA31A2"/>
    <w:rsid w:val="00C17EAE"/>
    <w:rsid w:val="00C67BE5"/>
    <w:rsid w:val="00C7702F"/>
    <w:rsid w:val="00CB5714"/>
    <w:rsid w:val="00D07760"/>
    <w:rsid w:val="00E36CF0"/>
    <w:rsid w:val="00EA1B27"/>
    <w:rsid w:val="00F33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242774"/>
  <w15:chartTrackingRefBased/>
  <w15:docId w15:val="{0A31F994-F026-F849-A9D0-B9E201563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B27"/>
  </w:style>
  <w:style w:type="paragraph" w:styleId="Heading1">
    <w:name w:val="heading 1"/>
    <w:basedOn w:val="Normal"/>
    <w:next w:val="Normal"/>
    <w:link w:val="Heading1Char"/>
    <w:uiPriority w:val="9"/>
    <w:qFormat/>
    <w:rsid w:val="00EA1B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1B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B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B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B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B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B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B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B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6">
    <w:name w:val="toc 6"/>
    <w:basedOn w:val="Normal"/>
    <w:next w:val="Normal"/>
    <w:autoRedefine/>
    <w:uiPriority w:val="39"/>
    <w:semiHidden/>
    <w:unhideWhenUsed/>
    <w:rsid w:val="000F4C41"/>
    <w:pPr>
      <w:ind w:left="1200"/>
    </w:pPr>
    <w:rPr>
      <w:sz w:val="40"/>
      <w:szCs w:val="20"/>
    </w:rPr>
  </w:style>
  <w:style w:type="character" w:customStyle="1" w:styleId="Heading1Char">
    <w:name w:val="Heading 1 Char"/>
    <w:basedOn w:val="DefaultParagraphFont"/>
    <w:link w:val="Heading1"/>
    <w:uiPriority w:val="9"/>
    <w:rsid w:val="00EA1B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1B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B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B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B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B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B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B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B27"/>
    <w:rPr>
      <w:rFonts w:eastAsiaTheme="majorEastAsia" w:cstheme="majorBidi"/>
      <w:color w:val="272727" w:themeColor="text1" w:themeTint="D8"/>
    </w:rPr>
  </w:style>
  <w:style w:type="paragraph" w:styleId="Title">
    <w:name w:val="Title"/>
    <w:basedOn w:val="Normal"/>
    <w:next w:val="Normal"/>
    <w:link w:val="TitleChar"/>
    <w:uiPriority w:val="10"/>
    <w:qFormat/>
    <w:rsid w:val="00EA1B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B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B2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B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B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1B27"/>
    <w:rPr>
      <w:i/>
      <w:iCs/>
      <w:color w:val="404040" w:themeColor="text1" w:themeTint="BF"/>
    </w:rPr>
  </w:style>
  <w:style w:type="paragraph" w:styleId="ListParagraph">
    <w:name w:val="List Paragraph"/>
    <w:basedOn w:val="Normal"/>
    <w:uiPriority w:val="34"/>
    <w:qFormat/>
    <w:rsid w:val="00EA1B27"/>
    <w:pPr>
      <w:ind w:left="720"/>
      <w:contextualSpacing/>
    </w:pPr>
  </w:style>
  <w:style w:type="character" w:styleId="IntenseEmphasis">
    <w:name w:val="Intense Emphasis"/>
    <w:basedOn w:val="DefaultParagraphFont"/>
    <w:uiPriority w:val="21"/>
    <w:qFormat/>
    <w:rsid w:val="00EA1B27"/>
    <w:rPr>
      <w:i/>
      <w:iCs/>
      <w:color w:val="0F4761" w:themeColor="accent1" w:themeShade="BF"/>
    </w:rPr>
  </w:style>
  <w:style w:type="paragraph" w:styleId="IntenseQuote">
    <w:name w:val="Intense Quote"/>
    <w:basedOn w:val="Normal"/>
    <w:next w:val="Normal"/>
    <w:link w:val="IntenseQuoteChar"/>
    <w:uiPriority w:val="30"/>
    <w:qFormat/>
    <w:rsid w:val="00EA1B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B27"/>
    <w:rPr>
      <w:i/>
      <w:iCs/>
      <w:color w:val="0F4761" w:themeColor="accent1" w:themeShade="BF"/>
    </w:rPr>
  </w:style>
  <w:style w:type="character" w:styleId="IntenseReference">
    <w:name w:val="Intense Reference"/>
    <w:basedOn w:val="DefaultParagraphFont"/>
    <w:uiPriority w:val="32"/>
    <w:qFormat/>
    <w:rsid w:val="00EA1B27"/>
    <w:rPr>
      <w:b/>
      <w:bCs/>
      <w:smallCaps/>
      <w:color w:val="0F4761" w:themeColor="accent1" w:themeShade="BF"/>
      <w:spacing w:val="5"/>
    </w:rPr>
  </w:style>
  <w:style w:type="character" w:customStyle="1" w:styleId="apple-converted-space">
    <w:name w:val="apple-converted-space"/>
    <w:basedOn w:val="DefaultParagraphFont"/>
    <w:rsid w:val="00EA1B27"/>
  </w:style>
  <w:style w:type="paragraph" w:styleId="NormalWeb">
    <w:name w:val="Normal (Web)"/>
    <w:basedOn w:val="Normal"/>
    <w:uiPriority w:val="99"/>
    <w:unhideWhenUsed/>
    <w:rsid w:val="00EA1B27"/>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19</Pages>
  <Words>7411</Words>
  <Characters>42249</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Mariama  Aliu Sal (2127362)</dc:creator>
  <cp:keywords/>
  <dc:description/>
  <cp:lastModifiedBy>Mariama  Aliu Sal (2127362)</cp:lastModifiedBy>
  <cp:revision>21</cp:revision>
  <dcterms:created xsi:type="dcterms:W3CDTF">2025-11-19T13:52:00Z</dcterms:created>
  <dcterms:modified xsi:type="dcterms:W3CDTF">2025-11-19T21:51:00Z</dcterms:modified>
</cp:coreProperties>
</file>