
<file path=[Content_Types].xml><?xml version="1.0" encoding="utf-8"?>
<Types xmlns="http://schemas.openxmlformats.org/package/2006/content-types">
  <Default Extension="xml" ContentType="application/xml"/>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14:paraId="00000005">
      <w:pPr>
        <w:spacing w:line="360" w:lineRule="auto"/>
        <w:jc w:val="both"/>
        <w:rPr>
          <w:lang w:val="en-US"/>
        </w:rPr>
      </w:pPr>
      <w:bookmarkStart w:id="0" w:name="_GoBack"/>
      <w:bookmarkEnd w:id="0"/>
      <w:r>
        <w:rPr>
          <w:lang w:val="en-US"/>
        </w:rPr>
        <w:t>P</w:t>
      </w:r>
      <w:r>
        <w:rPr>
          <w:lang w:val="en-US"/>
        </w:rPr>
        <w:t xml:space="preserve">sychotherapy and psychological well-being care depend on directing thoughts, which give various perspectives and strategies to help clients grow personally and tackle issues. Guides might draw from different speculations to illuminate their work, including Person-Focused Therapy, Psychodynamic Therapy, and Cognitive Conduct Therapy (CBT). Their hypothetical underpinnings are significant (Beck, 2019). In any case, their pragmatic ramifications for </w:t>
      </w:r>
      <w:r>
        <w:rPr>
          <w:lang w:val="en-US"/>
        </w:rPr>
        <w:t>guiding</w:t>
      </w:r>
      <w:r>
        <w:rPr>
          <w:lang w:val="en-US"/>
        </w:rPr>
        <w:t xml:space="preserve"> client </w:t>
      </w:r>
      <w:r>
        <w:rPr>
          <w:lang w:val="en-US"/>
        </w:rPr>
        <w:t>cooperation</w:t>
      </w:r>
      <w:r>
        <w:rPr>
          <w:lang w:val="en-US"/>
        </w:rPr>
        <w:t xml:space="preserve"> and client help are where their worth truly sparkles. With the BACP model at its </w:t>
      </w:r>
      <w:r>
        <w:rPr>
          <w:lang w:val="en-US"/>
        </w:rPr>
        <w:t>centre</w:t>
      </w:r>
      <w:r>
        <w:rPr>
          <w:lang w:val="en-US"/>
        </w:rPr>
        <w:t xml:space="preserve">, professional </w:t>
      </w:r>
      <w:r>
        <w:rPr>
          <w:lang w:val="en-US"/>
        </w:rPr>
        <w:t>guidance</w:t>
      </w:r>
      <w:r>
        <w:rPr>
          <w:lang w:val="en-US"/>
        </w:rPr>
        <w:t xml:space="preserve"> in the UK is a foundation of the field. By illustrating assumptions for professional way of behaving and client classification, this structure guarantees that guides </w:t>
      </w:r>
      <w:r>
        <w:rPr>
          <w:lang w:val="en-US"/>
        </w:rPr>
        <w:t>act in a manner that is okay for themselves and</w:t>
      </w:r>
      <w:r>
        <w:rPr>
          <w:lang w:val="en-US"/>
        </w:rPr>
        <w:t xml:space="preserve"> their clients. Since it </w:t>
      </w:r>
      <w:r>
        <w:rPr>
          <w:lang w:val="en-US"/>
        </w:rPr>
        <w:t>characterises</w:t>
      </w:r>
      <w:r>
        <w:rPr>
          <w:lang w:val="en-US"/>
        </w:rPr>
        <w:t xml:space="preserve"> the cut off points and obligations of the calling, the BACP system is fundamental perusing for everybody thinking about a lifelong guiding. </w:t>
      </w:r>
      <w:r>
        <w:rPr>
          <w:lang w:val="en-US"/>
        </w:rPr>
        <w:t>Person-focused therapy</w:t>
      </w:r>
      <w:r>
        <w:rPr>
          <w:lang w:val="en-US"/>
        </w:rPr>
        <w:t xml:space="preserve">, Cognitive Social Therapy, and Psychodynamic Therapy are the three primary ways of thinking that this article will inspect and differentiate. </w:t>
      </w:r>
    </w:p>
    <w:p w14:paraId="00000006">
      <w:pPr>
        <w:spacing w:line="360" w:lineRule="auto"/>
        <w:jc w:val="both"/>
        <w:rPr>
          <w:lang w:val="en-US"/>
        </w:rPr>
      </w:pPr>
      <w:r>
        <w:rPr>
          <w:lang w:val="en-US"/>
        </w:rPr>
        <w:t xml:space="preserve">Moreover, it will investigate the BACP structure, focusing on its objectives and ramifications for professional </w:t>
      </w:r>
      <w:r>
        <w:rPr>
          <w:lang w:val="en-US"/>
        </w:rPr>
        <w:t>guidance</w:t>
      </w:r>
      <w:r>
        <w:rPr>
          <w:lang w:val="en-US"/>
        </w:rPr>
        <w:t>, including points like classification and wrongdoing (</w:t>
      </w:r>
      <w:r>
        <w:rPr>
          <w:lang w:val="en-US"/>
        </w:rPr>
        <w:t>Bohart</w:t>
      </w:r>
      <w:r>
        <w:rPr>
          <w:lang w:val="en-US"/>
        </w:rPr>
        <w:t xml:space="preserve"> et al., 2020). To adjust the full audit of directing practice in assorted settings, we will likewise cover how guiding abilities are </w:t>
      </w:r>
      <w:r>
        <w:rPr>
          <w:lang w:val="en-US"/>
        </w:rPr>
        <w:t>utilised</w:t>
      </w:r>
      <w:r>
        <w:rPr>
          <w:lang w:val="en-US"/>
        </w:rPr>
        <w:t xml:space="preserve"> in different </w:t>
      </w:r>
      <w:r>
        <w:rPr>
          <w:lang w:val="en-US"/>
        </w:rPr>
        <w:t>well-being</w:t>
      </w:r>
      <w:r>
        <w:rPr>
          <w:lang w:val="en-US"/>
        </w:rPr>
        <w:t xml:space="preserve"> area settings. The article will </w:t>
      </w:r>
      <w:r>
        <w:rPr>
          <w:lang w:val="en-US"/>
        </w:rPr>
        <w:t>examine</w:t>
      </w:r>
      <w:r>
        <w:rPr>
          <w:lang w:val="en-US"/>
        </w:rPr>
        <w:t xml:space="preserve"> how these thoughts and systems are significant for moral and effective directing.</w:t>
      </w:r>
    </w:p>
    <w:p w14:paraId="00000007">
      <w:pPr>
        <w:spacing w:line="360" w:lineRule="auto"/>
        <w:jc w:val="both"/>
        <w:rPr>
          <w:rFonts w:asciiTheme="majorBidi" w:hAnsiTheme="majorBidi"/>
          <w:b/>
          <w:bCs/>
          <w:color w:val="000000" w:themeColor="text1"/>
          <w:sz w:val="24"/>
          <w:szCs w:val="24"/>
        </w:rPr>
      </w:pPr>
      <w:r>
        <w:rPr>
          <w:rFonts w:asciiTheme="majorBidi" w:hAnsiTheme="majorBidi"/>
          <w:b/>
          <w:bCs/>
          <w:color w:val="000000" w:themeColor="text1"/>
          <w:sz w:val="24"/>
          <w:szCs w:val="24"/>
        </w:rPr>
        <w:t xml:space="preserve"> </w:t>
      </w:r>
    </w:p>
    <w:p w14:paraId="00000008">
      <w:pPr>
        <w:spacing w:line="360" w:lineRule="auto"/>
        <w:jc w:val="both"/>
        <w:rPr/>
      </w:pPr>
      <w:r>
        <w:t xml:space="preserve">The essential way to deal with directing that </w:t>
      </w:r>
      <w:r>
        <w:t>emphasizes the meaning of the person's emotional experience is person-focused th</w:t>
      </w:r>
      <w:r>
        <w:rPr>
          <w:lang w:val="en-US"/>
        </w:rPr>
        <w:t>erapy</w:t>
      </w:r>
      <w:r>
        <w:t>, which was laid out via Carl Rogers during the 1940s.</w:t>
      </w:r>
      <w:r>
        <w:rPr>
          <w:lang w:val="en-US"/>
        </w:rPr>
        <w:t xml:space="preserve"> According to this humanistic treatment, each individual has the innate ability to develop and achieve self-fulfilment</w:t>
      </w:r>
      <w:r>
        <w:t>. Three fundamental ideas at the heart of Person-Centred Therapy are unconditional positive regard, congruence, and empathy</w:t>
      </w:r>
      <w:r>
        <w:t xml:space="preserve"> </w:t>
      </w:r>
      <w:r>
        <w:rPr>
          <w:lang w:val="en-US"/>
        </w:rPr>
        <w:t>(</w:t>
      </w:r>
      <w:r>
        <w:t xml:space="preserve">Dobson, </w:t>
      </w:r>
      <w:r>
        <w:t>2021)</w:t>
      </w:r>
      <w:r>
        <w:t xml:space="preserve">. </w:t>
      </w:r>
      <w:r>
        <w:t>For</w:t>
      </w:r>
      <w:r>
        <w:t xml:space="preserve"> a therapist to practise </w:t>
      </w:r>
      <w:r>
        <w:t>kindness</w:t>
      </w:r>
      <w:r>
        <w:t>, he or she must fully comprehend the client's emotional state and experiences without passing judgement. In therapy, congruence means that the therapist is being themselves with the client, and unconditional positive regard means that the client is valued and accepted without bias or criticism.</w:t>
      </w:r>
    </w:p>
    <w:p w14:paraId="00000009">
      <w:pPr>
        <w:spacing w:line="360" w:lineRule="auto"/>
        <w:jc w:val="both"/>
        <w:rPr/>
      </w:pPr>
    </w:p>
    <w:p w14:paraId="0000000A">
      <w:pPr>
        <w:spacing w:line="360" w:lineRule="auto"/>
        <w:jc w:val="both"/>
        <w:rPr/>
      </w:pPr>
      <w:r>
        <w:t>Person-Centred Therapy is most effective when the client takes the lead, with the therapist only offering a safe space for the client to talk about whatever's on their mind. Because the therapist is not providing guidance or influencing the client's journey of self-discovery, this method stands in stark contrast to more directed treatments</w:t>
      </w:r>
      <w:r>
        <w:t xml:space="preserve"> </w:t>
      </w:r>
      <w:r>
        <w:rPr>
          <w:lang w:val="en-US"/>
        </w:rPr>
        <w:t>(</w:t>
      </w:r>
      <w:r>
        <w:t xml:space="preserve">Dryden and Feltham, </w:t>
      </w:r>
      <w:r>
        <w:t>2016)</w:t>
      </w:r>
      <w:r>
        <w:t>. Rather, a therapeutic alliance marked by openness, understanding, and acceptance is prioritised, with the goal of assisting clients in gaining insight into their own emotions and discovering answers to their problems.</w:t>
      </w:r>
      <w:r>
        <w:rPr>
          <w:lang w:val="en-US"/>
        </w:rPr>
        <w:t xml:space="preserve"> </w:t>
      </w:r>
      <w:r>
        <w:t>Counselling practises that include Person-Centred Therapy are characterised by their adaptability and flexibility to meet the requirements of a wide range of clients. When people struggle with low self-esteem, low self-worth, or confusion about who they are, it works wonders.</w:t>
      </w:r>
      <w:r>
        <w:t xml:space="preserve"> Clients foster more mindfulness and acknowledgment when the accentuation is on their perspective (Ellis, 2019). This treatment is widely </w:t>
      </w:r>
      <w:r>
        <w:t>utilised</w:t>
      </w:r>
      <w:r>
        <w:t xml:space="preserve"> in different settings, like emergency mediation, bunch therapy, and individual advising. Since it is client-focused, it can assist individuals with many issues, from minor to serious psychological wellness issues.</w:t>
      </w:r>
    </w:p>
    <w:p w14:paraId="0000000B">
      <w:pPr>
        <w:spacing w:line="360" w:lineRule="auto"/>
        <w:jc w:val="both"/>
        <w:rPr>
          <w:rFonts w:asciiTheme="majorBidi" w:hAnsiTheme="majorBidi"/>
          <w:b/>
          <w:bCs/>
          <w:color w:val="000000" w:themeColor="text1"/>
          <w:sz w:val="24"/>
          <w:szCs w:val="24"/>
        </w:rPr>
      </w:pPr>
      <w:r>
        <w:rPr>
          <w:rFonts w:asciiTheme="majorBidi" w:hAnsiTheme="majorBidi"/>
          <w:b/>
          <w:bCs/>
          <w:color w:val="000000" w:themeColor="text1"/>
          <w:sz w:val="24"/>
          <w:szCs w:val="24"/>
        </w:rPr>
        <w:t xml:space="preserve"> </w:t>
      </w:r>
    </w:p>
    <w:p w14:paraId="0000000C">
      <w:pPr>
        <w:spacing w:line="360" w:lineRule="auto"/>
        <w:jc w:val="both"/>
        <w:rPr/>
      </w:pPr>
      <w:r>
        <w:t xml:space="preserve">The connection between one's thoughts, sentiments, and activities is the focal point of Cognitive Conduct Therapy (CBT), a </w:t>
      </w:r>
      <w:r>
        <w:t>well-known</w:t>
      </w:r>
      <w:r>
        <w:t xml:space="preserve"> and successful technique for treatment. Aaron Beck and Albert Ellis created cognitive</w:t>
      </w:r>
      <w:r>
        <w:rPr>
          <w:lang w:val="en-US"/>
        </w:rPr>
        <w:t>,</w:t>
      </w:r>
      <w:r>
        <w:t xml:space="preserve"> social therapy (CBT) during the 1960s the reason that individuals might modify their </w:t>
      </w:r>
      <w:r>
        <w:t>close-to-home</w:t>
      </w:r>
      <w:r>
        <w:t xml:space="preserve"> responses and activities by perceiving and changing negative or twisted speculation designs. It has become notable for its viability in treating a scope of mental issues</w:t>
      </w:r>
      <w:r>
        <w:t xml:space="preserve"> and </w:t>
      </w:r>
      <w:r>
        <w:t xml:space="preserve">is coordinated and </w:t>
      </w:r>
      <w:r>
        <w:t>objectively</w:t>
      </w:r>
      <w:r>
        <w:t xml:space="preserve"> situated (Gelso and Hayes, 2017). Conduct medicines and cognitive rebuilding are focal </w:t>
      </w:r>
      <w:r>
        <w:t>cognitive social therapy (CBT) p</w:t>
      </w:r>
      <w:r>
        <w:rPr>
          <w:lang w:val="en-US"/>
        </w:rPr>
        <w:t>recepts</w:t>
      </w:r>
      <w:r>
        <w:t xml:space="preserve">. Cognitive rebuilding is helping clients </w:t>
      </w:r>
      <w:r>
        <w:t>distinguish</w:t>
      </w:r>
      <w:r>
        <w:t xml:space="preserve"> and addressing </w:t>
      </w:r>
      <w:r>
        <w:t>mental</w:t>
      </w:r>
      <w:r>
        <w:t xml:space="preserve"> twists, which are examples of negative or silly reasoning. Via preparing themselves to think all the more decidedly and sanely, clients can supplant these contortions and experience more profound results. The essential objective of social medicines in </w:t>
      </w:r>
      <w:r>
        <w:t>treating</w:t>
      </w:r>
      <w:r>
        <w:t xml:space="preserve"> psychological well-being problems is the ID and alteration of hazardous ways of behaving (Johns, 2018). </w:t>
      </w:r>
      <w:r>
        <w:t>Drugs</w:t>
      </w:r>
      <w:r>
        <w:t xml:space="preserve"> like change in behavio</w:t>
      </w:r>
      <w:r>
        <w:rPr>
          <w:lang w:val="en-GB"/>
        </w:rPr>
        <w:t>u</w:t>
      </w:r>
      <w:r>
        <w:t>r patterns and openness therapy help people face and conquer maladaptive propensities.</w:t>
      </w:r>
    </w:p>
    <w:p w14:paraId="0000000D">
      <w:pPr>
        <w:spacing w:line="360" w:lineRule="auto"/>
        <w:jc w:val="both"/>
        <w:rPr>
          <w:rFonts w:asciiTheme="majorBidi" w:hAnsiTheme="majorBidi"/>
          <w:b/>
          <w:bCs/>
          <w:color w:val="000000" w:themeColor="text1"/>
          <w:sz w:val="24"/>
          <w:szCs w:val="24"/>
        </w:rPr>
      </w:pPr>
      <w:r>
        <w:t xml:space="preserve">Cognitive Conduct Therapy (CBT) is known for its </w:t>
      </w:r>
      <w:r>
        <w:t>information-driv</w:t>
      </w:r>
      <w:r>
        <w:rPr>
          <w:lang w:val="en-US"/>
        </w:rPr>
        <w:t>en</w:t>
      </w:r>
      <w:r>
        <w:t xml:space="preserve"> approach and exact premise in guiding practice. Along with their clients, advisors lay out unambiguous, feasible therapy targets. </w:t>
      </w:r>
      <w:r>
        <w:t>Normalised</w:t>
      </w:r>
      <w:r>
        <w:t xml:space="preserve"> assessment techniques are </w:t>
      </w:r>
      <w:r>
        <w:t>utilised</w:t>
      </w:r>
      <w:r>
        <w:t xml:space="preserve"> consistently to gauge progress, which permits changes to be evaluated. Since it gives unmistakable evidence of the adequacy </w:t>
      </w:r>
      <w:r>
        <w:t xml:space="preserve">of CBT medicines, this </w:t>
      </w:r>
      <w:r>
        <w:t>information-driven technique is particularly helpful for treating diseases,</w:t>
      </w:r>
      <w:r>
        <w:t xml:space="preserve"> including tension problems, sadness, and fears. Individual treatment, bunch therapy, and online therapy stages are only a couple of the helpful settings that have made progress with CBT's flexibility. Research has shown that cognitive conduct therapy (CBT) may bring about critical increases in an extremely brief timeframe, and its coordinated nature </w:t>
      </w:r>
      <w:r>
        <w:t>makes</w:t>
      </w:r>
      <w:r>
        <w:t xml:space="preserve"> it an optimal decision for transient treatments.</w:t>
      </w:r>
      <w:r>
        <w:rPr>
          <w:lang w:val="en-US"/>
        </w:rPr>
        <w:t xml:space="preserve"> </w:t>
      </w:r>
      <w:r>
        <w:t>After therapy sessions, clients will have the skills they need to continue managing their symptoms</w:t>
      </w:r>
      <w:r>
        <w:rPr>
          <w:lang w:val="en-US"/>
        </w:rPr>
        <w:t>,</w:t>
      </w:r>
      <w:r>
        <w:t xml:space="preserve"> thanks to the focus on skill-building and self-help techniques. This evidence-based method has helped cement CBT's position as a go-to psychotherapy meth</w:t>
      </w:r>
    </w:p>
    <w:p w14:paraId="0000000E">
      <w:pPr>
        <w:spacing w:line="360" w:lineRule="auto"/>
        <w:jc w:val="both"/>
        <w:rPr>
          <w:rFonts w:asciiTheme="majorBidi" w:hAnsiTheme="majorBidi"/>
          <w:b/>
          <w:bCs/>
          <w:color w:val="000000" w:themeColor="text1"/>
          <w:sz w:val="24"/>
          <w:szCs w:val="24"/>
        </w:rPr>
      </w:pPr>
    </w:p>
    <w:p w14:paraId="0000000F">
      <w:pPr>
        <w:spacing w:line="360" w:lineRule="auto"/>
        <w:jc w:val="both"/>
        <w:rPr/>
      </w:pPr>
      <w:r>
        <w:t>A therapeutic method known as psychodynamic therapy, it is based on the work of Sigmund Freud and those who followed him. It explores the depths of the unconscious mind to find out how one's history, especially one's formative years, affects their present and future emotions, attitudes, and actions. Essentially, psychodynamic therapy is based on these ideas:</w:t>
      </w:r>
      <w:r>
        <w:rPr>
          <w:lang w:val="en-US"/>
        </w:rPr>
        <w:t xml:space="preserve"> </w:t>
      </w:r>
      <w:r>
        <w:t>Psychodynamic treatment is based on the premise that unconscious processes govern most human actions and feelings. Unconscious factors, such as suppressed memories and desires, may subtly shape an individual's cognition and behaviour.</w:t>
      </w:r>
      <w:r>
        <w:rPr>
          <w:lang w:val="en-US"/>
        </w:rPr>
        <w:t xml:space="preserve"> </w:t>
      </w:r>
      <w:r>
        <w:t>The treatment lays heavy focus on early life events, especially those within the family, on the belief that they provide the groundwork for subsequent relationship and emotional patterns</w:t>
      </w:r>
      <w:r>
        <w:rPr>
          <w:lang w:val="en-US"/>
        </w:rPr>
        <w:t xml:space="preserve"> (Kottler and Shepard, </w:t>
      </w:r>
      <w:r>
        <w:rPr>
          <w:lang w:val="en-US"/>
        </w:rPr>
        <w:t>2018</w:t>
      </w:r>
      <w:r>
        <w:rPr>
          <w:lang w:val="en-US"/>
        </w:rPr>
        <w:t>)</w:t>
      </w:r>
      <w:r>
        <w:t>. Personal development and healing need an understanding of these early experiences.</w:t>
      </w:r>
      <w:r>
        <w:rPr>
          <w:lang w:val="en-US"/>
        </w:rPr>
        <w:t xml:space="preserve"> </w:t>
      </w:r>
      <w:r>
        <w:t>Psychodynamic therapists are cognizant of the concept of countertransference, which occurs when clients project their own attitudes and emotions onto the therapist, which stems from previous interactions. Another phenomena that psychodynamic therapists focus on is transference. The therapist's emotional responses to the client are known as countertransference. In order to understand the client's inner life, we investigate both transference and countertransference</w:t>
      </w:r>
      <w:r>
        <w:rPr>
          <w:lang w:val="en-US"/>
        </w:rPr>
        <w:t xml:space="preserve">(Johns, </w:t>
      </w:r>
      <w:r>
        <w:rPr>
          <w:lang w:val="en-US"/>
        </w:rPr>
        <w:t>2018)</w:t>
      </w:r>
      <w:r>
        <w:t>.</w:t>
      </w:r>
    </w:p>
    <w:p w14:paraId="00000010">
      <w:pPr>
        <w:spacing w:line="360" w:lineRule="auto"/>
        <w:jc w:val="both"/>
        <w:rPr>
          <w:rFonts w:asciiTheme="majorBidi" w:hAnsiTheme="majorBidi"/>
          <w:b/>
          <w:bCs/>
          <w:color w:val="000000" w:themeColor="text1"/>
          <w:sz w:val="24"/>
          <w:szCs w:val="24"/>
        </w:rPr>
      </w:pPr>
      <w:r>
        <w:t>The goal of psychodynamic therapy in counselling is to help clients feel comfortable enough to open up about their feelings and ideas in a secure and accepting setting</w:t>
      </w:r>
      <w:r>
        <w:rPr>
          <w:lang w:val="en-US"/>
        </w:rPr>
        <w:t xml:space="preserve"> (Mearns and Thorne, </w:t>
      </w:r>
      <w:r>
        <w:rPr>
          <w:lang w:val="en-US"/>
        </w:rPr>
        <w:t>2018)</w:t>
      </w:r>
      <w:r>
        <w:t>. While the therapist listens carefully, the client is encouraged to share their thoughts, memories, and emotions freely. The client's emotional challenges and unsolved issues may be better understood by exploring the unconscious.</w:t>
      </w:r>
      <w:r>
        <w:rPr>
          <w:lang w:val="en-US"/>
        </w:rPr>
        <w:t xml:space="preserve"> </w:t>
      </w:r>
      <w:r>
        <w:t xml:space="preserve">Because psychodynamic therapy seeks to progressively bring unconscious material to awareness, its application often entails long-term treatment. Individuals coping with complicated emotional concerns, personality disorders, or </w:t>
      </w:r>
      <w:r>
        <w:t>repetitive behavioural habits may find this treatment very helpful</w:t>
      </w:r>
      <w:r>
        <w:rPr>
          <w:lang w:val="en-US"/>
        </w:rPr>
        <w:t xml:space="preserve"> (Mitchell and Black, </w:t>
      </w:r>
      <w:r>
        <w:rPr>
          <w:lang w:val="en-US"/>
        </w:rPr>
        <w:t>2015)</w:t>
      </w:r>
      <w:r>
        <w:t>. In the long run, it may aid clients in developing personally and emotionally by revealing and resolving the sources of their unhappiness</w:t>
      </w:r>
    </w:p>
    <w:p w14:paraId="00000011">
      <w:pPr>
        <w:spacing w:line="360" w:lineRule="auto"/>
        <w:jc w:val="both"/>
        <w:rPr>
          <w:rFonts w:asciiTheme="majorBidi" w:hAnsiTheme="majorBidi"/>
          <w:b/>
          <w:bCs/>
          <w:color w:val="000000" w:themeColor="text1"/>
          <w:sz w:val="24"/>
          <w:szCs w:val="24"/>
        </w:rPr>
      </w:pPr>
    </w:p>
    <w:p w14:paraId="00000012">
      <w:pPr>
        <w:spacing w:line="360" w:lineRule="auto"/>
        <w:jc w:val="both"/>
        <w:rPr/>
      </w:pPr>
      <w:r>
        <w:t>Three distinct schools of thought in psychotherapy—Person-Centred Therapy, Cognitive Behavioural Therapy (CBT), and Psychodynamic Therapy—offer different perspectives and methods. While there are several key differences between the two, there are also many similarities.</w:t>
      </w:r>
      <w:r>
        <w:rPr>
          <w:lang w:val="en-US"/>
        </w:rPr>
        <w:t xml:space="preserve"> </w:t>
      </w:r>
      <w:r>
        <w:t>Connection Between Counsellor and Client: The significance of the counse</w:t>
      </w:r>
      <w:r>
        <w:rPr>
          <w:lang w:val="en-GB"/>
        </w:rPr>
        <w:t>l</w:t>
      </w:r>
      <w:r>
        <w:t>lor-client interaction is emphasised by all three theories</w:t>
      </w:r>
      <w:r>
        <w:rPr>
          <w:lang w:val="en-US"/>
        </w:rPr>
        <w:t xml:space="preserve"> (Norcross and </w:t>
      </w:r>
      <w:r>
        <w:rPr>
          <w:lang w:val="en-US"/>
        </w:rPr>
        <w:t>Goldfried</w:t>
      </w:r>
      <w:r>
        <w:rPr>
          <w:lang w:val="en-US"/>
        </w:rPr>
        <w:t xml:space="preserve">, </w:t>
      </w:r>
      <w:r>
        <w:rPr>
          <w:lang w:val="en-US"/>
        </w:rPr>
        <w:t>2019</w:t>
      </w:r>
      <w:r>
        <w:rPr>
          <w:lang w:val="en-US"/>
        </w:rPr>
        <w:t>)</w:t>
      </w:r>
      <w:r>
        <w:t>. For therapy to be effective, it is believed that a solid and trustworthy connection is necessary.</w:t>
      </w:r>
      <w:r>
        <w:rPr>
          <w:lang w:val="en-US"/>
        </w:rPr>
        <w:t xml:space="preserve"> </w:t>
      </w:r>
      <w:r>
        <w:t>All three techniques are goal-oriented, even if the objectives may vary. Though they differ in their methods, all three of these therapeutic approaches have a common goal: helping patients reach their full potential. Cognitive behavioural therapy (CBT) focuses on altering habitual ways of thinking, while psychodynamic therapy delves into the depths of unconscious conflicts.</w:t>
      </w:r>
      <w:r>
        <w:rPr>
          <w:lang w:val="en-US"/>
        </w:rPr>
        <w:t xml:space="preserve"> </w:t>
      </w:r>
      <w:r>
        <w:t>CBT and Person-Centred Therapy share this quality. Whereas CBT stresses the importance of clients actively recognising and altering cognitive patterns, Person-Centred Therapy places the client at the core of the therapeutic process.</w:t>
      </w:r>
    </w:p>
    <w:p w14:paraId="00000013">
      <w:pPr>
        <w:spacing w:line="360" w:lineRule="auto"/>
        <w:jc w:val="both"/>
        <w:rPr/>
      </w:pPr>
      <w:r>
        <w:t>Person-Focused Therapy has its hypothetical roots in humanistic brain research, which puts an accentuation on the client's innate potential for improvement and self-realization (Prochaska, 2018). Appeared differently in relation to psychodynamic therapy, which draws on Freudian analysis and explores oblivious cycles, cognitive social therapy (CBT) is grounded in cognitive brain science and zeroed in on reshaping contemplations. The centre principle of person-focused therapy is the possibility that change happens with regards to the remedial partnership and reflective self-assessment. Psychodynamic therapy expects to find and address oblivious struggles to achieve change, while cognitive conduct therapy (CBT) centres around rectifying cognitive twists to affect feelings and behaviours.Shorter treatment meetings are more normal in Person-Focused treatment, pursuing it an astounding decision for people with additional designated issues. CBT is helpful for specific circumstances in light of the fact that to its coordinated and rather momentary nature (Rogers, 2019). Since it investigates more basic oblivious cycles, psychodynamic therapy, then again, frequently requires longer-term treatment.</w:t>
      </w:r>
    </w:p>
    <w:p w14:paraId="00000014">
      <w:pPr>
        <w:spacing w:line="360" w:lineRule="auto"/>
        <w:jc w:val="both"/>
        <w:rPr/>
      </w:pPr>
    </w:p>
    <w:p w14:paraId="00000015">
      <w:pPr>
        <w:spacing w:line="360" w:lineRule="auto"/>
        <w:jc w:val="both"/>
        <w:rPr/>
      </w:pPr>
      <w:r>
        <w:t xml:space="preserve">Techniques: Different therapy modalities are utilized by every procedure. Great listening abilities and thoughtful responses are foundations of person-focused therapy. Mental and social </w:t>
      </w:r>
      <w:r>
        <w:t>treatments are utilized in cognitive conduct therapy. Techniques utilized in psychodynamic therapy incorporate dream translation, free affiliation, and assessment of subliminal substance. While each of the three of these treatments expect to assist clients with feeling much improved inwardly, Person-Focused Therapy, CBT, and Psychodynamic Therapy differ in their hypothetical underpinnings, techniques for change, length of treatment, and specific methods. The client's necessities, personal inclinations, and the sort of the central issues decide the treatment approach.</w:t>
      </w:r>
    </w:p>
    <w:p w14:paraId="00000016">
      <w:pPr>
        <w:spacing w:line="360" w:lineRule="auto"/>
        <w:jc w:val="both"/>
        <w:rPr/>
      </w:pPr>
      <w:r>
        <w:t>One of the main mainstays of professional practice in the UK area of guiding and psychotherapy is the BACP System. Capable advisors base their work on this careful structure's moral principles and guidelines (Wampold and Imel, 2015). It is fundamental in embellishment the directing calling and gives specialists a critical reference point. Various significant jobs are filled by the BACP System in the field of professional advising. It lays forward major areas of strength for an of morals that specialists ought to follow as a matter of some importance. Clients are ensured first rate administration and security in light of the fact that to this moral premise. To assist with building confidence in the guiding calling, it lays forward the principles that specialists should meet concerning trustworthiness, expertise, and obligation. The BACP Structure's proposals on classification and mischief are two regions that need improvement. At the point when a specialist acts in a manner that conflicts with acknowledged moral standards in the field of guiding, this is known as unfortunate behavi</w:t>
      </w:r>
      <w:r>
        <w:t>o</w:t>
      </w:r>
      <w:r>
        <w:rPr>
          <w:lang w:val="en-GB"/>
        </w:rPr>
        <w:t>u</w:t>
      </w:r>
      <w:r>
        <w:t>r. Improper double associations with clients and breaks of secrecy are among the many kinds of bad behavio</w:t>
      </w:r>
      <w:r>
        <w:rPr>
          <w:lang w:val="en-GB"/>
        </w:rPr>
        <w:t>u</w:t>
      </w:r>
      <w:r>
        <w:t>r characterized by the system. Clients are secured and specialists are held to a professional level by this reasonable definition.</w:t>
      </w:r>
    </w:p>
    <w:p w14:paraId="00000017">
      <w:pPr>
        <w:spacing w:line="360" w:lineRule="auto"/>
        <w:jc w:val="both"/>
        <w:rPr>
          <w:rFonts w:asciiTheme="majorBidi" w:hAnsiTheme="majorBidi"/>
          <w:b/>
          <w:bCs/>
          <w:color w:val="000000" w:themeColor="text1"/>
          <w:sz w:val="24"/>
          <w:szCs w:val="24"/>
        </w:rPr>
      </w:pPr>
      <w:r>
        <w:t xml:space="preserve">Inside the BACP System, the idea of privacy is completely tended to, since it is a vital component in guiding (Yalom, 2020). Except if there are moral or lawful necessities to uncover data, it focuses on the need of staying discreet. Due to the advisor's devotion to keeping up with client namelessness, clients have a good sense of safety enough to focus on everything, even the most personal issues. Likewise, the BACP Structure is fundamental in separating guiding from its utilization in nursing and medical care conveyance as a different professional practice. Despite the fact that guiding skills are pertinent in numerous medical care settings, the BACP System recognizes directing as an unmistakable field by illustrating its own moral standards and guidelines. Supporting patients through guiding is a typical practice in nursing and medical care conveyance, but professionals' primary obligations might rest in giving clinical therapy. </w:t>
      </w:r>
      <w:r>
        <w:t>Professional instructors, then again, do everything within their power to help individuals by means of treatment, mediation, and mental help.</w:t>
      </w:r>
      <w:r>
        <w:t>This function is further defined by the BACP Framework, which lays forth the duties and ethical commitments of counsellors. Because of this, clients can be certain that they are getting treatment from counsellors who have undergone specialised training and adhere to strict ethical guidelines when they seek out counselling services.</w:t>
      </w:r>
    </w:p>
    <w:p w14:paraId="00000018">
      <w:pPr>
        <w:spacing w:line="360" w:lineRule="auto"/>
        <w:jc w:val="both"/>
        <w:rPr>
          <w:rFonts w:asciiTheme="majorBidi" w:hAnsiTheme="majorBidi"/>
          <w:b/>
          <w:bCs/>
          <w:color w:val="000000" w:themeColor="text1"/>
          <w:sz w:val="24"/>
          <w:szCs w:val="24"/>
        </w:rPr>
      </w:pPr>
    </w:p>
    <w:p w14:paraId="00000019">
      <w:pPr>
        <w:spacing w:line="360" w:lineRule="auto"/>
        <w:jc w:val="both"/>
        <w:rPr>
          <w:rFonts w:asciiTheme="majorBidi" w:hAnsiTheme="majorBidi"/>
          <w:b/>
          <w:bCs/>
          <w:color w:val="000000" w:themeColor="text1"/>
          <w:sz w:val="24"/>
          <w:szCs w:val="24"/>
        </w:rPr>
      </w:pPr>
      <w:r>
        <w:rPr>
          <w:lang w:val="en-US"/>
        </w:rPr>
        <w:t>The one of a kind qualities of general medical care settings and particular directing conditions cause tremendous contrasts with regards to the utilization of guiding abilities. At the point when patients are encountering personal misery because of their clinical issues, medical services suppliers in everyday medical care settings, such clinics or essential consideration facilities, frequently utilize fundamental advising abilities to help (McLeod, 2016). Daily encouragement, undivided attention, and compassion are all essential for this arrangement of capacities. Then again, therapies are in many cases more limited long and the accentuation is still on treating earnest clinical issues. Then again, more top to bottom and far reaching advising is expected in specific directing settings like emotional well-being facilities or confidential guiding practices. Specialists here get the high level training important to recognize and address an expansive assortment of emotional well-being concerns, like dependence, nervousness, injury, and mind-set problems. Individualized treatment plans in view of proof based rehearses are created and executed by advisors in these settings after far reaching assessments. Analysis, argumentative conduct therapy (DBT), and cognitive social therapy (CBT) are a portion of the state of the art techniques they use. Misrepresenting the meaning of these qualifications corresponding to patient treatment and results is inconceivable. Being able to offer fast profound help to patients adapting to the pressure and vulnerability of clinical issues is vital in everyday medical care settings, while essential advising skills are utilized (Freud, 2019). Having these capacities might make patients more joyful, not so much restless, but rather more liable to follow their physicians' instructions. Be that as it may, alluding patients to particular advising administrations might be fundamental because of the limited extent of essential directing not being adequate for people with confounded emotional well-being necessities.</w:t>
      </w:r>
    </w:p>
    <w:p w14:paraId="0000001A">
      <w:pPr>
        <w:spacing w:line="360" w:lineRule="auto"/>
        <w:jc w:val="both"/>
        <w:rPr>
          <w:rFonts w:asciiTheme="majorBidi" w:hAnsiTheme="majorBidi"/>
          <w:b/>
          <w:bCs/>
          <w:color w:val="000000" w:themeColor="text1"/>
          <w:sz w:val="24"/>
          <w:szCs w:val="24"/>
        </w:rPr>
      </w:pPr>
    </w:p>
    <w:p w14:paraId="0000001B">
      <w:pPr>
        <w:spacing w:line="360" w:lineRule="auto"/>
        <w:jc w:val="both"/>
        <w:rPr>
          <w:lang w:val="en-US"/>
        </w:rPr>
      </w:pPr>
      <w:r>
        <w:t>All in all, directing skills are adaptable and might be utilized to an extensive variety of medical care settings, every one of which has its own remarkable profundity and broadness. To ensure that patients seek treatment that is custom-made to their prerequisites, these distinctions are pivotal. Overall medical care settings, fundamental guiding abilities might give moment everyday encouragement, while in specific directing settings, clients with more convoluted emotional well-being hardships can seek more top to bottom therapies. In numerous medical services settings, both significantly affect patient consideration and results, working on individuals' wellbeing simultaneously.</w:t>
      </w:r>
    </w:p>
    <w:p w14:paraId="0000001C">
      <w:pPr>
        <w:spacing w:line="360" w:lineRule="auto"/>
        <w:jc w:val="both"/>
        <w:rPr/>
      </w:pPr>
    </w:p>
    <w:p w14:paraId="0000001D">
      <w:pPr>
        <w:spacing w:line="360" w:lineRule="auto"/>
        <w:jc w:val="both"/>
        <w:rPr/>
      </w:pPr>
    </w:p>
    <w:p w14:paraId="0000001E">
      <w:pPr>
        <w:pStyle w:val="Heading1"/>
        <w:spacing w:line="360" w:lineRule="auto"/>
        <w:jc w:val="both"/>
        <w:rPr>
          <w:rFonts w:ascii="Times New Roman" w:cs="Times New Roman" w:hAnsi="Times New Roman"/>
          <w:b/>
          <w:color w:val="000000" w:themeColor="text1"/>
          <w:sz w:val="28"/>
          <w:lang w:val="en-US"/>
        </w:rPr>
      </w:pPr>
      <w:bookmarkStart w:id="1" w:name="_Toc153027294"/>
      <w:r>
        <w:rPr>
          <w:rFonts w:ascii="Times New Roman" w:cs="Times New Roman" w:hAnsi="Times New Roman"/>
          <w:b/>
          <w:color w:val="000000" w:themeColor="text1"/>
          <w:sz w:val="28"/>
          <w:lang w:val="en-US"/>
        </w:rPr>
        <w:t>References:</w:t>
      </w:r>
      <w:bookmarkEnd w:id="1"/>
    </w:p>
    <w:p w14:paraId="0000001F">
      <w:pPr>
        <w:spacing w:before="240" w:line="360" w:lineRule="auto"/>
        <w:jc w:val="both"/>
        <w:rPr/>
      </w:pPr>
      <w:r>
        <w:t>Beck, A. T. (2019). Cognitive therapy and the emotional disorders. International Universities Press.</w:t>
      </w:r>
    </w:p>
    <w:p w14:paraId="00000020">
      <w:pPr>
        <w:spacing w:line="360" w:lineRule="auto"/>
        <w:jc w:val="both"/>
        <w:rPr/>
      </w:pPr>
      <w:r>
        <w:t>Bohart, A. C., Elliott, R., Greenberg, L. S., &amp; Watson, J. C. (2020). Empathy. In J. C. Norcross (Ed.), Psychotherapy relationships that work: Therapist contributions and responsiveness to patients (pp. 89-108). Oxford University Press.</w:t>
      </w:r>
    </w:p>
    <w:p w14:paraId="00000021">
      <w:pPr>
        <w:spacing w:line="360" w:lineRule="auto"/>
        <w:jc w:val="both"/>
        <w:rPr/>
      </w:pPr>
      <w:r>
        <w:t>Corey, G. (2016). Theory and practice of counseling and psychotherapy. Cengage Learning.</w:t>
      </w:r>
    </w:p>
    <w:p w14:paraId="00000022">
      <w:pPr>
        <w:spacing w:line="360" w:lineRule="auto"/>
        <w:jc w:val="both"/>
        <w:rPr/>
      </w:pPr>
      <w:r>
        <w:t>Dobson, K. S. (Ed.). (2021). Handbook of cognitive-behavioral therapies (2nd ed.). Guilford Press.</w:t>
      </w:r>
    </w:p>
    <w:p w14:paraId="00000023">
      <w:pPr>
        <w:spacing w:line="360" w:lineRule="auto"/>
        <w:jc w:val="both"/>
        <w:rPr/>
      </w:pPr>
      <w:r>
        <w:t>Dryden, W., &amp; Feltham, C. (Eds.). (2016). Handbook of counseling and psychotherapy. Sage.</w:t>
      </w:r>
    </w:p>
    <w:p w14:paraId="00000024">
      <w:pPr>
        <w:spacing w:line="360" w:lineRule="auto"/>
        <w:jc w:val="both"/>
        <w:rPr/>
      </w:pPr>
      <w:r>
        <w:t>Ellis, A. (2019). Reason and emotion in psychotherapy. Lyle Stuart.</w:t>
      </w:r>
    </w:p>
    <w:p w14:paraId="00000025">
      <w:pPr>
        <w:spacing w:line="360" w:lineRule="auto"/>
        <w:jc w:val="both"/>
        <w:rPr/>
      </w:pPr>
      <w:r>
        <w:t>Freud, S. (2019). The unconscious. Standard Edition, 14, 159-204.</w:t>
      </w:r>
    </w:p>
    <w:p w14:paraId="00000026">
      <w:pPr>
        <w:spacing w:line="360" w:lineRule="auto"/>
        <w:jc w:val="both"/>
        <w:rPr/>
      </w:pPr>
      <w:r>
        <w:t>Gelso, C. J., &amp; Hayes, J. A. (2017). Countertransference and the therapy relationship: The findings and controversies surrounding the concept. In J. C. Norcross &amp; M. R. Goldfried (Eds.), Handbook of psychotherapy integration (2nd ed., pp. 495-513). Oxford University Press.</w:t>
      </w:r>
    </w:p>
    <w:p w14:paraId="00000027">
      <w:pPr>
        <w:spacing w:line="360" w:lineRule="auto"/>
        <w:jc w:val="both"/>
        <w:rPr/>
      </w:pPr>
      <w:r>
        <w:t>Johns, Andrew. (2018). Ethical framework for the counselling professions for British Association for Counselling and Psychotherapy (BACP).</w:t>
      </w:r>
    </w:p>
    <w:p w14:paraId="00000028">
      <w:pPr>
        <w:spacing w:line="360" w:lineRule="auto"/>
        <w:jc w:val="both"/>
        <w:rPr/>
      </w:pPr>
      <w:r>
        <w:t>Jung, C. G. (</w:t>
      </w:r>
      <w:r>
        <w:rPr>
          <w:lang w:val="en-US"/>
        </w:rPr>
        <w:t>20</w:t>
      </w:r>
      <w:r>
        <w:t>16). Analytical psychology: Its theory and practice. Vintage.</w:t>
      </w:r>
    </w:p>
    <w:p w14:paraId="00000029">
      <w:pPr>
        <w:spacing w:line="360" w:lineRule="auto"/>
        <w:jc w:val="both"/>
        <w:rPr/>
      </w:pPr>
      <w:r>
        <w:t>Kottler, J. A., &amp; Shepard, D. S. (2018). Introduction to counseling: Voices from the field. Cengage Learning.</w:t>
      </w:r>
    </w:p>
    <w:p w14:paraId="0000002A">
      <w:pPr>
        <w:spacing w:line="360" w:lineRule="auto"/>
        <w:jc w:val="both"/>
        <w:rPr/>
      </w:pPr>
      <w:r>
        <w:t>McLeod, J. (2013). An introduction to counselling. Open University Press.</w:t>
      </w:r>
    </w:p>
    <w:p w14:paraId="0000002B">
      <w:pPr>
        <w:spacing w:line="360" w:lineRule="auto"/>
        <w:jc w:val="both"/>
        <w:rPr/>
      </w:pPr>
      <w:r>
        <w:t>Mearns, D., &amp; Thorne, B. (2018). Person-centred counselling in action. Sage.</w:t>
      </w:r>
    </w:p>
    <w:p w14:paraId="0000002C">
      <w:pPr>
        <w:spacing w:line="360" w:lineRule="auto"/>
        <w:jc w:val="both"/>
        <w:rPr/>
      </w:pPr>
      <w:r>
        <w:t>Mitchell, S. A., &amp; Black, M. J. (</w:t>
      </w:r>
      <w:r>
        <w:rPr>
          <w:lang w:val="en-US"/>
        </w:rPr>
        <w:t>20</w:t>
      </w:r>
      <w:r>
        <w:t>15). Freud and beyond: A history of modern psychoanalytic thought. Basic Books.</w:t>
      </w:r>
    </w:p>
    <w:p w14:paraId="0000002D">
      <w:pPr>
        <w:spacing w:line="360" w:lineRule="auto"/>
        <w:jc w:val="both"/>
        <w:rPr/>
      </w:pPr>
      <w:r>
        <w:t>Norcross, J. C., &amp; Goldfried, M. R. (Eds.). (2019). Handbook of psychotherapy integration (3rd ed.). Oxford University Press.</w:t>
      </w:r>
    </w:p>
    <w:p w14:paraId="0000002E">
      <w:pPr>
        <w:spacing w:line="360" w:lineRule="auto"/>
        <w:jc w:val="both"/>
        <w:rPr/>
      </w:pPr>
      <w:r>
        <w:t>Prochaska, J. O., &amp; Norcross, J. C. (2018). Systems of psychotherapy: A transtheoretical analysis. Oxford University Press.</w:t>
      </w:r>
    </w:p>
    <w:p w14:paraId="0000002F">
      <w:pPr>
        <w:spacing w:line="360" w:lineRule="auto"/>
        <w:jc w:val="both"/>
        <w:rPr/>
      </w:pPr>
      <w:r>
        <w:t>Rogers, C. R. (2019). Client-centered therapy: Its current practice, implications, and theory. Houghton Mifflin.</w:t>
      </w:r>
    </w:p>
    <w:p w14:paraId="00000030">
      <w:pPr>
        <w:spacing w:line="360" w:lineRule="auto"/>
        <w:jc w:val="both"/>
        <w:rPr/>
      </w:pPr>
      <w:r>
        <w:t>Wampold, B. E., &amp; Imel, Z. E. (2015). The great psychotherapy debate: The evidence for what makes psychotherapy work. Routledge.</w:t>
      </w:r>
    </w:p>
    <w:p w14:paraId="00000031">
      <w:pPr>
        <w:spacing w:line="360" w:lineRule="auto"/>
        <w:jc w:val="both"/>
        <w:rPr/>
      </w:pPr>
      <w:r>
        <w:t>Yalom, I. D. (2020). The gift of therapy: An open letter to a new generation of therapists and their patients. HarperCollins.</w:t>
      </w:r>
    </w:p>
    <w:p w14:paraId="00000032">
      <w:pPr>
        <w:spacing w:line="360" w:lineRule="auto"/>
        <w:jc w:val="both"/>
        <w:rPr/>
      </w:pPr>
    </w:p>
    <w:p w14:paraId="00000033">
      <w:pPr>
        <w:spacing w:line="360" w:lineRule="auto"/>
        <w:jc w:val="both"/>
        <w:rPr/>
      </w:pPr>
    </w:p>
    <w:p w14:paraId="00000034">
      <w:pPr>
        <w:spacing w:line="360" w:lineRule="auto"/>
        <w:jc w:val="both"/>
        <w:rPr/>
      </w:pPr>
    </w:p>
    <w:p w14:paraId="00000035">
      <w:pPr>
        <w:spacing w:line="360" w:lineRule="auto"/>
        <w:jc w:val="both"/>
        <w:rPr/>
      </w:pPr>
    </w:p>
    <w:sectPr>
      <w:headerReference w:type="default" r:id="rId22"/>
      <w:headerReference w:type="first" r:id="rId23"/>
      <w:headerReference w:type="even" r:id="rId24"/>
      <w:footerReference w:type="default" r:id="rId25"/>
      <w:footerReference w:type="first" r:id="rId26"/>
      <w:footerReference w:type="even" r:id="rId27"/>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14:paraId="00000003">
      <w:r>
        <w:rPr/>
        <w:separator/>
      </w:r>
    </w:p>
  </w:endnote>
  <w:endnote w:type="continuationSeparator" w:id="1">
    <w:p w14:paraId="00000004">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Malgun Gothic">
    <w:altName w:val="맑은 고딕"/>
    <w:panose1 w:val="020b0503020000020004"/>
    <w:charset w:val="81"/>
    <w:family w:val="swiss"/>
    <w:pitch w:val="variable"/>
    <w:sig w:usb0="00000000" w:usb1="29d77cfb" w:usb2="00000012" w:usb3="00000000" w:csb0="00080001" w:csb1="00000000"/>
  </w:font>
  <w:font w:name="Arial">
    <w:panose1 w:val="020b060402020202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14:paraId="0000003B">
    <w:pPr>
      <w:pStyle w:val="Foote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14:paraId="0000003C">
    <w:pPr>
      <w:pStyle w:val="Foote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14:paraId="0000003D">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14:paraId="00000001">
      <w:r>
        <w:rPr/>
        <w:separator/>
      </w:r>
    </w:p>
  </w:footnote>
  <w:footnote w:type="continuationSeparator" w:id="1">
    <w:p w14:paraId="00000002">
      <w: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14:paraId="00000036">
    <w:pPr>
      <w:pStyle w:val="Header"/>
      <w:framePr w:hAnchor="margin" w:vAnchor="text" w:wrap="none" w:xAlign="right" w:y="1"/>
      <w:rPr>
        <w:rStyle w:val="Pagenumber"/>
      </w:rPr>
    </w:pPr>
    <w:r>
      <w:fldChar w:fldCharType="begin"/>
    </w:r>
    <w:r>
      <w:instrText xml:space="preserve"> PAGE </w:instrText>
    </w:r>
    <w:r>
      <w:fldChar w:fldCharType="separate"/>
    </w:r>
    <w:r>
      <w:rPr>
        <w:rStyle w:val="Pagenumber"/>
      </w:rPr>
      <w:t>11</w:t>
    </w:r>
    <w:r>
      <w:fldChar w:fldCharType="end"/>
    </w:r>
  </w:p>
  <w:p w14:paraId="00000037">
    <w:pPr>
      <w:pStyle w:val="Header"/>
      <w:ind w:right="36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14:paraId="00000038">
    <w:pPr>
      <w:pStyle w:val="Head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14:paraId="00000039">
    <w:pPr>
      <w:pStyle w:val="Header"/>
      <w:framePr w:hAnchor="margin" w:vAnchor="text" w:wrap="none" w:xAlign="right" w:y="1"/>
      <w:rPr>
        <w:rStyle w:val="Pagenumber"/>
      </w:rPr>
    </w:pPr>
    <w:r>
      <w:fldChar w:fldCharType="begin"/>
    </w:r>
    <w:r>
      <w:instrText xml:space="preserve"> PAGE </w:instrText>
    </w:r>
    <w:r>
      <w:fldChar w:fldCharType="separate"/>
    </w:r>
    <w:r>
      <w:t>*</w:t>
    </w:r>
    <w:r>
      <w:fldChar w:fldCharType="end"/>
    </w:r>
  </w:p>
  <w:p w14:paraId="0000003A">
    <w:pPr>
      <w:pStyle w:val="Header"/>
      <w:ind w:right="360"/>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decimal"/>
      <w:lvlText w:val="%1."/>
      <w:lvlJc w:val="left"/>
      <w:pPr>
        <w:tabs>
          <w:tab w:val="num" w:pos="720"/>
        </w:tabs>
        <w:ind w:left="720" w:hanging="360"/>
      </w:pPr>
    </w:lvl>
    <w:lvl w:ilvl="1" w:tentative="0">
      <w:start w:val="1"/>
      <w:numFmt w:val="bullet"/>
      <w:lvlText w:val=""/>
      <w:lvlJc w:val="left"/>
      <w:pPr>
        <w:tabs>
          <w:tab w:val="num" w:pos="1440"/>
        </w:tabs>
        <w:ind w:left="1440" w:hanging="360"/>
      </w:pPr>
      <w:rPr>
        <w:rFonts w:ascii="Symbol" w:hAnsi="Symbol" w:hint="default"/>
        <w:sz w:val="20"/>
      </w:rPr>
    </w:lvl>
    <w:lvl w:ilvl="2" w:tentative="0">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FAC"/>
    <w:rsid w:val="000B0AC6"/>
    <w:rsid w:val="001475DB"/>
    <w:rsid w:val="00165DB1"/>
    <w:rsid w:val="001C08DB"/>
    <w:rsid w:val="0026647D"/>
    <w:rsid w:val="002B6CE8"/>
    <w:rsid w:val="002E15F3"/>
    <w:rsid w:val="00353A34"/>
    <w:rsid w:val="003B1F14"/>
    <w:rsid w:val="003E6037"/>
    <w:rsid w:val="00417971"/>
    <w:rsid w:val="004C7C17"/>
    <w:rsid w:val="004E435F"/>
    <w:rsid w:val="00542ACB"/>
    <w:rsid w:val="0057043A"/>
    <w:rsid w:val="00576AA1"/>
    <w:rsid w:val="005D1E52"/>
    <w:rsid w:val="006630FE"/>
    <w:rsid w:val="006749B0"/>
    <w:rsid w:val="00681C04"/>
    <w:rsid w:val="006A173D"/>
    <w:rsid w:val="006B186F"/>
    <w:rsid w:val="00753D75"/>
    <w:rsid w:val="007571C5"/>
    <w:rsid w:val="00760FC0"/>
    <w:rsid w:val="007C7B66"/>
    <w:rsid w:val="007E0540"/>
    <w:rsid w:val="00822545"/>
    <w:rsid w:val="008357AC"/>
    <w:rsid w:val="008607C9"/>
    <w:rsid w:val="00864097"/>
    <w:rsid w:val="008765F6"/>
    <w:rsid w:val="00877C4D"/>
    <w:rsid w:val="008D796C"/>
    <w:rsid w:val="009C2575"/>
    <w:rsid w:val="009E55CE"/>
    <w:rsid w:val="00A24FAC"/>
    <w:rsid w:val="00A66E9D"/>
    <w:rsid w:val="00A87EE9"/>
    <w:rsid w:val="00AE237B"/>
    <w:rsid w:val="00AE3EFC"/>
    <w:rsid w:val="00B06F3F"/>
    <w:rsid w:val="00B103FB"/>
    <w:rsid w:val="00B255E6"/>
    <w:rsid w:val="00B375A0"/>
    <w:rsid w:val="00B771F2"/>
    <w:rsid w:val="00B87057"/>
    <w:rsid w:val="00B96CB3"/>
    <w:rsid w:val="00C07C1A"/>
    <w:rsid w:val="00C25208"/>
    <w:rsid w:val="00D20EB5"/>
    <w:rsid w:val="00D837BB"/>
    <w:rsid w:val="00DB2B97"/>
    <w:rsid w:val="00DB4FBD"/>
    <w:rsid w:val="00DD5FC0"/>
    <w:rsid w:val="00E5547C"/>
    <w:rsid w:val="00E77627"/>
    <w:rsid w:val="00EB2806"/>
    <w:rsid w:val="00EC2BE7"/>
    <w:rsid w:val="00EF52B9"/>
    <w:rsid w:val="00F02B36"/>
    <w:rsid w:val="00F621AC"/>
    <w:rsid w:val="00F92216"/>
    <w:rsid w:val="00FA01A3"/>
  </w:rsids>
  <m:mathPr>
    <m:mathFont m:val="Cambria Math"/>
    <m:brkBin m:val="before"/>
    <m:brkBinSub m:val="--"/>
    <m:smallFrac m:val="0"/>
    <m:dispDef/>
    <m:lMargin m:val="0"/>
    <m:rMargin m:val="0"/>
    <m:defJc m:val="centerGroup"/>
    <m:wrapIndent m:val="1440"/>
    <m:intLim m:val="subSup"/>
    <m:naryLim m:val="undOvr"/>
  </m:mathPr>
  <w:themeFontLang w:val="aa-ET"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4"/>
        <w:szCs w:val="24"/>
        <w:lang w:bidi="ar-SA" w:eastAsia="ko-KR"/>
        <w14:ligatures w14:val="standardContextual"/>
      </w:rPr>
    </w:rPrDefault>
    <w:pPrDefault/>
  </w:docDefaults>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rPr>
      <w:rFonts w:asciiTheme="majorBidi" w:hAnsiTheme="majorBidi"/>
    </w:rPr>
  </w:style>
  <w:style w:type="paragraph" w:styleId="Heading1">
    <w:name w:val="Heading 1"/>
    <w:basedOn w:val="Normal"/>
    <w:next w:val="Normal"/>
    <w:link w:val="Heading1Char"/>
    <w:uiPriority w:val="9"/>
    <w:qFormat w:val="on"/>
    <w:pPr>
      <w:keepNext w:val="on"/>
      <w:keepLines w:val="on"/>
      <w:spacing w:before="240"/>
    </w:pPr>
    <w:rPr>
      <w:rFonts w:asciiTheme="majorHAnsi" w:cstheme="majorBidi" w:eastAsiaTheme="majorEastAsia" w:hAnsiTheme="majorHAnsi"/>
      <w:color w:val="2f5395" w:themeColor="accent1" w:themeShade="bf"/>
      <w:sz w:val="32"/>
      <w:szCs w:val="32"/>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rmal(Web)">
    <w:name w:val="Normal (Web)"/>
    <w:basedOn w:val="Normal"/>
    <w:uiPriority w:val="99"/>
    <w:semiHidden w:val="on"/>
    <w:unhideWhenUsed w:val="on"/>
    <w:pPr>
      <w:spacing w:before="100" w:after="100"/>
    </w:pPr>
    <w:rPr>
      <w:rFonts w:ascii="Times New Roman" w:cs="Times New Roman" w:eastAsia="Times New Roman" w:hAnsi="Times New Roman"/>
    </w:rPr>
  </w:style>
  <w:style w:type="character" w:styleId="Strong">
    <w:name w:val="Strong"/>
    <w:basedOn w:val="DefaultParagraphFont"/>
    <w:uiPriority w:val="22"/>
    <w:qFormat w:val="on"/>
    <w:rPr>
      <w:b/>
      <w:bCs/>
    </w:rPr>
  </w:style>
  <w:style w:type="character" w:customStyle="1" w:styleId="Heading1Char">
    <w:name w:val="Heading 1 Char"/>
    <w:basedOn w:val="DefaultParagraphFont"/>
    <w:link w:val="Heading1"/>
    <w:uiPriority w:val="9"/>
    <w:rPr>
      <w:rFonts w:asciiTheme="majorHAnsi" w:cstheme="majorBidi" w:eastAsiaTheme="majorEastAsia" w:hAnsiTheme="majorHAnsi"/>
      <w:color w:val="2f5395" w:themeColor="accent1" w:themeShade="bf"/>
      <w:sz w:val="32"/>
      <w:szCs w:val="32"/>
    </w:rPr>
  </w:style>
  <w:style w:type="paragraph" w:styleId="Header">
    <w:name w:val="Header"/>
    <w:basedOn w:val="Normal"/>
    <w:link w:val="HeaderChar"/>
    <w:uiPriority w:val="99"/>
    <w:unhideWhenUsed w:val="on"/>
    <w:pPr>
      <w:tabs>
        <w:tab w:val="center" w:pos="4513"/>
        <w:tab w:val="right" w:pos="9026"/>
      </w:tabs>
    </w:pPr>
  </w:style>
  <w:style w:type="character" w:customStyle="1" w:styleId="HeaderChar">
    <w:name w:val="Header Char"/>
    <w:basedOn w:val="DefaultParagraphFont"/>
    <w:link w:val="Header"/>
    <w:uiPriority w:val="99"/>
    <w:rPr>
      <w:rFonts w:asciiTheme="majorBidi" w:hAnsiTheme="majorBidi"/>
    </w:rPr>
  </w:style>
  <w:style w:type="paragraph" w:styleId="Footer">
    <w:name w:val="Footer"/>
    <w:basedOn w:val="Normal"/>
    <w:link w:val="FooterChar"/>
    <w:uiPriority w:val="99"/>
    <w:unhideWhenUsed w:val="on"/>
    <w:pPr>
      <w:tabs>
        <w:tab w:val="center" w:pos="4513"/>
        <w:tab w:val="right" w:pos="9026"/>
      </w:tabs>
    </w:pPr>
  </w:style>
  <w:style w:type="character" w:customStyle="1" w:styleId="FooterChar">
    <w:name w:val="Footer Char"/>
    <w:basedOn w:val="DefaultParagraphFont"/>
    <w:link w:val="Footer"/>
    <w:uiPriority w:val="99"/>
    <w:rPr>
      <w:rFonts w:asciiTheme="majorBidi" w:hAnsiTheme="majorBidi"/>
    </w:rPr>
  </w:style>
  <w:style w:type="character" w:styleId="Pagenumber">
    <w:name w:val="Page number"/>
    <w:basedOn w:val="DefaultParagraphFont"/>
    <w:uiPriority w:val="99"/>
    <w:semiHidden w:val="on"/>
    <w:unhideWhenUsed w:val="on"/>
  </w:style>
  <w:style w:type="paragraph" w:styleId="TOCHeading">
    <w:name w:val="TOC Heading"/>
    <w:basedOn w:val="Heading1"/>
    <w:next w:val="Normal"/>
    <w:uiPriority w:val="39"/>
    <w:unhideWhenUsed w:val="on"/>
    <w:qFormat w:val="on"/>
    <w:pPr>
      <w:spacing w:before="480" w:line="276" w:lineRule="auto"/>
    </w:pPr>
    <w:rPr>
      <w:b/>
      <w:bCs/>
      <w:sz w:val="28"/>
      <w:szCs w:val="28"/>
      <w:lang w:val="en-US" w:eastAsia="en-US"/>
    </w:rPr>
  </w:style>
  <w:style w:type="paragraph" w:styleId="Toc1">
    <w:name w:val="Toc 1"/>
    <w:basedOn w:val="Normal"/>
    <w:next w:val="Normal"/>
    <w:uiPriority w:val="39"/>
    <w:unhideWhenUsed w:val="on"/>
    <w:pPr>
      <w:spacing w:before="120"/>
    </w:pPr>
    <w:rPr>
      <w:rFonts w:asciiTheme="minorHAnsi" w:cstheme="minorHAnsi" w:hAnsiTheme="minorHAnsi"/>
      <w:b/>
      <w:bCs/>
      <w:i/>
      <w:iCs/>
      <w:szCs w:val="28"/>
    </w:rPr>
  </w:style>
  <w:style w:type="character" w:styleId="Hyperlink">
    <w:name w:val="Hyperlink"/>
    <w:basedOn w:val="DefaultParagraphFont"/>
    <w:uiPriority w:val="99"/>
    <w:unhideWhenUsed w:val="on"/>
    <w:rPr>
      <w:color w:val="0563c1" w:themeColor="hyperlink"/>
      <w:u w:val="single"/>
    </w:rPr>
  </w:style>
  <w:style w:type="paragraph" w:styleId="Toc2">
    <w:name w:val="Toc 2"/>
    <w:basedOn w:val="Normal"/>
    <w:next w:val="Normal"/>
    <w:uiPriority w:val="39"/>
    <w:semiHidden w:val="on"/>
    <w:unhideWhenUsed w:val="on"/>
    <w:pPr>
      <w:spacing w:before="120"/>
      <w:ind w:left="240"/>
    </w:pPr>
    <w:rPr>
      <w:rFonts w:asciiTheme="minorHAnsi" w:cstheme="minorHAnsi" w:hAnsiTheme="minorHAnsi"/>
      <w:b/>
      <w:bCs/>
      <w:sz w:val="22"/>
      <w:szCs w:val="26"/>
    </w:rPr>
  </w:style>
  <w:style w:type="paragraph" w:styleId="Toc3">
    <w:name w:val="Toc 3"/>
    <w:basedOn w:val="Normal"/>
    <w:next w:val="Normal"/>
    <w:uiPriority w:val="39"/>
    <w:semiHidden w:val="on"/>
    <w:unhideWhenUsed w:val="on"/>
    <w:pPr>
      <w:ind w:left="480"/>
    </w:pPr>
    <w:rPr>
      <w:rFonts w:asciiTheme="minorHAnsi" w:cstheme="minorHAnsi" w:hAnsiTheme="minorHAnsi"/>
      <w:sz w:val="20"/>
    </w:rPr>
  </w:style>
  <w:style w:type="paragraph" w:styleId="Toc4">
    <w:name w:val="Toc 4"/>
    <w:basedOn w:val="Normal"/>
    <w:next w:val="Normal"/>
    <w:uiPriority w:val="39"/>
    <w:semiHidden w:val="on"/>
    <w:unhideWhenUsed w:val="on"/>
    <w:pPr>
      <w:ind w:left="720"/>
    </w:pPr>
    <w:rPr>
      <w:rFonts w:asciiTheme="minorHAnsi" w:cstheme="minorHAnsi" w:hAnsiTheme="minorHAnsi"/>
      <w:sz w:val="20"/>
    </w:rPr>
  </w:style>
  <w:style w:type="paragraph" w:styleId="Toc5">
    <w:name w:val="Toc 5"/>
    <w:basedOn w:val="Normal"/>
    <w:next w:val="Normal"/>
    <w:uiPriority w:val="39"/>
    <w:semiHidden w:val="on"/>
    <w:unhideWhenUsed w:val="on"/>
    <w:pPr>
      <w:ind w:left="960"/>
    </w:pPr>
    <w:rPr>
      <w:rFonts w:asciiTheme="minorHAnsi" w:cstheme="minorHAnsi" w:hAnsiTheme="minorHAnsi"/>
      <w:sz w:val="20"/>
    </w:rPr>
  </w:style>
  <w:style w:type="paragraph" w:styleId="Toc6">
    <w:name w:val="Toc 6"/>
    <w:basedOn w:val="Normal"/>
    <w:next w:val="Normal"/>
    <w:uiPriority w:val="39"/>
    <w:semiHidden w:val="on"/>
    <w:unhideWhenUsed w:val="on"/>
    <w:pPr>
      <w:ind w:left="1200"/>
    </w:pPr>
    <w:rPr>
      <w:rFonts w:asciiTheme="minorHAnsi" w:cstheme="minorHAnsi" w:hAnsiTheme="minorHAnsi"/>
      <w:sz w:val="20"/>
    </w:rPr>
  </w:style>
  <w:style w:type="paragraph" w:styleId="Toc7">
    <w:name w:val="Toc 7"/>
    <w:basedOn w:val="Normal"/>
    <w:next w:val="Normal"/>
    <w:uiPriority w:val="39"/>
    <w:semiHidden w:val="on"/>
    <w:unhideWhenUsed w:val="on"/>
    <w:pPr>
      <w:ind w:left="1440"/>
    </w:pPr>
    <w:rPr>
      <w:rFonts w:asciiTheme="minorHAnsi" w:cstheme="minorHAnsi" w:hAnsiTheme="minorHAnsi"/>
      <w:sz w:val="20"/>
    </w:rPr>
  </w:style>
  <w:style w:type="paragraph" w:styleId="Toc8">
    <w:name w:val="Toc 8"/>
    <w:basedOn w:val="Normal"/>
    <w:next w:val="Normal"/>
    <w:uiPriority w:val="39"/>
    <w:semiHidden w:val="on"/>
    <w:unhideWhenUsed w:val="on"/>
    <w:pPr>
      <w:ind w:left="1680"/>
    </w:pPr>
    <w:rPr>
      <w:rFonts w:asciiTheme="minorHAnsi" w:cstheme="minorHAnsi" w:hAnsiTheme="minorHAnsi"/>
      <w:sz w:val="20"/>
    </w:rPr>
  </w:style>
  <w:style w:type="paragraph" w:styleId="Toc9">
    <w:name w:val="Toc 9"/>
    <w:basedOn w:val="Normal"/>
    <w:next w:val="Normal"/>
    <w:uiPriority w:val="39"/>
    <w:semiHidden w:val="on"/>
    <w:unhideWhenUsed w:val="on"/>
    <w:pPr>
      <w:ind w:left="1920"/>
    </w:pPr>
    <w:rPr>
      <w:rFonts w:asciiTheme="minorHAnsi" w:cs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19669">
      <w:bodyDiv w:val="1"/>
      <w:marLeft w:val="0"/>
      <w:marRight w:val="0"/>
      <w:marTop w:val="0"/>
      <w:marBottom w:val="0"/>
      <w:divBdr>
        <w:top w:val="none" w:sz="0" w:space="0" w:color="auto"/>
        <w:left w:val="none" w:sz="0" w:space="0" w:color="auto"/>
        <w:bottom w:val="none" w:sz="0" w:space="0" w:color="auto"/>
        <w:right w:val="none" w:sz="0" w:space="0" w:color="auto"/>
      </w:divBdr>
      <w:divsChild>
        <w:div w:id="137963447">
          <w:marLeft w:val="0"/>
          <w:marRight w:val="0"/>
          <w:marTop w:val="0"/>
          <w:marBottom w:val="0"/>
          <w:divBdr>
            <w:top w:val="single" w:sz="2" w:space="0" w:color="D9D9E3"/>
            <w:left w:val="single" w:sz="2" w:space="0" w:color="D9D9E3"/>
            <w:bottom w:val="single" w:sz="2" w:space="0" w:color="D9D9E3"/>
            <w:right w:val="single" w:sz="2" w:space="0" w:color="D9D9E3"/>
          </w:divBdr>
          <w:divsChild>
            <w:div w:id="1653757982">
              <w:marLeft w:val="0"/>
              <w:marRight w:val="0"/>
              <w:marTop w:val="0"/>
              <w:marBottom w:val="0"/>
              <w:divBdr>
                <w:top w:val="single" w:sz="2" w:space="0" w:color="D9D9E3"/>
                <w:left w:val="single" w:sz="2" w:space="0" w:color="D9D9E3"/>
                <w:bottom w:val="single" w:sz="2" w:space="0" w:color="D9D9E3"/>
                <w:right w:val="single" w:sz="2" w:space="0" w:color="D9D9E3"/>
              </w:divBdr>
              <w:divsChild>
                <w:div w:id="322511884">
                  <w:marLeft w:val="0"/>
                  <w:marRight w:val="0"/>
                  <w:marTop w:val="0"/>
                  <w:marBottom w:val="0"/>
                  <w:divBdr>
                    <w:top w:val="single" w:sz="2" w:space="0" w:color="D9D9E3"/>
                    <w:left w:val="single" w:sz="2" w:space="0" w:color="D9D9E3"/>
                    <w:bottom w:val="single" w:sz="2" w:space="0" w:color="D9D9E3"/>
                    <w:right w:val="single" w:sz="2" w:space="0" w:color="D9D9E3"/>
                  </w:divBdr>
                  <w:divsChild>
                    <w:div w:id="327833053">
                      <w:marLeft w:val="0"/>
                      <w:marRight w:val="0"/>
                      <w:marTop w:val="0"/>
                      <w:marBottom w:val="0"/>
                      <w:divBdr>
                        <w:top w:val="single" w:sz="2" w:space="0" w:color="D9D9E3"/>
                        <w:left w:val="single" w:sz="2" w:space="0" w:color="D9D9E3"/>
                        <w:bottom w:val="single" w:sz="2" w:space="0" w:color="D9D9E3"/>
                        <w:right w:val="single" w:sz="2" w:space="0" w:color="D9D9E3"/>
                      </w:divBdr>
                      <w:divsChild>
                        <w:div w:id="184485355">
                          <w:marLeft w:val="0"/>
                          <w:marRight w:val="0"/>
                          <w:marTop w:val="0"/>
                          <w:marBottom w:val="0"/>
                          <w:divBdr>
                            <w:top w:val="none" w:sz="0" w:space="0" w:color="auto"/>
                            <w:left w:val="none" w:sz="0" w:space="0" w:color="auto"/>
                            <w:bottom w:val="none" w:sz="0" w:space="0" w:color="auto"/>
                            <w:right w:val="none" w:sz="0" w:space="0" w:color="auto"/>
                          </w:divBdr>
                          <w:divsChild>
                            <w:div w:id="616115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44454444">
                                  <w:marLeft w:val="0"/>
                                  <w:marRight w:val="0"/>
                                  <w:marTop w:val="0"/>
                                  <w:marBottom w:val="0"/>
                                  <w:divBdr>
                                    <w:top w:val="single" w:sz="2" w:space="0" w:color="D9D9E3"/>
                                    <w:left w:val="single" w:sz="2" w:space="0" w:color="D9D9E3"/>
                                    <w:bottom w:val="single" w:sz="2" w:space="0" w:color="D9D9E3"/>
                                    <w:right w:val="single" w:sz="2" w:space="0" w:color="D9D9E3"/>
                                  </w:divBdr>
                                  <w:divsChild>
                                    <w:div w:id="1862476422">
                                      <w:marLeft w:val="0"/>
                                      <w:marRight w:val="0"/>
                                      <w:marTop w:val="0"/>
                                      <w:marBottom w:val="0"/>
                                      <w:divBdr>
                                        <w:top w:val="single" w:sz="2" w:space="0" w:color="D9D9E3"/>
                                        <w:left w:val="single" w:sz="2" w:space="0" w:color="D9D9E3"/>
                                        <w:bottom w:val="single" w:sz="2" w:space="0" w:color="D9D9E3"/>
                                        <w:right w:val="single" w:sz="2" w:space="0" w:color="D9D9E3"/>
                                      </w:divBdr>
                                      <w:divsChild>
                                        <w:div w:id="203493056">
                                          <w:marLeft w:val="0"/>
                                          <w:marRight w:val="0"/>
                                          <w:marTop w:val="0"/>
                                          <w:marBottom w:val="0"/>
                                          <w:divBdr>
                                            <w:top w:val="single" w:sz="2" w:space="0" w:color="D9D9E3"/>
                                            <w:left w:val="single" w:sz="2" w:space="0" w:color="D9D9E3"/>
                                            <w:bottom w:val="single" w:sz="2" w:space="0" w:color="D9D9E3"/>
                                            <w:right w:val="single" w:sz="2" w:space="0" w:color="D9D9E3"/>
                                          </w:divBdr>
                                          <w:divsChild>
                                            <w:div w:id="70809762">
                                              <w:marLeft w:val="0"/>
                                              <w:marRight w:val="0"/>
                                              <w:marTop w:val="0"/>
                                              <w:marBottom w:val="0"/>
                                              <w:divBdr>
                                                <w:top w:val="single" w:sz="2" w:space="0" w:color="D9D9E3"/>
                                                <w:left w:val="single" w:sz="2" w:space="0" w:color="D9D9E3"/>
                                                <w:bottom w:val="single" w:sz="2" w:space="0" w:color="D9D9E3"/>
                                                <w:right w:val="single" w:sz="2" w:space="0" w:color="D9D9E3"/>
                                              </w:divBdr>
                                              <w:divsChild>
                                                <w:div w:id="638077193">
                                                  <w:marLeft w:val="0"/>
                                                  <w:marRight w:val="0"/>
                                                  <w:marTop w:val="0"/>
                                                  <w:marBottom w:val="0"/>
                                                  <w:divBdr>
                                                    <w:top w:val="single" w:sz="2" w:space="0" w:color="D9D9E3"/>
                                                    <w:left w:val="single" w:sz="2" w:space="0" w:color="D9D9E3"/>
                                                    <w:bottom w:val="single" w:sz="2" w:space="0" w:color="D9D9E3"/>
                                                    <w:right w:val="single" w:sz="2" w:space="0" w:color="D9D9E3"/>
                                                  </w:divBdr>
                                                  <w:divsChild>
                                                    <w:div w:id="552695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98258747">
          <w:marLeft w:val="0"/>
          <w:marRight w:val="0"/>
          <w:marTop w:val="0"/>
          <w:marBottom w:val="0"/>
          <w:divBdr>
            <w:top w:val="none" w:sz="0" w:space="0" w:color="auto"/>
            <w:left w:val="none" w:sz="0" w:space="0" w:color="auto"/>
            <w:bottom w:val="none" w:sz="0" w:space="0" w:color="auto"/>
            <w:right w:val="none" w:sz="0" w:space="0" w:color="auto"/>
          </w:divBdr>
        </w:div>
      </w:divsChild>
    </w:div>
    <w:div w:id="53978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4" Type="http://schemas.openxmlformats.org/officeDocument/2006/relationships/fontTable" Target="fontTable.xml"/><Relationship Id="rId15" Type="http://schemas.openxmlformats.org/officeDocument/2006/relationships/theme" Target="theme/theme1.xml"/><Relationship Id="rId2" Type="http://schemas.openxmlformats.org/officeDocument/2006/relationships/numbering" Target="numbering.xm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header" Target="header3.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oter" Target="footer3.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footer3.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header2.xml.rels><?xml version="1.0" encoding="UTF-8" standalone="yes"?>
<Relationships xmlns="http://schemas.openxmlformats.org/package/2006/relationships"></Relationships>
</file>

<file path=word/_rels/header3.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021E33-A668-428E-923B-5C4F53AE3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3048</Words>
  <Characters>17378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Alam Afridi</dc:creator>
  <cp:lastModifiedBy>Alam Afridi</cp:lastModifiedBy>
</cp:coreProperties>
</file>