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Shakespeare module: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Going into the module, I was excited to explore both masculine and feminine characters, knowing that in Shakespeare, men can play women, as historically that was the norm.</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Measure for measure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Measure for Measure challenged me, especially when it came to connecting with Claudio. Although I understood his words, I struggled to grasp his internal intentions, leading to unnecessary and uncertain movements on stage. My partner and I smoothed over the scenes; Our natural chemistry and bond helped direct our delivery. Knowing and communicating what we felt we had to receive to respond accordingly. My breakthrough into becoming Claudio came from implementing Uta Hagen's questions in order to materialise him. (In appendix)</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 character who will move... with a soul and all senses alive.” (Hagen, 1991, pg. 258).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During this module, not only did I acknowledge the questions, but I was able to integrate them into Claudio through the use of Maslow's Hierarchy. Giving Claudio real human objectives put a soul into him, allowing me to embody him instead of just playing him.</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 To listen attentively is also to be gracious, compassionate and interested in humanity. If Shakespeare’s work, in which these virtues shine through above all others, is anything to go by, he must have been an extraordinary listener.” (Rodenburg, 2002, pg. 60)</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This really impacted my performance of Shakespeare. It added another dimension to the humanity I was building for Claudio and my other characters. I tend to get caught in the imagery of the scene, leading me to internalise some lines that could be more impactful if directed. Something that helped me was simply listening to myself and my partner in the scene, by controlling my breathing and pace, allowing me to focus and comprehend what was happening to Claudio and what he was feeling.</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 could have emphasised the hiding of my dread of death, as this would have allowed the twist at the end to sink deeper in me and the audience. If I were to do it over from the start, I’d have played around with the speech more and seen where that takes me and what could have been added from playing around.</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As you like it</w:t>
      </w:r>
    </w:p>
    <w:p w:rsidR="00000000" w:rsidDel="00000000" w:rsidP="00000000" w:rsidRDefault="00000000" w:rsidRPr="00000000" w14:paraId="0000001D">
      <w:pPr>
        <w:rPr/>
      </w:pPr>
      <w:r w:rsidDel="00000000" w:rsidR="00000000" w:rsidRPr="00000000">
        <w:rPr>
          <w:rtl w:val="0"/>
        </w:rPr>
        <w:t xml:space="preserve">I was lured by Rosalind's monologue because I could relate to her challenge of gender roles. I knew that I could bring that blend of masculinity and femininity to her, as I have aspects of both these things as a gay man. I knew this was a comedic scene; however struggled with the words not being so heavy, changing the essence of the scene into almost that of a tragedy. Once I was able to use actors in my monologue, it really helped ot open up the scene and give me something to play off and react to. I realised that when I was learning the lines, I was trying to learn them in character. This is what I think made the delivery of the lines feel heavy at first. I was overcomplicating the journey in my head, forgetting that the comedy itself is embedded in the text and doesn't rely solely on the delivery.</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“Treat them as though gibberish they are, ascribe no meaning to them and memorise them as a technical exercise” (As cited by Davies, 2007, pg. 81)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Although I understand this isn’t a universally agreed technique, I know this helped me tremendously when it came to the pacing of my monologue. I have a hard time controlling the tempo. But after stripping it back and learning the monologue as a blank slate, I could recall it more naturally and smoothly. After learning the blank slate, I started to characterise it, leaning into my connection to Rosalind. And the scene began to flow better and became comical. And I felt as if I was moving around the space with purpose and not floating around.</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 right intuition gave birth to all her actions” (Cited by Merlin, 2007, pg. 115)</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When it came to embodying Rosalind, an extremely useful exercise was becoming the animal I associated with her. Helping me sharpen the emotional changes in the monologue. I imagined a bird, and the unpredictability of them. Helping push the comedic aspect of the piece and how fast she is thinking.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“A dog can easily go from defence to attack, from sleep to alert. Once analysed, all these dynamics can be built into the performance of the character” (Lecoq, 2017, pg 93)</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If I had more time, I would have smoothened the transition of each unit, helping solidify the emotional journey. If I were to do this monologue again, I would use people in the scene sooner, as it felt more natural to have people to joke and mock on stage and influence the changes in my objective. One of the many things I will take from this monologue process is when I was told to be more Essex with it. In college, when performing, my teacher would say I sounded like Essex, so I've learnt to mask my accent on stage instead of embracing it. Taking me back to musical performance, where I had learnt about the authenticity of sounding like me. Making me even more grateful for this process, as it has put me back on the path.</w:t>
      </w:r>
    </w:p>
    <w:p w:rsidR="00000000" w:rsidDel="00000000" w:rsidP="00000000" w:rsidRDefault="00000000" w:rsidRPr="00000000" w14:paraId="0000002A">
      <w:pPr>
        <w:rPr>
          <w:b w:val="1"/>
          <w:bCs w:val="1"/>
        </w:rPr>
      </w:pPr>
      <w:r w:rsidDel="00000000" w:rsidR="00000000" w:rsidRPr="00000000">
        <w:rPr>
          <w:rtl w:val="0"/>
        </w:rPr>
        <w:br w:type="textWrapping"/>
        <w:t xml:space="preserve">“You will not engage your listeners or feel truly satisfied with your voice unless it sounds authentic”  ( Nelson, 2015, pg. 13).</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This authenticity helped me feel more at home in the body of Rosalind.</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Macbeth</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Lady Macbeth was maybe the most complex role I have played to date, and it was that reason that challenged me that drew me to her in the first place. I was confident that with time, I’d be able to play her authentically and with my take on her. I don't enjoy the harsh and villainous role she is often given</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 think it's impossible to play Lady Macbeth as just an evil Bitch”  (Dobson, 2006, pg. 97)</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 So I added some humanity and fear to her. The overall experience was amazing. The hardest part was controlling my volume. Speaking in a whisper loud enough for the audience whilst enunciating and not being too breathy. I watched different productions of Macbeth in order to gain an understanding of her story within Macbeth. Then erased them from memory as much as possible so what I was performing was uniquely mine.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“As an actor, you need to start forgetting it all, so that you still come to the part freshly, as if neither you nor anyone else has played it before” (Dobson, 2006, pg. 95)</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I worked on my articulation using tongue twisters and tongue warm-ups such as counting teeth, flexing and unflexing, trying to touch my nose and chin, and practising the consonance song daily.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“For actors, the lips, tongue and other articulators are the equivalent of the dancer’s feet and the guitarist's fingers: If they do not move with accuracy and energy, they cannot be responsive to the artistic direction”(Carey, Carey, 2008, pg 162)</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And as my articulation grew stronger, stage whispering clearly came easier to me. I also found this allowed the words to carry more intention.</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If I had more time to develop this piece, I would have loved to create a more dynamic and intimate relationship between Lady Macbeth and Macbeth; although we did explore it, I would have liked to see a deeper connection. If I were to do the entire process over again, I probably would have relished more in being her as it's a role I may never do again. I wish I had relaxed, grounded myself and relished in becoming Lady Macbeth.</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Peotry</w:t>
      </w:r>
    </w:p>
    <w:p w:rsidR="00000000" w:rsidDel="00000000" w:rsidP="00000000" w:rsidRDefault="00000000" w:rsidRPr="00000000" w14:paraId="00000044">
      <w:pPr>
        <w:rPr/>
      </w:pPr>
      <w:r w:rsidDel="00000000" w:rsidR="00000000" w:rsidRPr="00000000">
        <w:rPr>
          <w:rtl w:val="0"/>
        </w:rPr>
        <w:t xml:space="preserve">Poetry is one of my biggest passions, and it is why I was so excited for this module. I was inspired by this module to write more poems. One being about identity. (In appendix). In class, I always felt creatively challenged, and last module, a goal of mine was to leave class in the room so when I come home, I can be free from it. Poetry became an outlet for the residual creativity after class. This also let me feel different emotions that in class I was able to call on during scenes in class. Some poems, being of others' experiences, almost made the recall of that emotion authentically mine.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Shakespeare has taught me about the power of the writer. I have felt a shift in my poems as I take on all that I’ve learnt.</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“Be creators, not mere narrators” (cited by Merlin, 2007, pg 97)</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Warmup</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Vocal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In dance and Musical performance, we learned the importance of warming up; however, this module helped me put the two practices together and apply them to acting. The imagery warm-ups really helped to centre me in the space. The most noticeable improvement was the growth of my resonance. I realised that when I controlled my breathing and relaxed, it allowed me to open up and resonate more. This particularly helped me as Lady Macbeth when speaking softly but still filling the space.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“But it is how you use the breath, how you use the resonating spaces” (Berry, 1973, pg 10)</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Understanding and feeling the different resonators within my body, such as, nasal passage, larynx and oral cavity, helped me create a distinction between different characters vocally, as focusing on different areas created a different feeling to the voice and helped with my emotional connection to the character.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“It's very important to understand the working of these resonators, so you can deliver the best version of your voice” (Carey, Carey, 2008, pg 110)</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I can see the importance of warming up. In the last module, I didn't really warm my voice and focused on body movements, which may have been why I lost my voice.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 wish I had implemented some of the yoga I learnt from dance, as that would have built on my breath work and allowed me to resonate further. The main exercise I will take with me is the consonance song, as over the course of the module, it really helped me to hit each vowel in my performances.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Script breakdown</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Before this module, I was nervous when it came to mining the text of Shakespeare. However, it was driven in use to rely on our intuition and decode the text for ourselves, and i found that this was one of the more enjoyable aspects of Shakespeare for me. I first went through and analysed the texts, counting the syllables and taking notes of where Shakespeare breaks the iambic pentameter, as this is usually a big indicator of key emotional changes and thought processes. One of the things I will carry on with me to the future would be to not overcomplicate the already complicated texts I'm given. And to remember that Shakespeare gives you a lot of the answers embedded in the text.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“Sometimes, of course, the language is complex, as you would expect, because Shakespeare is trying to reproduce complex states of mind and feelings.” (McEvoy, 2006, pg 20)</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I also united all of my scenes, helping to structure the thought journey of the characters I was playing. Adding objects to the different bits adds a constant state of intention. Some objectives contradict my partner to add conflict to the scene.</w:t>
      </w:r>
    </w:p>
    <w:p w:rsidR="00000000" w:rsidDel="00000000" w:rsidP="00000000" w:rsidRDefault="00000000" w:rsidRPr="00000000" w14:paraId="00000063">
      <w:pPr>
        <w:spacing w:after="240" w:before="240" w:lineRule="auto"/>
        <w:rPr/>
      </w:pPr>
      <w:r w:rsidDel="00000000" w:rsidR="00000000" w:rsidRPr="00000000">
        <w:rPr>
          <w:rtl w:val="0"/>
        </w:rPr>
        <w:t xml:space="preserve">“At the heart of every [‘Bit’] lies a creative objective. . . Each objective is an organic part of the [‘Bit’], or, conversely, it creates the [‘Bit’] which surrounds it.” (Cited by Merlin, 2007, pg. 74)</w:t>
      </w:r>
    </w:p>
    <w:p w:rsidR="00000000" w:rsidDel="00000000" w:rsidP="00000000" w:rsidRDefault="00000000" w:rsidRPr="00000000" w14:paraId="00000064">
      <w:pPr>
        <w:rPr/>
      </w:pPr>
      <w:r w:rsidDel="00000000" w:rsidR="00000000" w:rsidRPr="00000000">
        <w:rPr>
          <w:rtl w:val="0"/>
        </w:rPr>
        <w:t xml:space="preserve">As someone who used a lot of imagination in acting, and have previously stated that the imagining of things can draw my attention from the scene. Adding elements and efforts (In the appendix)  to the units helped to ground me, giving a spine and something to drive each bit. The elements helped me to physically and verbally shift as my character's objectives changed, allowing me to pull on the knowledge I gained in Voice and movement.</w:t>
      </w:r>
    </w:p>
    <w:p w:rsidR="00000000" w:rsidDel="00000000" w:rsidP="00000000" w:rsidRDefault="00000000" w:rsidRPr="00000000" w14:paraId="00000065">
      <w:pPr>
        <w:rPr/>
      </w:pPr>
      <w:r w:rsidDel="00000000" w:rsidR="00000000" w:rsidRPr="00000000">
        <w:rPr>
          <w:rtl w:val="0"/>
        </w:rPr>
        <w:br w:type="textWrapping"/>
        <w:t xml:space="preserve">“Laban's technique breaks down between actors and dancers - both should be able to transfer movement to words or words to movement” (Newlove, 1993, pg 158)</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I interpreted this in a less dance-based movement and the way in which the characters hold themself, walk and react.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Reference list:</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after="240" w:line="360" w:lineRule="auto"/>
        <w:rPr/>
      </w:pPr>
      <w:r w:rsidDel="00000000" w:rsidR="00000000" w:rsidRPr="00000000">
        <w:rPr>
          <w:rtl w:val="0"/>
        </w:rPr>
        <w:t xml:space="preserve">Berry, C. (1973). </w:t>
      </w:r>
      <w:r w:rsidDel="00000000" w:rsidR="00000000" w:rsidRPr="00000000">
        <w:rPr>
          <w:i w:val="1"/>
          <w:iCs w:val="1"/>
          <w:rtl w:val="0"/>
        </w:rPr>
        <w:t xml:space="preserve">Voice and the Actor</w:t>
      </w:r>
      <w:r w:rsidDel="00000000" w:rsidR="00000000" w:rsidRPr="00000000">
        <w:rPr>
          <w:rtl w:val="0"/>
        </w:rPr>
        <w:t xml:space="preserve">. London : Harrap.</w:t>
      </w:r>
    </w:p>
    <w:p w:rsidR="00000000" w:rsidDel="00000000" w:rsidP="00000000" w:rsidRDefault="00000000" w:rsidRPr="00000000" w14:paraId="0000006D">
      <w:pPr>
        <w:spacing w:after="240" w:line="360" w:lineRule="auto"/>
        <w:rPr/>
      </w:pPr>
      <w:r w:rsidDel="00000000" w:rsidR="00000000" w:rsidRPr="00000000">
        <w:rPr>
          <w:rtl w:val="0"/>
        </w:rPr>
        <w:t xml:space="preserve">Carey, D. and Carrey, R. (2008). </w:t>
      </w:r>
      <w:r w:rsidDel="00000000" w:rsidR="00000000" w:rsidRPr="00000000">
        <w:rPr>
          <w:i w:val="1"/>
          <w:iCs w:val="1"/>
          <w:rtl w:val="0"/>
        </w:rPr>
        <w:t xml:space="preserve">Vocal arts workbook and DVD : a practical course for achieving clarity and expression with your voice</w:t>
      </w:r>
      <w:r w:rsidDel="00000000" w:rsidR="00000000" w:rsidRPr="00000000">
        <w:rPr>
          <w:rtl w:val="0"/>
        </w:rPr>
        <w:t xml:space="preserve">. London: Bloomsbury.</w:t>
      </w:r>
    </w:p>
    <w:p w:rsidR="00000000" w:rsidDel="00000000" w:rsidP="00000000" w:rsidRDefault="00000000" w:rsidRPr="00000000" w14:paraId="0000006E">
      <w:pPr>
        <w:spacing w:after="240" w:line="360" w:lineRule="auto"/>
        <w:rPr/>
      </w:pPr>
      <w:r w:rsidDel="00000000" w:rsidR="00000000" w:rsidRPr="00000000">
        <w:rPr>
          <w:rtl w:val="0"/>
        </w:rPr>
        <w:t xml:space="preserve">Davies, O.F. (2007). </w:t>
      </w:r>
      <w:r w:rsidDel="00000000" w:rsidR="00000000" w:rsidRPr="00000000">
        <w:rPr>
          <w:i w:val="1"/>
          <w:iCs w:val="1"/>
          <w:rtl w:val="0"/>
        </w:rPr>
        <w:t xml:space="preserve">Performing Shakespeare</w:t>
      </w:r>
      <w:r w:rsidDel="00000000" w:rsidR="00000000" w:rsidRPr="00000000">
        <w:rPr>
          <w:rtl w:val="0"/>
        </w:rPr>
        <w:t xml:space="preserve">. Nick Hern Books.</w:t>
      </w:r>
    </w:p>
    <w:p w:rsidR="00000000" w:rsidDel="00000000" w:rsidP="00000000" w:rsidRDefault="00000000" w:rsidRPr="00000000" w14:paraId="0000006F">
      <w:pPr>
        <w:spacing w:after="240" w:line="360" w:lineRule="auto"/>
        <w:rPr/>
      </w:pPr>
      <w:r w:rsidDel="00000000" w:rsidR="00000000" w:rsidRPr="00000000">
        <w:rPr>
          <w:rtl w:val="0"/>
        </w:rPr>
        <w:t xml:space="preserve">Dobson, M. (2006). </w:t>
      </w:r>
      <w:r w:rsidDel="00000000" w:rsidR="00000000" w:rsidRPr="00000000">
        <w:rPr>
          <w:i w:val="1"/>
          <w:iCs w:val="1"/>
          <w:rtl w:val="0"/>
        </w:rPr>
        <w:t xml:space="preserve">Performing Shakespeare’s tragedies today : the actor’s perspective</w:t>
      </w:r>
      <w:r w:rsidDel="00000000" w:rsidR="00000000" w:rsidRPr="00000000">
        <w:rPr>
          <w:rtl w:val="0"/>
        </w:rPr>
        <w:t xml:space="preserve">. Cambridge: Cambridge University Press.</w:t>
      </w:r>
    </w:p>
    <w:p w:rsidR="00000000" w:rsidDel="00000000" w:rsidP="00000000" w:rsidRDefault="00000000" w:rsidRPr="00000000" w14:paraId="00000070">
      <w:pPr>
        <w:spacing w:after="240" w:line="360" w:lineRule="auto"/>
        <w:rPr/>
      </w:pPr>
      <w:r w:rsidDel="00000000" w:rsidR="00000000" w:rsidRPr="00000000">
        <w:rPr>
          <w:rtl w:val="0"/>
        </w:rPr>
        <w:t xml:space="preserve">Hagen, U. (1991). </w:t>
      </w:r>
      <w:r w:rsidDel="00000000" w:rsidR="00000000" w:rsidRPr="00000000">
        <w:rPr>
          <w:i w:val="1"/>
          <w:iCs w:val="1"/>
          <w:rtl w:val="0"/>
        </w:rPr>
        <w:t xml:space="preserve">A challenge for the actor</w:t>
      </w:r>
      <w:r w:rsidDel="00000000" w:rsidR="00000000" w:rsidRPr="00000000">
        <w:rPr>
          <w:rtl w:val="0"/>
        </w:rPr>
        <w:t xml:space="preserve">. New York: Scribner’s ; Toronto.</w:t>
      </w:r>
    </w:p>
    <w:p w:rsidR="00000000" w:rsidDel="00000000" w:rsidP="00000000" w:rsidRDefault="00000000" w:rsidRPr="00000000" w14:paraId="00000071">
      <w:pPr>
        <w:spacing w:after="240" w:line="360" w:lineRule="auto"/>
        <w:rPr/>
      </w:pPr>
      <w:r w:rsidDel="00000000" w:rsidR="00000000" w:rsidRPr="00000000">
        <w:rPr>
          <w:rtl w:val="0"/>
        </w:rPr>
        <w:t xml:space="preserve">Lecoq, J. (2017). </w:t>
      </w:r>
      <w:r w:rsidDel="00000000" w:rsidR="00000000" w:rsidRPr="00000000">
        <w:rPr>
          <w:i w:val="1"/>
          <w:iCs w:val="1"/>
          <w:rtl w:val="0"/>
        </w:rPr>
        <w:t xml:space="preserve">Moving body - le corps potique : teaching creative theatre.</w:t>
      </w:r>
      <w:r w:rsidDel="00000000" w:rsidR="00000000" w:rsidRPr="00000000">
        <w:rPr>
          <w:rtl w:val="0"/>
        </w:rPr>
        <w:t xml:space="preserve"> Methuen.</w:t>
      </w:r>
    </w:p>
    <w:p w:rsidR="00000000" w:rsidDel="00000000" w:rsidP="00000000" w:rsidRDefault="00000000" w:rsidRPr="00000000" w14:paraId="00000072">
      <w:pPr>
        <w:spacing w:after="240" w:line="360" w:lineRule="auto"/>
        <w:rPr/>
      </w:pPr>
      <w:r w:rsidDel="00000000" w:rsidR="00000000" w:rsidRPr="00000000">
        <w:rPr>
          <w:rtl w:val="0"/>
        </w:rPr>
        <w:t xml:space="preserve">Merlin, B. (2007). </w:t>
      </w:r>
      <w:r w:rsidDel="00000000" w:rsidR="00000000" w:rsidRPr="00000000">
        <w:rPr>
          <w:i w:val="1"/>
          <w:iCs w:val="1"/>
          <w:rtl w:val="0"/>
        </w:rPr>
        <w:t xml:space="preserve">The complete Stanislavsky toolkit</w:t>
      </w:r>
      <w:r w:rsidDel="00000000" w:rsidR="00000000" w:rsidRPr="00000000">
        <w:rPr>
          <w:rtl w:val="0"/>
        </w:rPr>
        <w:t xml:space="preserve">. London Nick Hern Books.</w:t>
      </w:r>
    </w:p>
    <w:p w:rsidR="00000000" w:rsidDel="00000000" w:rsidP="00000000" w:rsidRDefault="00000000" w:rsidRPr="00000000" w14:paraId="00000073">
      <w:pPr>
        <w:spacing w:after="240" w:line="360" w:lineRule="auto"/>
        <w:rPr/>
      </w:pPr>
      <w:r w:rsidDel="00000000" w:rsidR="00000000" w:rsidRPr="00000000">
        <w:rPr>
          <w:rtl w:val="0"/>
        </w:rPr>
        <w:t xml:space="preserve">McEvoy, S. and Mcevoy, S. (2002). </w:t>
      </w:r>
      <w:r w:rsidDel="00000000" w:rsidR="00000000" w:rsidRPr="00000000">
        <w:rPr>
          <w:i w:val="1"/>
          <w:iCs w:val="1"/>
          <w:rtl w:val="0"/>
        </w:rPr>
        <w:t xml:space="preserve">Shakespeare: The Basics</w:t>
      </w:r>
      <w:r w:rsidDel="00000000" w:rsidR="00000000" w:rsidRPr="00000000">
        <w:rPr>
          <w:rtl w:val="0"/>
        </w:rPr>
        <w:t xml:space="preserve">. Routledge.</w:t>
      </w:r>
    </w:p>
    <w:p w:rsidR="00000000" w:rsidDel="00000000" w:rsidP="00000000" w:rsidRDefault="00000000" w:rsidRPr="00000000" w14:paraId="00000074">
      <w:pPr>
        <w:spacing w:after="240" w:line="360" w:lineRule="auto"/>
        <w:rPr/>
      </w:pPr>
      <w:r w:rsidDel="00000000" w:rsidR="00000000" w:rsidRPr="00000000">
        <w:rPr>
          <w:rtl w:val="0"/>
        </w:rPr>
        <w:t xml:space="preserve">Rodenburg, P. (2023). </w:t>
      </w:r>
      <w:r w:rsidDel="00000000" w:rsidR="00000000" w:rsidRPr="00000000">
        <w:rPr>
          <w:i w:val="1"/>
          <w:iCs w:val="1"/>
          <w:rtl w:val="0"/>
        </w:rPr>
        <w:t xml:space="preserve">Speaking Shakespeare</w:t>
      </w:r>
      <w:r w:rsidDel="00000000" w:rsidR="00000000" w:rsidRPr="00000000">
        <w:rPr>
          <w:rtl w:val="0"/>
        </w:rPr>
        <w:t xml:space="preserve">. Bloomsbury Publishing.</w:t>
      </w:r>
    </w:p>
    <w:p w:rsidR="00000000" w:rsidDel="00000000" w:rsidP="00000000" w:rsidRDefault="00000000" w:rsidRPr="00000000" w14:paraId="00000075">
      <w:pPr>
        <w:spacing w:after="240" w:line="360" w:lineRule="auto"/>
        <w:rPr/>
      </w:pPr>
      <w:r w:rsidDel="00000000" w:rsidR="00000000" w:rsidRPr="00000000">
        <w:rPr>
          <w:color w:val="181817"/>
          <w:highlight w:val="white"/>
          <w:rtl w:val="0"/>
        </w:rPr>
        <w:t xml:space="preserve">Theodores D. Laban for Actors and Dancers. By Jean Newlove. London: Nick Hern Books, 1993. Pp. 158. £9.99. </w:t>
      </w:r>
      <w:r w:rsidDel="00000000" w:rsidR="00000000" w:rsidRPr="00000000">
        <w:rPr>
          <w:i w:val="1"/>
          <w:iCs w:val="1"/>
          <w:color w:val="181817"/>
          <w:highlight w:val="white"/>
          <w:rtl w:val="0"/>
        </w:rPr>
        <w:t xml:space="preserve">Theatre Research International</w:t>
      </w:r>
      <w:r w:rsidDel="00000000" w:rsidR="00000000" w:rsidRPr="00000000">
        <w:rPr>
          <w:color w:val="181817"/>
          <w:highlight w:val="white"/>
          <w:rtl w:val="0"/>
        </w:rPr>
        <w:t xml:space="preserve">. 1994;19(2):177-177. doi:10.1017/S0307883300019544</w:t>
      </w: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Bibliography:</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spacing w:after="240" w:line="360" w:lineRule="auto"/>
        <w:rPr/>
      </w:pPr>
      <w:r w:rsidDel="00000000" w:rsidR="00000000" w:rsidRPr="00000000">
        <w:rPr>
          <w:rtl w:val="0"/>
        </w:rPr>
        <w:t xml:space="preserve">Barton, J. (1984). </w:t>
      </w:r>
      <w:r w:rsidDel="00000000" w:rsidR="00000000" w:rsidRPr="00000000">
        <w:rPr>
          <w:i w:val="1"/>
          <w:iCs w:val="1"/>
          <w:rtl w:val="0"/>
        </w:rPr>
        <w:t xml:space="preserve">Playing Shakespeare</w:t>
      </w:r>
      <w:r w:rsidDel="00000000" w:rsidR="00000000" w:rsidRPr="00000000">
        <w:rPr>
          <w:rtl w:val="0"/>
        </w:rPr>
        <w:t xml:space="preserve">. Anchor.</w:t>
      </w:r>
    </w:p>
    <w:p w:rsidR="00000000" w:rsidDel="00000000" w:rsidP="00000000" w:rsidRDefault="00000000" w:rsidRPr="00000000" w14:paraId="00000094">
      <w:pPr>
        <w:spacing w:after="240" w:line="360" w:lineRule="auto"/>
        <w:rPr/>
      </w:pPr>
      <w:r w:rsidDel="00000000" w:rsidR="00000000" w:rsidRPr="00000000">
        <w:rPr>
          <w:rtl w:val="0"/>
        </w:rPr>
        <w:t xml:space="preserve">Berry, C. (1973). </w:t>
      </w:r>
      <w:r w:rsidDel="00000000" w:rsidR="00000000" w:rsidRPr="00000000">
        <w:rPr>
          <w:i w:val="1"/>
          <w:iCs w:val="1"/>
          <w:rtl w:val="0"/>
        </w:rPr>
        <w:t xml:space="preserve">Voice and the Actor</w:t>
      </w:r>
      <w:r w:rsidDel="00000000" w:rsidR="00000000" w:rsidRPr="00000000">
        <w:rPr>
          <w:rtl w:val="0"/>
        </w:rPr>
        <w:t xml:space="preserve">. London : Harrap.</w:t>
      </w:r>
    </w:p>
    <w:p w:rsidR="00000000" w:rsidDel="00000000" w:rsidP="00000000" w:rsidRDefault="00000000" w:rsidRPr="00000000" w14:paraId="00000095">
      <w:pPr>
        <w:spacing w:after="240" w:line="360" w:lineRule="auto"/>
        <w:rPr/>
      </w:pPr>
      <w:r w:rsidDel="00000000" w:rsidR="00000000" w:rsidRPr="00000000">
        <w:rPr>
          <w:rtl w:val="0"/>
        </w:rPr>
        <w:t xml:space="preserve">Carey, D. and Rebecca Clark Carey (2008). </w:t>
      </w:r>
      <w:r w:rsidDel="00000000" w:rsidR="00000000" w:rsidRPr="00000000">
        <w:rPr>
          <w:i w:val="1"/>
          <w:iCs w:val="1"/>
          <w:rtl w:val="0"/>
        </w:rPr>
        <w:t xml:space="preserve">Vocal arts workbook and DVD : a practical course for achieving clarity and expression with your voice</w:t>
      </w:r>
      <w:r w:rsidDel="00000000" w:rsidR="00000000" w:rsidRPr="00000000">
        <w:rPr>
          <w:rtl w:val="0"/>
        </w:rPr>
        <w:t xml:space="preserve">. London: Bloomsbury.</w:t>
      </w:r>
    </w:p>
    <w:p w:rsidR="00000000" w:rsidDel="00000000" w:rsidP="00000000" w:rsidRDefault="00000000" w:rsidRPr="00000000" w14:paraId="00000096">
      <w:pPr>
        <w:spacing w:after="240" w:line="360" w:lineRule="auto"/>
        <w:rPr/>
      </w:pPr>
      <w:r w:rsidDel="00000000" w:rsidR="00000000" w:rsidRPr="00000000">
        <w:rPr>
          <w:rtl w:val="0"/>
        </w:rPr>
        <w:t xml:space="preserve">Davies, O.F. (2007). </w:t>
      </w:r>
      <w:r w:rsidDel="00000000" w:rsidR="00000000" w:rsidRPr="00000000">
        <w:rPr>
          <w:i w:val="1"/>
          <w:iCs w:val="1"/>
          <w:rtl w:val="0"/>
        </w:rPr>
        <w:t xml:space="preserve">Performing Shakespeare</w:t>
      </w:r>
      <w:r w:rsidDel="00000000" w:rsidR="00000000" w:rsidRPr="00000000">
        <w:rPr>
          <w:rtl w:val="0"/>
        </w:rPr>
        <w:t xml:space="preserve">. Nick Hern Books.</w:t>
      </w:r>
    </w:p>
    <w:p w:rsidR="00000000" w:rsidDel="00000000" w:rsidP="00000000" w:rsidRDefault="00000000" w:rsidRPr="00000000" w14:paraId="00000097">
      <w:pPr>
        <w:spacing w:after="240" w:line="360" w:lineRule="auto"/>
        <w:rPr/>
      </w:pPr>
      <w:r w:rsidDel="00000000" w:rsidR="00000000" w:rsidRPr="00000000">
        <w:rPr>
          <w:rtl w:val="0"/>
        </w:rPr>
        <w:t xml:space="preserve">Digitaltheatreplus.com. (2023). Available at: https://edu.digitaltheatreplus.com/content/productions/as-you-like-it-rsc.</w:t>
      </w:r>
    </w:p>
    <w:p w:rsidR="00000000" w:rsidDel="00000000" w:rsidP="00000000" w:rsidRDefault="00000000" w:rsidRPr="00000000" w14:paraId="00000098">
      <w:pPr>
        <w:spacing w:after="240" w:line="360" w:lineRule="auto"/>
        <w:rPr/>
      </w:pPr>
      <w:r w:rsidDel="00000000" w:rsidR="00000000" w:rsidRPr="00000000">
        <w:rPr>
          <w:rtl w:val="0"/>
        </w:rPr>
        <w:t xml:space="preserve">Digitaltheatreplus.com. (2025a). </w:t>
      </w:r>
      <w:r w:rsidDel="00000000" w:rsidR="00000000" w:rsidRPr="00000000">
        <w:rPr>
          <w:i w:val="1"/>
          <w:iCs w:val="1"/>
          <w:rtl w:val="0"/>
        </w:rPr>
        <w:t xml:space="preserve">Poetry in Action trailer (edit)</w:t>
      </w:r>
      <w:r w:rsidDel="00000000" w:rsidR="00000000" w:rsidRPr="00000000">
        <w:rPr>
          <w:rtl w:val="0"/>
        </w:rPr>
        <w:t xml:space="preserve">. [online] Available at: https://www.digitaltheatreplus.com/poetry-in-action [Accessed 12 Dec. 2025].</w:t>
      </w:r>
    </w:p>
    <w:p w:rsidR="00000000" w:rsidDel="00000000" w:rsidP="00000000" w:rsidRDefault="00000000" w:rsidRPr="00000000" w14:paraId="00000099">
      <w:pPr>
        <w:spacing w:after="240" w:line="360" w:lineRule="auto"/>
        <w:rPr/>
      </w:pPr>
      <w:r w:rsidDel="00000000" w:rsidR="00000000" w:rsidRPr="00000000">
        <w:rPr>
          <w:rtl w:val="0"/>
        </w:rPr>
        <w:t xml:space="preserve">Digitaltheatreplus.com. (2025b). Available at: https://edu.digitaltheatreplus.com/content/productions/measure-for-measure-rsc.</w:t>
      </w:r>
    </w:p>
    <w:p w:rsidR="00000000" w:rsidDel="00000000" w:rsidP="00000000" w:rsidRDefault="00000000" w:rsidRPr="00000000" w14:paraId="0000009A">
      <w:pPr>
        <w:spacing w:after="240" w:line="360" w:lineRule="auto"/>
        <w:rPr/>
      </w:pPr>
      <w:r w:rsidDel="00000000" w:rsidR="00000000" w:rsidRPr="00000000">
        <w:rPr>
          <w:rtl w:val="0"/>
        </w:rPr>
        <w:t xml:space="preserve">Digitaltheatreplus.com. (2025c). Available at: https://edu.digitaltheatreplus.com/content/productions/macbeth-donmar-warehouse.</w:t>
      </w:r>
    </w:p>
    <w:p w:rsidR="00000000" w:rsidDel="00000000" w:rsidP="00000000" w:rsidRDefault="00000000" w:rsidRPr="00000000" w14:paraId="0000009B">
      <w:pPr>
        <w:spacing w:after="240" w:line="360" w:lineRule="auto"/>
        <w:rPr/>
      </w:pPr>
      <w:r w:rsidDel="00000000" w:rsidR="00000000" w:rsidRPr="00000000">
        <w:rPr>
          <w:rtl w:val="0"/>
        </w:rPr>
        <w:t xml:space="preserve">Dobson, M. (2006). </w:t>
      </w:r>
      <w:r w:rsidDel="00000000" w:rsidR="00000000" w:rsidRPr="00000000">
        <w:rPr>
          <w:i w:val="1"/>
          <w:iCs w:val="1"/>
          <w:rtl w:val="0"/>
        </w:rPr>
        <w:t xml:space="preserve">Performing Shakespeare’s tragedies today : the actor’s perspective</w:t>
      </w:r>
      <w:r w:rsidDel="00000000" w:rsidR="00000000" w:rsidRPr="00000000">
        <w:rPr>
          <w:rtl w:val="0"/>
        </w:rPr>
        <w:t xml:space="preserve">. Cambridge: Cambridge University Press.</w:t>
      </w:r>
    </w:p>
    <w:p w:rsidR="00000000" w:rsidDel="00000000" w:rsidP="00000000" w:rsidRDefault="00000000" w:rsidRPr="00000000" w14:paraId="0000009C">
      <w:pPr>
        <w:spacing w:after="240" w:line="360" w:lineRule="auto"/>
        <w:rPr/>
      </w:pPr>
      <w:r w:rsidDel="00000000" w:rsidR="00000000" w:rsidRPr="00000000">
        <w:rPr>
          <w:rtl w:val="0"/>
        </w:rPr>
        <w:t xml:space="preserve">Gurr, A. (2009). </w:t>
      </w:r>
      <w:r w:rsidDel="00000000" w:rsidR="00000000" w:rsidRPr="00000000">
        <w:rPr>
          <w:i w:val="1"/>
          <w:iCs w:val="1"/>
          <w:rtl w:val="0"/>
        </w:rPr>
        <w:t xml:space="preserve">The Shakespearean Stage 1574–1642</w:t>
      </w:r>
      <w:r w:rsidDel="00000000" w:rsidR="00000000" w:rsidRPr="00000000">
        <w:rPr>
          <w:rtl w:val="0"/>
        </w:rPr>
        <w:t xml:space="preserve">. Cambridge University Press.</w:t>
      </w:r>
    </w:p>
    <w:p w:rsidR="00000000" w:rsidDel="00000000" w:rsidP="00000000" w:rsidRDefault="00000000" w:rsidRPr="00000000" w14:paraId="0000009D">
      <w:pPr>
        <w:spacing w:after="240" w:line="360" w:lineRule="auto"/>
        <w:rPr/>
      </w:pPr>
      <w:r w:rsidDel="00000000" w:rsidR="00000000" w:rsidRPr="00000000">
        <w:rPr>
          <w:rtl w:val="0"/>
        </w:rPr>
        <w:t xml:space="preserve">Hagen, U. (1991). </w:t>
      </w:r>
      <w:r w:rsidDel="00000000" w:rsidR="00000000" w:rsidRPr="00000000">
        <w:rPr>
          <w:i w:val="1"/>
          <w:iCs w:val="1"/>
          <w:rtl w:val="0"/>
        </w:rPr>
        <w:t xml:space="preserve">A challenge for the actor</w:t>
      </w:r>
      <w:r w:rsidDel="00000000" w:rsidR="00000000" w:rsidRPr="00000000">
        <w:rPr>
          <w:rtl w:val="0"/>
        </w:rPr>
        <w:t xml:space="preserve">. New York: Scribner’s ; Toronto.</w:t>
      </w:r>
    </w:p>
    <w:p w:rsidR="00000000" w:rsidDel="00000000" w:rsidP="00000000" w:rsidRDefault="00000000" w:rsidRPr="00000000" w14:paraId="0000009E">
      <w:pPr>
        <w:spacing w:after="240" w:line="360" w:lineRule="auto"/>
        <w:rPr/>
      </w:pPr>
      <w:r w:rsidDel="00000000" w:rsidR="00000000" w:rsidRPr="00000000">
        <w:rPr>
          <w:rtl w:val="0"/>
        </w:rPr>
        <w:t xml:space="preserve">Lecoq, J. (2017). </w:t>
      </w:r>
      <w:r w:rsidDel="00000000" w:rsidR="00000000" w:rsidRPr="00000000">
        <w:rPr>
          <w:i w:val="1"/>
          <w:iCs w:val="1"/>
          <w:rtl w:val="0"/>
        </w:rPr>
        <w:t xml:space="preserve">Moving body - le corps potique : teaching creative theatre.</w:t>
      </w:r>
      <w:r w:rsidDel="00000000" w:rsidR="00000000" w:rsidRPr="00000000">
        <w:rPr>
          <w:rtl w:val="0"/>
        </w:rPr>
        <w:t xml:space="preserve"> Methuen.</w:t>
      </w:r>
    </w:p>
    <w:p w:rsidR="00000000" w:rsidDel="00000000" w:rsidP="00000000" w:rsidRDefault="00000000" w:rsidRPr="00000000" w14:paraId="0000009F">
      <w:pPr>
        <w:spacing w:after="240" w:line="360" w:lineRule="auto"/>
        <w:rPr/>
      </w:pPr>
      <w:r w:rsidDel="00000000" w:rsidR="00000000" w:rsidRPr="00000000">
        <w:rPr>
          <w:rtl w:val="0"/>
        </w:rPr>
        <w:t xml:space="preserve">Macdonald, R. (2013). </w:t>
      </w:r>
      <w:r w:rsidDel="00000000" w:rsidR="00000000" w:rsidRPr="00000000">
        <w:rPr>
          <w:i w:val="1"/>
          <w:iCs w:val="1"/>
          <w:rtl w:val="0"/>
        </w:rPr>
        <w:t xml:space="preserve">Shakespeare and the arts of language</w:t>
      </w:r>
      <w:r w:rsidDel="00000000" w:rsidR="00000000" w:rsidRPr="00000000">
        <w:rPr>
          <w:rtl w:val="0"/>
        </w:rPr>
        <w:t xml:space="preserve">. Oxford: Oxford Univ. Press.</w:t>
      </w:r>
    </w:p>
    <w:p w:rsidR="00000000" w:rsidDel="00000000" w:rsidP="00000000" w:rsidRDefault="00000000" w:rsidRPr="00000000" w14:paraId="000000A0">
      <w:pPr>
        <w:spacing w:after="240" w:line="360" w:lineRule="auto"/>
        <w:rPr/>
      </w:pPr>
      <w:r w:rsidDel="00000000" w:rsidR="00000000" w:rsidRPr="00000000">
        <w:rPr>
          <w:rtl w:val="0"/>
        </w:rPr>
        <w:t xml:space="preserve">McEvoy, S. and Mcevoy, S. (2002). </w:t>
      </w:r>
      <w:r w:rsidDel="00000000" w:rsidR="00000000" w:rsidRPr="00000000">
        <w:rPr>
          <w:i w:val="1"/>
          <w:iCs w:val="1"/>
          <w:rtl w:val="0"/>
        </w:rPr>
        <w:t xml:space="preserve">Shakespeare: The Basics</w:t>
      </w:r>
      <w:r w:rsidDel="00000000" w:rsidR="00000000" w:rsidRPr="00000000">
        <w:rPr>
          <w:rtl w:val="0"/>
        </w:rPr>
        <w:t xml:space="preserve">. Routledge.</w:t>
      </w:r>
    </w:p>
    <w:p w:rsidR="00000000" w:rsidDel="00000000" w:rsidP="00000000" w:rsidRDefault="00000000" w:rsidRPr="00000000" w14:paraId="000000A1">
      <w:pPr>
        <w:spacing w:after="240" w:line="360" w:lineRule="auto"/>
        <w:rPr/>
      </w:pPr>
      <w:r w:rsidDel="00000000" w:rsidR="00000000" w:rsidRPr="00000000">
        <w:rPr>
          <w:rtl w:val="0"/>
        </w:rPr>
        <w:t xml:space="preserve">Merlin, B. (2007). </w:t>
      </w:r>
      <w:r w:rsidDel="00000000" w:rsidR="00000000" w:rsidRPr="00000000">
        <w:rPr>
          <w:i w:val="1"/>
          <w:iCs w:val="1"/>
          <w:rtl w:val="0"/>
        </w:rPr>
        <w:t xml:space="preserve">The complete Stanislavsky toolkit</w:t>
      </w:r>
      <w:r w:rsidDel="00000000" w:rsidR="00000000" w:rsidRPr="00000000">
        <w:rPr>
          <w:rtl w:val="0"/>
        </w:rPr>
        <w:t xml:space="preserve">. London Nick Hern Books.</w:t>
      </w:r>
    </w:p>
    <w:p w:rsidR="00000000" w:rsidDel="00000000" w:rsidP="00000000" w:rsidRDefault="00000000" w:rsidRPr="00000000" w14:paraId="000000A2">
      <w:pPr>
        <w:spacing w:after="240" w:line="360" w:lineRule="auto"/>
        <w:rPr/>
      </w:pPr>
      <w:r w:rsidDel="00000000" w:rsidR="00000000" w:rsidRPr="00000000">
        <w:rPr>
          <w:rtl w:val="0"/>
        </w:rPr>
        <w:t xml:space="preserve">Payne-Frank, N. and Gormley, J. (2020). </w:t>
      </w:r>
      <w:r w:rsidDel="00000000" w:rsidR="00000000" w:rsidRPr="00000000">
        <w:rPr>
          <w:i w:val="1"/>
          <w:iCs w:val="1"/>
          <w:rtl w:val="0"/>
        </w:rPr>
        <w:t xml:space="preserve">‘All the world’s a stage’ Shakespeare performed around the world in quarantine - video</w:t>
      </w:r>
      <w:r w:rsidDel="00000000" w:rsidR="00000000" w:rsidRPr="00000000">
        <w:rPr>
          <w:rtl w:val="0"/>
        </w:rPr>
        <w:t xml:space="preserve">. [online] the Guardian. Available at: https://www.theguardian.com/culture/video/2020/apr/23/all-the-worlds-a-stage-shakespeare-performed-around-the-world-in-quarantine-video</w:t>
      </w:r>
    </w:p>
    <w:p w:rsidR="00000000" w:rsidDel="00000000" w:rsidP="00000000" w:rsidRDefault="00000000" w:rsidRPr="00000000" w14:paraId="000000A3">
      <w:pPr>
        <w:spacing w:after="240" w:line="360" w:lineRule="auto"/>
        <w:rPr/>
      </w:pPr>
      <w:r w:rsidDel="00000000" w:rsidR="00000000" w:rsidRPr="00000000">
        <w:rPr>
          <w:rtl w:val="0"/>
        </w:rPr>
        <w:t xml:space="preserve">Rodenburg, P. (2023). </w:t>
      </w:r>
      <w:r w:rsidDel="00000000" w:rsidR="00000000" w:rsidRPr="00000000">
        <w:rPr>
          <w:i w:val="1"/>
          <w:iCs w:val="1"/>
          <w:rtl w:val="0"/>
        </w:rPr>
        <w:t xml:space="preserve">Speaking Shakespeare</w:t>
      </w:r>
      <w:r w:rsidDel="00000000" w:rsidR="00000000" w:rsidRPr="00000000">
        <w:rPr>
          <w:rtl w:val="0"/>
        </w:rPr>
        <w:t xml:space="preserve">. Bloomsbury Publishing.</w:t>
      </w:r>
    </w:p>
    <w:p w:rsidR="00000000" w:rsidDel="00000000" w:rsidP="00000000" w:rsidRDefault="00000000" w:rsidRPr="00000000" w14:paraId="000000A4">
      <w:pPr>
        <w:spacing w:after="240" w:line="360" w:lineRule="auto"/>
        <w:rPr/>
      </w:pPr>
      <w:r w:rsidDel="00000000" w:rsidR="00000000" w:rsidRPr="00000000">
        <w:rPr>
          <w:rtl w:val="0"/>
        </w:rPr>
        <w:t xml:space="preserve">RSC Shakespeare Learning Zone (2017a). </w:t>
      </w:r>
      <w:r w:rsidDel="00000000" w:rsidR="00000000" w:rsidRPr="00000000">
        <w:rPr>
          <w:i w:val="1"/>
          <w:iCs w:val="1"/>
          <w:rtl w:val="0"/>
        </w:rPr>
        <w:t xml:space="preserve">What are Shared Lines? | Text Detectives | Royal Shakespeare Company</w:t>
      </w:r>
      <w:r w:rsidDel="00000000" w:rsidR="00000000" w:rsidRPr="00000000">
        <w:rPr>
          <w:rtl w:val="0"/>
        </w:rPr>
        <w:t xml:space="preserve">. [online] YouTube. Available at: https://www.youtube.com/watch?v=jPa2rKXDQP0 </w:t>
      </w:r>
    </w:p>
    <w:p w:rsidR="00000000" w:rsidDel="00000000" w:rsidP="00000000" w:rsidRDefault="00000000" w:rsidRPr="00000000" w14:paraId="000000A5">
      <w:pPr>
        <w:spacing w:after="240" w:line="360" w:lineRule="auto"/>
        <w:rPr/>
      </w:pPr>
      <w:r w:rsidDel="00000000" w:rsidR="00000000" w:rsidRPr="00000000">
        <w:rPr>
          <w:rtl w:val="0"/>
        </w:rPr>
        <w:t xml:space="preserve">RSC Shakespeare Learning Zone (2017b). </w:t>
      </w:r>
      <w:r w:rsidDel="00000000" w:rsidR="00000000" w:rsidRPr="00000000">
        <w:rPr>
          <w:i w:val="1"/>
          <w:iCs w:val="1"/>
          <w:rtl w:val="0"/>
        </w:rPr>
        <w:t xml:space="preserve">What is Antithesis? | Text Detectives | Royal Shakespeare Company</w:t>
      </w:r>
      <w:r w:rsidDel="00000000" w:rsidR="00000000" w:rsidRPr="00000000">
        <w:rPr>
          <w:rtl w:val="0"/>
        </w:rPr>
        <w:t xml:space="preserve">. [online] YouTube. Available at: https://www.youtube.com/watch?v=aajz_qcQ3KA </w:t>
      </w:r>
    </w:p>
    <w:p w:rsidR="00000000" w:rsidDel="00000000" w:rsidP="00000000" w:rsidRDefault="00000000" w:rsidRPr="00000000" w14:paraId="000000A6">
      <w:pPr>
        <w:spacing w:after="240" w:line="360" w:lineRule="auto"/>
        <w:rPr/>
      </w:pPr>
      <w:r w:rsidDel="00000000" w:rsidR="00000000" w:rsidRPr="00000000">
        <w:rPr>
          <w:rtl w:val="0"/>
        </w:rPr>
        <w:t xml:space="preserve">Sial, G. (2024). </w:t>
      </w:r>
      <w:r w:rsidDel="00000000" w:rsidR="00000000" w:rsidRPr="00000000">
        <w:rPr>
          <w:i w:val="1"/>
          <w:iCs w:val="1"/>
          <w:rtl w:val="0"/>
        </w:rPr>
        <w:t xml:space="preserve">The Basics of Voice Resonance. - GcorpMedia</w:t>
      </w:r>
      <w:r w:rsidDel="00000000" w:rsidR="00000000" w:rsidRPr="00000000">
        <w:rPr>
          <w:rtl w:val="0"/>
        </w:rPr>
        <w:t xml:space="preserve">. [online] GcorpMedia. Available at: </w:t>
      </w:r>
      <w:hyperlink r:id="rId6">
        <w:r w:rsidDel="00000000" w:rsidR="00000000" w:rsidRPr="00000000">
          <w:rPr>
            <w:color w:val="1155cc"/>
            <w:u w:val="single"/>
            <w:rtl w:val="0"/>
          </w:rPr>
          <w:t xml:space="preserve">https://gcorpmedia.com/knowledge-center/the-basics-of-voice-resonance/</w:t>
        </w:r>
      </w:hyperlink>
      <w:r w:rsidDel="00000000" w:rsidR="00000000" w:rsidRPr="00000000">
        <w:rPr>
          <w:rtl w:val="0"/>
        </w:rPr>
        <w:t xml:space="preserve">.</w:t>
      </w:r>
    </w:p>
    <w:p w:rsidR="00000000" w:rsidDel="00000000" w:rsidP="00000000" w:rsidRDefault="00000000" w:rsidRPr="00000000" w14:paraId="000000A7">
      <w:pPr>
        <w:spacing w:after="240" w:line="360" w:lineRule="auto"/>
        <w:rPr>
          <w:sz w:val="20"/>
          <w:szCs w:val="20"/>
        </w:rPr>
      </w:pPr>
      <w:r w:rsidDel="00000000" w:rsidR="00000000" w:rsidRPr="00000000">
        <w:rPr>
          <w:color w:val="181817"/>
          <w:highlight w:val="white"/>
          <w:rtl w:val="0"/>
        </w:rPr>
        <w:t xml:space="preserve">Theodores D. Laban for Actors and Dancers. By Jean Newlove. London: Nick Hern Books, 1993. Pp. 158. £9.99. </w:t>
      </w:r>
      <w:r w:rsidDel="00000000" w:rsidR="00000000" w:rsidRPr="00000000">
        <w:rPr>
          <w:i w:val="1"/>
          <w:iCs w:val="1"/>
          <w:color w:val="181817"/>
          <w:highlight w:val="white"/>
          <w:rtl w:val="0"/>
        </w:rPr>
        <w:t xml:space="preserve">Theatre Research International</w:t>
      </w:r>
      <w:r w:rsidDel="00000000" w:rsidR="00000000" w:rsidRPr="00000000">
        <w:rPr>
          <w:color w:val="181817"/>
          <w:highlight w:val="white"/>
          <w:rtl w:val="0"/>
        </w:rPr>
        <w:t xml:space="preserve">. 1994;19(2):177-177. doi:10.1017/S0307883300019544</w:t>
      </w:r>
      <w:r w:rsidDel="00000000" w:rsidR="00000000" w:rsidRPr="00000000">
        <w:rPr>
          <w:rtl w:val="0"/>
        </w:rPr>
      </w:r>
    </w:p>
    <w:p w:rsidR="00000000" w:rsidDel="00000000" w:rsidP="00000000" w:rsidRDefault="00000000" w:rsidRPr="00000000" w14:paraId="000000A8">
      <w:pPr>
        <w:spacing w:after="240" w:line="360" w:lineRule="auto"/>
        <w:rPr/>
      </w:pPr>
      <w:r w:rsidDel="00000000" w:rsidR="00000000" w:rsidRPr="00000000">
        <w:rPr>
          <w:rtl w:val="0"/>
        </w:rPr>
        <w:t xml:space="preserve">Thompson, A. (2021). </w:t>
      </w:r>
      <w:r w:rsidDel="00000000" w:rsidR="00000000" w:rsidRPr="00000000">
        <w:rPr>
          <w:i w:val="1"/>
          <w:iCs w:val="1"/>
          <w:rtl w:val="0"/>
        </w:rPr>
        <w:t xml:space="preserve">The Cambridge Companion to Shakespeare and Race</w:t>
      </w:r>
      <w:r w:rsidDel="00000000" w:rsidR="00000000" w:rsidRPr="00000000">
        <w:rPr>
          <w:rtl w:val="0"/>
        </w:rPr>
        <w:t xml:space="preserve">. Cambridge University Press.</w:t>
      </w:r>
    </w:p>
    <w:p w:rsidR="00000000" w:rsidDel="00000000" w:rsidP="00000000" w:rsidRDefault="00000000" w:rsidRPr="00000000" w14:paraId="000000A9">
      <w:pPr>
        <w:spacing w:after="240" w:line="360" w:lineRule="auto"/>
        <w:rPr/>
      </w:pPr>
      <w:r w:rsidDel="00000000" w:rsidR="00000000" w:rsidRPr="00000000">
        <w:rPr>
          <w:rtl w:val="0"/>
        </w:rPr>
        <w:t xml:space="preserve">Traub, V. (1992). </w:t>
      </w:r>
      <w:r w:rsidDel="00000000" w:rsidR="00000000" w:rsidRPr="00000000">
        <w:rPr>
          <w:i w:val="1"/>
          <w:iCs w:val="1"/>
          <w:rtl w:val="0"/>
        </w:rPr>
        <w:t xml:space="preserve">Desire and Anxiety (Routledge Revivals)</w:t>
      </w:r>
      <w:r w:rsidDel="00000000" w:rsidR="00000000" w:rsidRPr="00000000">
        <w:rPr>
          <w:rtl w:val="0"/>
        </w:rPr>
        <w:t xml:space="preserve">. Routledge.</w:t>
      </w:r>
    </w:p>
    <w:p w:rsidR="00000000" w:rsidDel="00000000" w:rsidP="00000000" w:rsidRDefault="00000000" w:rsidRPr="00000000" w14:paraId="000000AA">
      <w:pPr>
        <w:spacing w:after="240" w:line="360" w:lineRule="auto"/>
        <w:rPr/>
      </w:pPr>
      <w:r w:rsidDel="00000000" w:rsidR="00000000" w:rsidRPr="00000000">
        <w:rPr>
          <w:rtl w:val="0"/>
        </w:rPr>
        <w:t xml:space="preserve">Tucker, P. (2017). </w:t>
      </w:r>
      <w:r w:rsidDel="00000000" w:rsidR="00000000" w:rsidRPr="00000000">
        <w:rPr>
          <w:i w:val="1"/>
          <w:iCs w:val="1"/>
          <w:rtl w:val="0"/>
        </w:rPr>
        <w:t xml:space="preserve">Secrets of acting Shakespeare : the original approach</w:t>
      </w:r>
      <w:r w:rsidDel="00000000" w:rsidR="00000000" w:rsidRPr="00000000">
        <w:rPr>
          <w:rtl w:val="0"/>
        </w:rPr>
        <w:t xml:space="preserve">. London And New York Routledge.</w:t>
      </w:r>
    </w:p>
    <w:p w:rsidR="00000000" w:rsidDel="00000000" w:rsidP="00000000" w:rsidRDefault="00000000" w:rsidRPr="00000000" w14:paraId="000000AB">
      <w:pPr>
        <w:spacing w:after="240" w:line="360" w:lineRule="auto"/>
        <w:rPr/>
      </w:pPr>
      <w:r w:rsidDel="00000000" w:rsidR="00000000" w:rsidRPr="00000000">
        <w:rPr>
          <w:rtl w:val="0"/>
        </w:rPr>
        <w:t xml:space="preserve">www.rsc.org.uk. (n.d.). </w:t>
      </w:r>
      <w:r w:rsidDel="00000000" w:rsidR="00000000" w:rsidRPr="00000000">
        <w:rPr>
          <w:i w:val="1"/>
          <w:iCs w:val="1"/>
          <w:rtl w:val="0"/>
        </w:rPr>
        <w:t xml:space="preserve">Shakespeare Learning Zone | Royal Shakespeare Company | Royal Shakespeare Company</w:t>
      </w:r>
      <w:r w:rsidDel="00000000" w:rsidR="00000000" w:rsidRPr="00000000">
        <w:rPr>
          <w:rtl w:val="0"/>
        </w:rPr>
        <w:t xml:space="preserve">. [online] Available at: </w:t>
      </w:r>
      <w:hyperlink r:id="rId7">
        <w:r w:rsidDel="00000000" w:rsidR="00000000" w:rsidRPr="00000000">
          <w:rPr>
            <w:color w:val="1155cc"/>
            <w:u w:val="single"/>
            <w:rtl w:val="0"/>
          </w:rPr>
          <w:t xml:space="preserve">https://www.rsc.org.uk/shakespeare-learning-zone/</w:t>
        </w:r>
      </w:hyperlink>
      <w:r w:rsidDel="00000000" w:rsidR="00000000" w:rsidRPr="00000000">
        <w:rPr>
          <w:rtl w:val="0"/>
        </w:rPr>
        <w:t xml:space="preserve">.</w:t>
      </w:r>
    </w:p>
    <w:p w:rsidR="00000000" w:rsidDel="00000000" w:rsidP="00000000" w:rsidRDefault="00000000" w:rsidRPr="00000000" w14:paraId="000000AC">
      <w:pPr>
        <w:spacing w:after="240" w:line="360" w:lineRule="auto"/>
        <w:rPr/>
      </w:pPr>
      <w:r w:rsidDel="00000000" w:rsidR="00000000" w:rsidRPr="00000000">
        <w:rPr>
          <w:rtl w:val="0"/>
        </w:rPr>
      </w:r>
    </w:p>
    <w:p w:rsidR="00000000" w:rsidDel="00000000" w:rsidP="00000000" w:rsidRDefault="00000000" w:rsidRPr="00000000" w14:paraId="000000AD">
      <w:pPr>
        <w:spacing w:after="240" w:line="360" w:lineRule="auto"/>
        <w:rPr/>
      </w:pPr>
      <w:r w:rsidDel="00000000" w:rsidR="00000000" w:rsidRPr="00000000">
        <w:rPr>
          <w:rtl w:val="0"/>
        </w:rPr>
        <w:t xml:space="preserve">Appendix</w:t>
      </w:r>
    </w:p>
    <w:p w:rsidR="00000000" w:rsidDel="00000000" w:rsidP="00000000" w:rsidRDefault="00000000" w:rsidRPr="00000000" w14:paraId="000000AE">
      <w:pPr>
        <w:spacing w:after="240" w:line="360" w:lineRule="auto"/>
        <w:rPr/>
      </w:pPr>
      <w:r w:rsidDel="00000000" w:rsidR="00000000" w:rsidRPr="00000000">
        <w:rPr>
          <w:rtl w:val="0"/>
        </w:rPr>
      </w:r>
    </w:p>
    <w:p w:rsidR="00000000" w:rsidDel="00000000" w:rsidP="00000000" w:rsidRDefault="00000000" w:rsidRPr="00000000" w14:paraId="000000AF">
      <w:pPr>
        <w:spacing w:after="240" w:line="360" w:lineRule="auto"/>
        <w:rPr/>
      </w:pPr>
      <w:r w:rsidDel="00000000" w:rsidR="00000000" w:rsidRPr="00000000">
        <w:rPr>
          <w:rtl w:val="0"/>
        </w:rPr>
      </w:r>
    </w:p>
    <w:p w:rsidR="00000000" w:rsidDel="00000000" w:rsidP="00000000" w:rsidRDefault="00000000" w:rsidRPr="00000000" w14:paraId="000000B0">
      <w:pPr>
        <w:spacing w:after="240" w:line="360" w:lineRule="auto"/>
        <w:rPr/>
      </w:pPr>
      <w:r w:rsidDel="00000000" w:rsidR="00000000" w:rsidRPr="00000000">
        <w:rPr/>
        <w:drawing>
          <wp:inline distB="114300" distT="114300" distL="114300" distR="114300">
            <wp:extent cx="5731200" cy="7645400"/>
            <wp:effectExtent b="0" l="0" r="0" t="0"/>
            <wp:docPr id="1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6" name="image13.jpg"/>
            <a:graphic>
              <a:graphicData uri="http://schemas.openxmlformats.org/drawingml/2006/picture">
                <pic:pic>
                  <pic:nvPicPr>
                    <pic:cNvPr id="0" name="image13.jpg"/>
                    <pic:cNvPicPr preferRelativeResize="0"/>
                  </pic:nvPicPr>
                  <pic:blipFill>
                    <a:blip r:embed="rId9"/>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5" name="image11.jpg"/>
            <a:graphic>
              <a:graphicData uri="http://schemas.openxmlformats.org/drawingml/2006/picture">
                <pic:pic>
                  <pic:nvPicPr>
                    <pic:cNvPr id="0" name="image11.jpg"/>
                    <pic:cNvPicPr preferRelativeResize="0"/>
                  </pic:nvPicPr>
                  <pic:blipFill>
                    <a:blip r:embed="rId10"/>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1"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9"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8"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3"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 name="image14.jpg"/>
            <a:graphic>
              <a:graphicData uri="http://schemas.openxmlformats.org/drawingml/2006/picture">
                <pic:pic>
                  <pic:nvPicPr>
                    <pic:cNvPr id="0" name="image14.jpg"/>
                    <pic:cNvPicPr preferRelativeResize="0"/>
                  </pic:nvPicPr>
                  <pic:blipFill>
                    <a:blip r:embed="rId15"/>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6" name="image16.jpg"/>
            <a:graphic>
              <a:graphicData uri="http://schemas.openxmlformats.org/drawingml/2006/picture">
                <pic:pic>
                  <pic:nvPicPr>
                    <pic:cNvPr id="0" name="image16.jpg"/>
                    <pic:cNvPicPr preferRelativeResize="0"/>
                  </pic:nvPicPr>
                  <pic:blipFill>
                    <a:blip r:embed="rId16"/>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0" name="image1.jpg"/>
            <a:graphic>
              <a:graphicData uri="http://schemas.openxmlformats.org/drawingml/2006/picture">
                <pic:pic>
                  <pic:nvPicPr>
                    <pic:cNvPr id="0" name="image1.jpg"/>
                    <pic:cNvPicPr preferRelativeResize="0"/>
                  </pic:nvPicPr>
                  <pic:blipFill>
                    <a:blip r:embed="rId17"/>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4" name="image10.jpg"/>
            <a:graphic>
              <a:graphicData uri="http://schemas.openxmlformats.org/drawingml/2006/picture">
                <pic:pic>
                  <pic:nvPicPr>
                    <pic:cNvPr id="0" name="image10.jpg"/>
                    <pic:cNvPicPr preferRelativeResize="0"/>
                  </pic:nvPicPr>
                  <pic:blipFill>
                    <a:blip r:embed="rId18"/>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4" name="image9.jpg"/>
            <a:graphic>
              <a:graphicData uri="http://schemas.openxmlformats.org/drawingml/2006/picture">
                <pic:pic>
                  <pic:nvPicPr>
                    <pic:cNvPr id="0" name="image9.jpg"/>
                    <pic:cNvPicPr preferRelativeResize="0"/>
                  </pic:nvPicPr>
                  <pic:blipFill>
                    <a:blip r:embed="rId19"/>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2" name="image2.jpg"/>
            <a:graphic>
              <a:graphicData uri="http://schemas.openxmlformats.org/drawingml/2006/picture">
                <pic:pic>
                  <pic:nvPicPr>
                    <pic:cNvPr id="0" name="image2.jpg"/>
                    <pic:cNvPicPr preferRelativeResize="0"/>
                  </pic:nvPicPr>
                  <pic:blipFill>
                    <a:blip r:embed="rId20"/>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2" name="image12.jpg"/>
            <a:graphic>
              <a:graphicData uri="http://schemas.openxmlformats.org/drawingml/2006/picture">
                <pic:pic>
                  <pic:nvPicPr>
                    <pic:cNvPr id="0" name="image12.jpg"/>
                    <pic:cNvPicPr preferRelativeResize="0"/>
                  </pic:nvPicPr>
                  <pic:blipFill>
                    <a:blip r:embed="rId21"/>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13" name="image15.jpg"/>
            <a:graphic>
              <a:graphicData uri="http://schemas.openxmlformats.org/drawingml/2006/picture">
                <pic:pic>
                  <pic:nvPicPr>
                    <pic:cNvPr id="0" name="image15.jpg"/>
                    <pic:cNvPicPr preferRelativeResize="0"/>
                  </pic:nvPicPr>
                  <pic:blipFill>
                    <a:blip r:embed="rId22"/>
                    <a:srcRect b="0" l="0" r="0" t="0"/>
                    <a:stretch>
                      <a:fillRect/>
                    </a:stretch>
                  </pic:blipFill>
                  <pic:spPr>
                    <a:xfrm>
                      <a:off x="0" y="0"/>
                      <a:ext cx="5731200" cy="7645400"/>
                    </a:xfrm>
                    <a:prstGeom prst="rect"/>
                    <a:ln/>
                  </pic:spPr>
                </pic:pic>
              </a:graphicData>
            </a:graphic>
          </wp:inline>
        </w:drawing>
      </w:r>
      <w:r w:rsidDel="00000000" w:rsidR="00000000" w:rsidRPr="00000000">
        <w:rPr/>
        <w:drawing>
          <wp:inline distB="114300" distT="114300" distL="114300" distR="114300">
            <wp:extent cx="5731200" cy="7645400"/>
            <wp:effectExtent b="0" l="0" r="0" t="0"/>
            <wp:docPr id="7" name="image8.jpg"/>
            <a:graphic>
              <a:graphicData uri="http://schemas.openxmlformats.org/drawingml/2006/picture">
                <pic:pic>
                  <pic:nvPicPr>
                    <pic:cNvPr id="0" name="image8.jpg"/>
                    <pic:cNvPicPr preferRelativeResize="0"/>
                  </pic:nvPicPr>
                  <pic:blipFill>
                    <a:blip r:embed="rId23"/>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spacing w:after="240" w:line="360" w:lineRule="auto"/>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jpg"/><Relationship Id="rId11" Type="http://schemas.openxmlformats.org/officeDocument/2006/relationships/image" Target="media/image4.jpg"/><Relationship Id="rId22" Type="http://schemas.openxmlformats.org/officeDocument/2006/relationships/image" Target="media/image15.jpg"/><Relationship Id="rId10" Type="http://schemas.openxmlformats.org/officeDocument/2006/relationships/image" Target="media/image11.jpg"/><Relationship Id="rId21" Type="http://schemas.openxmlformats.org/officeDocument/2006/relationships/image" Target="media/image12.jpg"/><Relationship Id="rId13" Type="http://schemas.openxmlformats.org/officeDocument/2006/relationships/image" Target="media/image7.jpg"/><Relationship Id="rId12" Type="http://schemas.openxmlformats.org/officeDocument/2006/relationships/image" Target="media/image6.jpg"/><Relationship Id="rId23"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jpg"/><Relationship Id="rId15" Type="http://schemas.openxmlformats.org/officeDocument/2006/relationships/image" Target="media/image14.jpg"/><Relationship Id="rId14" Type="http://schemas.openxmlformats.org/officeDocument/2006/relationships/image" Target="media/image5.jpg"/><Relationship Id="rId17" Type="http://schemas.openxmlformats.org/officeDocument/2006/relationships/image" Target="media/image1.jpg"/><Relationship Id="rId16" Type="http://schemas.openxmlformats.org/officeDocument/2006/relationships/image" Target="media/image16.jpg"/><Relationship Id="rId5" Type="http://schemas.openxmlformats.org/officeDocument/2006/relationships/styles" Target="styles.xml"/><Relationship Id="rId19" Type="http://schemas.openxmlformats.org/officeDocument/2006/relationships/image" Target="media/image9.jpg"/><Relationship Id="rId6" Type="http://schemas.openxmlformats.org/officeDocument/2006/relationships/hyperlink" Target="https://gcorpmedia.com/knowledge-center/the-basics-of-voice-resonance/" TargetMode="External"/><Relationship Id="rId18" Type="http://schemas.openxmlformats.org/officeDocument/2006/relationships/image" Target="media/image10.jpg"/><Relationship Id="rId7" Type="http://schemas.openxmlformats.org/officeDocument/2006/relationships/hyperlink" Target="https://www.rsc.org.uk/shakespeare-learning-zone/" TargetMode="External"/><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