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Ind w:w="390" w:type="dxa"/>
      </w:tblPr>
      <w:tblGrid>
        <w:gridCol w:w="2014"/>
        <w:gridCol w:w="3062"/>
        <w:gridCol w:w="3874"/>
      </w:tblGrid>
      <w:tr>
        <w:trPr>
          <w:trHeight w:val="300" w:hRule="auto"/>
          <w:jc w:val="left"/>
        </w:trPr>
        <w:tc>
          <w:tcPr>
            <w:tcW w:w="2014"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Student name:</w:t>
            </w:r>
          </w:p>
        </w:tc>
        <w:tc>
          <w:tcPr>
            <w:tcW w:w="3062"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Desislava Markova</w:t>
            </w:r>
          </w:p>
        </w:tc>
      </w:tr>
      <w:tr>
        <w:trPr>
          <w:trHeight w:val="300" w:hRule="auto"/>
          <w:jc w:val="left"/>
        </w:trPr>
        <w:tc>
          <w:tcPr>
            <w:tcW w:w="2014"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16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Student number:</w:t>
            </w:r>
          </w:p>
        </w:tc>
        <w:tc>
          <w:tcPr>
            <w:tcW w:w="3062"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16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2512936</w:t>
            </w:r>
          </w:p>
        </w:tc>
      </w:tr>
      <w:tr>
        <w:trPr>
          <w:trHeight w:val="300" w:hRule="auto"/>
          <w:jc w:val="left"/>
        </w:trPr>
        <w:tc>
          <w:tcPr>
            <w:tcW w:w="2014"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Programme:</w:t>
            </w:r>
          </w:p>
        </w:tc>
        <w:tc>
          <w:tcPr>
            <w:tcW w:w="6936" w:type="dxa"/>
            <w:gridSpan w:val="2"/>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MSc Public Health and Social Care in Practice</w:t>
            </w:r>
          </w:p>
        </w:tc>
      </w:tr>
      <w:tr>
        <w:trPr>
          <w:trHeight w:val="300" w:hRule="auto"/>
          <w:jc w:val="left"/>
        </w:trPr>
        <w:tc>
          <w:tcPr>
            <w:tcW w:w="2014"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Module:</w:t>
            </w:r>
          </w:p>
        </w:tc>
        <w:tc>
          <w:tcPr>
            <w:tcW w:w="6936" w:type="dxa"/>
            <w:gridSpan w:val="2"/>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Quality Assurance and Service Improvements</w:t>
            </w:r>
          </w:p>
          <w:p>
            <w:pPr>
              <w:spacing w:before="120" w:after="12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 </w:t>
            </w:r>
          </w:p>
        </w:tc>
      </w:tr>
      <w:tr>
        <w:trPr>
          <w:trHeight w:val="300" w:hRule="auto"/>
          <w:jc w:val="left"/>
        </w:trPr>
        <w:tc>
          <w:tcPr>
            <w:tcW w:w="2014"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Module code:</w:t>
            </w:r>
          </w:p>
        </w:tc>
        <w:tc>
          <w:tcPr>
            <w:tcW w:w="3062"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LCHS7006</w:t>
            </w:r>
          </w:p>
          <w:p>
            <w:pPr>
              <w:spacing w:before="120" w:after="12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 </w:t>
            </w:r>
          </w:p>
        </w:tc>
      </w:tr>
      <w:tr>
        <w:trPr>
          <w:trHeight w:val="300" w:hRule="auto"/>
          <w:jc w:val="left"/>
        </w:trPr>
        <w:tc>
          <w:tcPr>
            <w:tcW w:w="2014"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Lecturer:</w:t>
            </w:r>
          </w:p>
        </w:tc>
        <w:tc>
          <w:tcPr>
            <w:tcW w:w="3062"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Dr Fahad Khan</w:t>
            </w:r>
          </w:p>
        </w:tc>
      </w:tr>
      <w:tr>
        <w:trPr>
          <w:trHeight w:val="300" w:hRule="auto"/>
          <w:jc w:val="left"/>
        </w:trPr>
        <w:tc>
          <w:tcPr>
            <w:tcW w:w="2014"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36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Assignment Title:</w:t>
            </w:r>
          </w:p>
        </w:tc>
        <w:tc>
          <w:tcPr>
            <w:tcW w:w="3062"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360"/>
              <w:ind w:right="0" w:left="0" w:firstLine="0"/>
              <w:jc w:val="left"/>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Component 2 </w:t>
            </w:r>
          </w:p>
          <w:p>
            <w:pPr>
              <w:spacing w:before="120" w:after="120" w:line="360"/>
              <w:ind w:right="0" w:left="0" w:firstLine="0"/>
              <w:jc w:val="left"/>
              <w:rPr>
                <w:spacing w:val="0"/>
                <w:position w:val="0"/>
                <w:sz w:val="22"/>
                <w:shd w:fill="auto" w:val="clear"/>
              </w:rPr>
            </w:pPr>
            <w:r>
              <w:rPr>
                <w:rFonts w:ascii="Arial" w:hAnsi="Arial" w:cs="Arial" w:eastAsia="Arial"/>
                <w:b/>
                <w:color w:val="000000"/>
                <w:spacing w:val="0"/>
                <w:position w:val="0"/>
                <w:sz w:val="22"/>
                <w:shd w:fill="auto" w:val="clear"/>
              </w:rPr>
              <w:t xml:space="preserve">Service Improvement Report</w:t>
            </w:r>
          </w:p>
        </w:tc>
      </w:tr>
    </w:tbl>
    <w:p>
      <w:pPr>
        <w:spacing w:before="0" w:after="160" w:line="360"/>
        <w:ind w:right="0" w:left="0" w:firstLine="0"/>
        <w:jc w:val="left"/>
        <w:rPr>
          <w:rFonts w:ascii="Arial" w:hAnsi="Arial" w:cs="Arial" w:eastAsia="Arial"/>
          <w:color w:val="000000"/>
          <w:spacing w:val="0"/>
          <w:position w:val="0"/>
          <w:sz w:val="22"/>
          <w:shd w:fill="auto" w:val="clear"/>
        </w:rPr>
      </w:pPr>
    </w:p>
    <w:p>
      <w:pPr>
        <w:spacing w:before="0" w:after="160" w:line="360"/>
        <w:ind w:right="0" w:left="0" w:firstLine="0"/>
        <w:jc w:val="left"/>
        <w:rPr>
          <w:rFonts w:ascii="Arial" w:hAnsi="Arial" w:cs="Arial" w:eastAsia="Arial"/>
          <w:color w:val="000000"/>
          <w:spacing w:val="0"/>
          <w:position w:val="0"/>
          <w:sz w:val="22"/>
          <w:shd w:fill="auto" w:val="clear"/>
        </w:rPr>
      </w:pPr>
    </w:p>
    <w:p>
      <w:pPr>
        <w:spacing w:before="0" w:after="160" w:line="360"/>
        <w:ind w:right="0" w:left="0" w:firstLine="0"/>
        <w:jc w:val="left"/>
        <w:rPr>
          <w:rFonts w:ascii="Arial" w:hAnsi="Arial" w:cs="Arial" w:eastAsia="Arial"/>
          <w:color w:val="000000"/>
          <w:spacing w:val="0"/>
          <w:position w:val="0"/>
          <w:sz w:val="22"/>
          <w:shd w:fill="auto" w:val="clear"/>
        </w:rPr>
      </w:pPr>
    </w:p>
    <w:p>
      <w:pPr>
        <w:spacing w:before="0" w:after="160" w:line="360"/>
        <w:ind w:right="0" w:left="0" w:firstLine="0"/>
        <w:jc w:val="left"/>
        <w:rPr>
          <w:rFonts w:ascii="Arial" w:hAnsi="Arial" w:cs="Arial" w:eastAsia="Arial"/>
          <w:color w:val="000000"/>
          <w:spacing w:val="0"/>
          <w:position w:val="0"/>
          <w:sz w:val="22"/>
          <w:shd w:fill="auto" w:val="clear"/>
        </w:rPr>
      </w:pPr>
    </w:p>
    <w:p>
      <w:pPr>
        <w:spacing w:before="0" w:after="160" w:line="360"/>
        <w:ind w:right="0" w:left="0" w:firstLine="0"/>
        <w:jc w:val="left"/>
        <w:rPr>
          <w:rFonts w:ascii="Arial" w:hAnsi="Arial" w:cs="Arial" w:eastAsia="Arial"/>
          <w:color w:val="000000"/>
          <w:spacing w:val="0"/>
          <w:position w:val="0"/>
          <w:sz w:val="22"/>
          <w:shd w:fill="auto" w:val="clear"/>
        </w:rPr>
      </w:pPr>
    </w:p>
    <w:p>
      <w:pPr>
        <w:spacing w:before="0" w:after="160" w:line="360"/>
        <w:ind w:right="0" w:left="0" w:firstLine="0"/>
        <w:jc w:val="left"/>
        <w:rPr>
          <w:rFonts w:ascii="Arial" w:hAnsi="Arial" w:cs="Arial" w:eastAsia="Arial"/>
          <w:color w:val="000000"/>
          <w:spacing w:val="0"/>
          <w:position w:val="0"/>
          <w:sz w:val="22"/>
          <w:shd w:fill="auto" w:val="clear"/>
        </w:rPr>
      </w:pPr>
    </w:p>
    <w:p>
      <w:pPr>
        <w:spacing w:before="0" w:after="160" w:line="360"/>
        <w:ind w:right="0" w:left="0" w:firstLine="0"/>
        <w:jc w:val="left"/>
        <w:rPr>
          <w:rFonts w:ascii="Arial" w:hAnsi="Arial" w:cs="Arial" w:eastAsia="Arial"/>
          <w:color w:val="000000"/>
          <w:spacing w:val="0"/>
          <w:position w:val="0"/>
          <w:sz w:val="22"/>
          <w:shd w:fill="auto" w:val="clear"/>
        </w:rPr>
      </w:pPr>
    </w:p>
    <w:p>
      <w:pPr>
        <w:spacing w:before="0" w:after="160" w:line="360"/>
        <w:ind w:right="0" w:left="0" w:firstLine="0"/>
        <w:jc w:val="left"/>
        <w:rPr>
          <w:rFonts w:ascii="Arial" w:hAnsi="Arial" w:cs="Arial" w:eastAsia="Arial"/>
          <w:color w:val="000000"/>
          <w:spacing w:val="0"/>
          <w:position w:val="0"/>
          <w:sz w:val="22"/>
          <w:shd w:fill="auto" w:val="clear"/>
        </w:rPr>
      </w:pPr>
    </w:p>
    <w:p>
      <w:pPr>
        <w:spacing w:before="0" w:after="160" w:line="360"/>
        <w:ind w:right="0" w:left="0" w:firstLine="0"/>
        <w:jc w:val="left"/>
        <w:rPr>
          <w:rFonts w:ascii="Arial" w:hAnsi="Arial" w:cs="Arial" w:eastAsia="Arial"/>
          <w:color w:val="000000"/>
          <w:spacing w:val="0"/>
          <w:position w:val="0"/>
          <w:sz w:val="22"/>
          <w:shd w:fill="auto" w:val="clear"/>
        </w:rPr>
      </w:pPr>
    </w:p>
    <w:p>
      <w:pPr>
        <w:spacing w:before="0" w:after="160" w:line="360"/>
        <w:ind w:right="0" w:left="0" w:firstLine="0"/>
        <w:jc w:val="left"/>
        <w:rPr>
          <w:rFonts w:ascii="Arial" w:hAnsi="Arial" w:cs="Arial" w:eastAsia="Arial"/>
          <w:b/>
          <w:color w:val="000000"/>
          <w:spacing w:val="0"/>
          <w:position w:val="0"/>
          <w:sz w:val="28"/>
          <w:shd w:fill="auto" w:val="clear"/>
        </w:rPr>
      </w:pPr>
    </w:p>
    <w:p>
      <w:pPr>
        <w:spacing w:before="0" w:after="160" w:line="360"/>
        <w:ind w:right="0" w:left="0" w:firstLine="0"/>
        <w:jc w:val="center"/>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Service Improvement Report: A Critical Analysis of Quality Management and Service Improvement in the Bristol Royal Infirmary Inquiry</w:t>
      </w:r>
    </w:p>
    <w:p>
      <w:pPr>
        <w:spacing w:before="0" w:after="160" w:line="360"/>
        <w:ind w:right="0" w:left="0" w:firstLine="0"/>
        <w:jc w:val="center"/>
        <w:rPr>
          <w:rFonts w:ascii="Arial" w:hAnsi="Arial" w:cs="Arial" w:eastAsia="Arial"/>
          <w:b/>
          <w:color w:val="000000"/>
          <w:spacing w:val="0"/>
          <w:position w:val="0"/>
          <w:sz w:val="22"/>
          <w:shd w:fill="auto" w:val="clear"/>
        </w:rPr>
      </w:pPr>
    </w:p>
    <w:p>
      <w:pPr>
        <w:spacing w:before="0" w:after="160" w:line="360"/>
        <w:ind w:right="0" w:left="0" w:firstLine="0"/>
        <w:jc w:val="center"/>
        <w:rPr>
          <w:rFonts w:ascii="Arial" w:hAnsi="Arial" w:cs="Arial" w:eastAsia="Arial"/>
          <w:b/>
          <w:color w:val="000000"/>
          <w:spacing w:val="0"/>
          <w:position w:val="0"/>
          <w:sz w:val="22"/>
          <w:shd w:fill="auto" w:val="clear"/>
        </w:rPr>
      </w:pPr>
    </w:p>
    <w:p>
      <w:pPr>
        <w:spacing w:before="0" w:after="160" w:line="360"/>
        <w:ind w:right="0" w:left="0" w:firstLine="0"/>
        <w:jc w:val="center"/>
        <w:rPr>
          <w:rFonts w:ascii="Arial" w:hAnsi="Arial" w:cs="Arial" w:eastAsia="Arial"/>
          <w:b/>
          <w:color w:val="000000"/>
          <w:spacing w:val="0"/>
          <w:position w:val="0"/>
          <w:sz w:val="22"/>
          <w:shd w:fill="auto" w:val="clear"/>
        </w:rPr>
      </w:pPr>
    </w:p>
    <w:p>
      <w:pPr>
        <w:spacing w:before="100" w:after="10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Introduction</w:t>
      </w:r>
    </w:p>
    <w:p>
      <w:pPr>
        <w:spacing w:before="240" w:after="24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Quality improvement is fundamental to modern health and social care and aims to ensure that services are safe, effective, person-centred, timely, efficient and equitable (World Health Organization, 2021). These internationally recognised dimensions provide a foundation for systematically evaluating and improving healthcare quality (Institute of Medicine, 2001). Contemporary quality improvement requires healthcare organisations to move beyond reactive responses to adverse events by fostering continuous learning, proactively identifying quality problems and implementing systematic improvements to enhance patient care (Endalamaw et al., 2024). Patient safety failures commonly emerge through interactions between organisational, managerial and system-level weaknesses rather than isolated clinical errors (Reason, 2000). Consequently, quality assurance and service improvement remain central NHS priorities, supported by clinical governance, evidence-based practice, organisational learning and integrated care (NHS England, 2023; Health and Care Act 2022).</w:t>
      </w:r>
    </w:p>
    <w:p>
      <w:pPr>
        <w:spacing w:before="240" w:after="24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Bristol Royal Infirmary Inquiry remains one of the most significant patient safety cases in NHS history and continues to inform contemporary quality improvement (Kennedy, 2001). The Inquiry investigated paediatric cardiac surgery undertaken between 1984 and 1995 following concerns about unusually high mortality among children undergoing complex congenital heart surgery (Kennedy, 2001). Approximately 1,827 children underwent cardiac surgery during this period, with outcomes significantly poorer than those achieved by comparable UK specialist centres (Kennedy, 2001). The Inquiry estimated approximately 30</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35 excess deaths among children younger than one year, while mortality for infant cardiac surgery at Bristol was reported to be approximately twice that of comparable centres (Kennedy, 2001; Mayor, 2001; Spiegelhalter, 2002).</w:t>
      </w:r>
    </w:p>
    <w:p>
      <w:pPr>
        <w:spacing w:before="240" w:after="24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failures affected children, families, healthcare professionals, managers, regulators and public confidence in the NHS (Kennedy, 2001; Francis, 2013). The Inquiry identified interconnected deficiencies in leadership, clinical governance, audit, communication, regulatory oversight and an organisational culture that discouraged challenge (Kennedy, 2001). Similar patterns identified in subsequent NHS inquiries demonstrate the continuing importance of effective leadership, positive safety cultures and organisational learning in preventing avoidable harm and improving patient outcomes (Francis, 2013; Braithwaite et al., 2017; Mannion and Davies, 2018).</w:t>
      </w:r>
    </w:p>
    <w:p>
      <w:pPr>
        <w:spacing w:before="240" w:after="24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2"/>
          <w:shd w:fill="auto" w:val="clear"/>
        </w:rPr>
        <w:t xml:space="preserve">This report critically evaluates the Bristol Royal Infirmary quality failures and develops evidence-based recommendations for sustainable service improvement. Root causes are examined through the Fishbone Diagram and 5 Whys technique, while the Donabedian Model evaluates organisational structures, clinical processes and patient outcomes (Donabedian, 1988; Health Foundation, 2021). PESTLE analysis assesses wider political, economic, social, technological, legal and environmental influences, while Kotter's Eight-Step Change Model and the Plan</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Do</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Study</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Act cycle provide frameworks for implementing and evaluating improvement (Walshe and Smith, 2016; Kotter, 2012; NHS England, 2023).</w:t>
      </w:r>
    </w:p>
    <w:p>
      <w:pPr>
        <w:spacing w:before="240" w:after="240" w:line="360"/>
        <w:ind w:right="0" w:left="0" w:firstLine="0"/>
        <w:jc w:val="left"/>
        <w:rPr>
          <w:rFonts w:ascii="Arial" w:hAnsi="Arial" w:cs="Arial" w:eastAsia="Arial"/>
          <w:color w:val="auto"/>
          <w:spacing w:val="0"/>
          <w:position w:val="0"/>
          <w:sz w:val="22"/>
          <w:shd w:fill="auto" w:val="clear"/>
        </w:rPr>
      </w:pPr>
    </w:p>
    <w:p>
      <w:pPr>
        <w:spacing w:before="100" w:after="10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Root Cause Analysis</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Root cause analysis is a systematic approach for identifying underlying contributory factors associated with adverse events rather than attributing harm solely to immediate errors or individuals (NHS England, 2022). Within healthcare, it supports organisational learning by examining how interacting system weaknesses contribute to harm and identifying opportunities for sustainable improvement (Health Foundation, 2021). The Bristol Inquiry concluded that excessive mortality in paediatric cardiac surgery resulted from interconnected organisational, managerial and clinical failures rather than individual actions alone (Kennedy, 2001). The Fishbone Diagram and 5 Whys technique are therefore used complementarily to provide breadth in identifying contributory factors and depth in tracing underlying causal mechanisms (Health Foundation, 2021).</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Fishbone Diagram, or Ishikawa Diagram, categorises multiple contributory factors and is particularly valuable for analysing complex healthcare failures where several system weaknesses interact (Walshe and Smith, 2016; Reason, 2000). Applied to Bristol, it identifies interconnected deficiencies in leadership, governance, communication, training, audit and organisational culture (Kennedy, 2001). Leadership failures delayed responses to evidence of poor outcomes, while weak governance limited accountability and oversight of clinical performance (Kennedy, 2001; Francis, 2013). Professional hierarchies discouraged staff from challenging senior clinicians, and inadequate multidisciplinary collaboration and specialist development restricted opportunities for organisational learning (Mannion and Davies, 2018; Walshe and Smith, 2016). Mortality data were collected but not adequately analysed or acted upon, allowing poor performance to continue over several years (Kennedy, 2001).</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auto"/>
          <w:spacing w:val="0"/>
          <w:position w:val="0"/>
          <w:sz w:val="22"/>
          <w:shd w:fill="auto" w:val="clear"/>
        </w:rPr>
        <w:t xml:space="preserve">To systematically examine the underlying causes of poor patient outcomes at Bristol Royal Infirmary, a Fishbone Diagram was applied to identify the interconnected organisational, managerial and system-level factors contributing to excessive mortality in paediatric cardiac surgery (Kennedy, 2001; Health Foundation, 2021). As illustrated in Figure 1, the analysis categorises key contributory factors across leadership, clinical governance, communication and culture, clinical audit and data, multidisciplinary teamwork, and external regulatory oversight, demonstrating that the failures resulted from multiple interacting system weaknesses rather than isolated clinical errors (Kennedy, 2001; Reason, 2000).</w:t>
      </w:r>
    </w:p>
    <w:p>
      <w:pPr>
        <w:spacing w:before="100" w:after="100" w:line="240"/>
        <w:ind w:right="-356" w:left="0" w:firstLine="0"/>
        <w:jc w:val="left"/>
        <w:rPr>
          <w:rFonts w:ascii="Calibri" w:hAnsi="Calibri" w:cs="Calibri" w:eastAsia="Calibri"/>
          <w:color w:val="auto"/>
          <w:spacing w:val="0"/>
          <w:position w:val="0"/>
          <w:sz w:val="22"/>
          <w:shd w:fill="auto" w:val="clear"/>
        </w:rPr>
      </w:pPr>
      <w:r>
        <w:object w:dxaOrig="9915" w:dyaOrig="8070">
          <v:rect xmlns:o="urn:schemas-microsoft-com:office:office" xmlns:v="urn:schemas-microsoft-com:vml" id="rectole0000000000" style="width:495.750000pt;height:403.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100" w:after="100" w:line="360"/>
        <w:ind w:right="0" w:left="0" w:firstLine="0"/>
        <w:jc w:val="left"/>
        <w:rPr>
          <w:rFonts w:ascii="Arial" w:hAnsi="Arial" w:cs="Arial" w:eastAsia="Arial"/>
          <w:color w:val="000000"/>
          <w:spacing w:val="0"/>
          <w:position w:val="0"/>
          <w:sz w:val="22"/>
          <w:shd w:fill="auto" w:val="clear"/>
        </w:rPr>
      </w:pP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auto"/>
          <w:spacing w:val="0"/>
          <w:position w:val="0"/>
          <w:sz w:val="22"/>
          <w:shd w:fill="auto" w:val="clear"/>
        </w:rPr>
        <w:t xml:space="preserve">Figure 1. Fishbone Diagram illustrating the systemic contributory factors associated with poor patient outcomes in paediatric cardiac surgery at Bristol Royal Infirmary (1984</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1995).</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However, the Fishbone Diagram identifies potential contributory factors without necessarily establishing causal relationships or determining their relative importance (Health Foundation, 2021). The 5 Whys therefore complements it by tracing deeper organisational causes through repeated questioning (Health Foundation, 2021). In Bristol, excessive mortality persisted because poor outcomes were not identified and addressed promptly; this reflected inadequate audit and performance monitoring, which in turn resulted from weak governance and leadership accountability (Kennedy, 2001). These deficiencies were reinforced by an organisational culture that discouraged openness, learning and professional challenge, ultimately revealing the absence of a sufficiently patient-centred safety culture (Kennedy, 2001; Francis, 2013).</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5 Whys offers greater causal depth but may oversimplify healthcare failures by assuming relatively linear relationships between causes and outcomes (Braithwaite et al., 2017). Conversely, the Fishbone Diagram captures a broader range of contributory factors but does not prioritise their influence, meaning neither framework independently captures the full complexity of healthcare systems (Braithwaite et al., 2017). Their combined application therefore provides a more comprehensive analysis by integrating breadth and depth while reducing the limitations associated with relying on either framework alone (Health Foundation, 2021).</w:t>
      </w:r>
    </w:p>
    <w:p>
      <w:pPr>
        <w:spacing w:before="100" w:after="100" w:line="360"/>
        <w:ind w:right="0" w:left="0" w:firstLine="0"/>
        <w:jc w:val="left"/>
        <w:rPr>
          <w:rFonts w:ascii="Times New Roman" w:hAnsi="Times New Roman" w:cs="Times New Roman" w:eastAsia="Times New Roman"/>
          <w:color w:val="auto"/>
          <w:spacing w:val="0"/>
          <w:position w:val="0"/>
          <w:sz w:val="24"/>
          <w:shd w:fill="auto" w:val="clear"/>
        </w:rPr>
      </w:pPr>
      <w:r>
        <w:rPr>
          <w:rFonts w:ascii="Arial" w:hAnsi="Arial" w:cs="Arial" w:eastAsia="Arial"/>
          <w:color w:val="000000"/>
          <w:spacing w:val="0"/>
          <w:position w:val="0"/>
          <w:sz w:val="22"/>
          <w:shd w:fill="auto" w:val="clear"/>
        </w:rPr>
        <w:t xml:space="preserve">The identified causes are supported by multiple forms of evidence from the Bristol Inquiry, including mortality statistics, audit findings, professional testimony and organisational documentation, strengthening confidence that they reflect systemic weaknesses rather than isolated opinions (Kennedy, 2001; Health Foundation, 2021). Nevertheless, historical inquiry data require cautious interpretation because healthcare governance, regulation and patient safety systems have changed substantially since the events occurred (NHS England, 2022). A systems-based approach recognises that adverse outcomes emerge through interactions among organisational, clinical and human factors and therefore requires improvement strategies directed at the healthcare system as a whole rather than primarily blaming individuals (Vincent and Amalberti, 2016). Consequently, sustainable improvement requires simultaneous attention to governance, leadership, workforce culture and clinical processes because unresolved weaknesses in one area may continue to generate patient safety risks elsewhere in the system (Braithwaite et al., 2017; NHS England, 2022).</w:t>
      </w:r>
    </w:p>
    <w:p>
      <w:pPr>
        <w:spacing w:before="100" w:after="100" w:line="360"/>
        <w:ind w:right="0" w:left="0" w:firstLine="0"/>
        <w:jc w:val="left"/>
        <w:rPr>
          <w:rFonts w:ascii="Arial" w:hAnsi="Arial" w:cs="Arial" w:eastAsia="Arial"/>
          <w:color w:val="000000"/>
          <w:spacing w:val="0"/>
          <w:position w:val="0"/>
          <w:sz w:val="22"/>
          <w:shd w:fill="auto" w:val="clear"/>
        </w:rPr>
      </w:pPr>
    </w:p>
    <w:p>
      <w:pPr>
        <w:spacing w:before="100" w:after="10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Quality Evaluation Using the Donabedian Model</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Donabedian Model is a widely recognised framework for evaluating healthcare quality through three interconnected dimensions: structure, process and outcomes (Donabedian, 1988). It proposes that effective organisational structures support appropriate clinical processes, which subsequently influence patient outcomes, making the model relevant to analysis of the Bristol Royal Infirmary failures (Donabedian, 1988; Kennedy, 2001).</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Structure refers to the organisational environment in which care is delivered, including leadership, governance, staffing, resources and organisational culture (Donabedian, 1988). At Bristol, weak clinical governance limited accountability and oversight of surgical performance, while leadership failed to respond effectively to evidence of poor outcomes (Kennedy, 2001; Francis, 2013). Regulatory deficiencies and professional hierarchies further discouraged openness and professional challenge, creating structural conditions in which patient safety concerns remained inadequately addressed (Francis, 2013; Mannion and Davies, 2018). Evidence indicates that strong governance, effective leadership and positive organisational cultures are associated with better patient safety outcomes, demonstrating the significance of these structural deficiencies (Braithwaite et al., 2017; Mannion and Davies, 2018).</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Process concerns how care is delivered through clinical decision-making, communication, multidisciplinary collaboration, audit and evidence-based practice (Donabedian, 1988). At Bristol, mortality data were collected but not adequately analysed or benchmarked against comparable specialist centres, reducing opportunities for early identification of deteriorating performance (Kennedy, 2001). Ineffective communication between clinicians, managers and regulators prevented appropriate escalation of concerns, while limited multidisciplinary learning reduced organisational capacity for improvement (Kennedy, 2001; Walshe and Smith, 2016). The failure to respond effectively to concerns raised by healthcare professionals also reflected a culture that discouraged transparency and learning from adverse events (Dixon-Woods et al., 2014). These findings demonstrate that clinical competence alone cannot ensure quality without effective communication, governance and organisational learning (Health Foundation, 2021).</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Outcomes represent the consequences of healthcare delivery for patients, organisations and the wider system (Donabedian, 1988). Bristol's surgical outcomes were significantly poorer than those of comparable UK specialist cardiac centres, with approximately 30</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35 excess deaths among children younger than one year and infant cardiac surgery mortality reported at approximately twice that of other centres during part of the investigated period (Kennedy, 2001; Mayor, 2001; Spiegelhalter, 2002). Beyond mortality, the failures damaged public confidence and contributed to major reforms in clinical governance, quality assurance and patient safety (Francis, 2013; NHS England, 2023).</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Benchmarking against specialist cardiac centres demonstrated significant variation between Bristol's performance and expected standards, illustrating the importance of comparative data for identifying unwarranted variation and supporting improvement (Spiegelhalter, 2002; Kennedy, 2001). Contemporary quality standards and indicators provide measurable benchmarks through which healthcare organisations can evaluate performance and support evidence-based improvement (National Institute for Health and Care Excellence, no date). However, meaningful evaluation should combine outcome indicators with evidence concerning organisational structures and clinical processes because mortality data alone cannot fully explain differences in healthcare performance or quality (Donabedian, 1988; Health Foundation, 2021).</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Despite its value, the Donabedian Model may imply a relatively linear relationship between structure, process and outcomes, whereas healthcare systems involve complex interactions between organisational, cultural and human factors (Braithwaite et al., 2017). The framework also does not explicitly evaluate leadership behaviour, organisational culture or wider policy influences, all of which contributed significantly to the Bristol failures (Mannion and Davies, 2018; Francis, 2013). Nevertheless, combining Donabedian with root cause analysis and strategic frameworks provides a more comprehensive evaluation by linking quality measurement with understanding of underlying organisational and system-level causes (Health Foundation, 2021; Walshe and Smith, 2016).</w:t>
      </w:r>
    </w:p>
    <w:p>
      <w:pPr>
        <w:spacing w:before="100" w:after="10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Overall, the Donabedian Model demonstrates how weaknesses in organisational structures and clinical processes contributed to Bristol's poor patient outcomes (Kennedy, 2001; Donabedian, 1988).</w:t>
      </w:r>
    </w:p>
    <w:p>
      <w:pPr>
        <w:spacing w:before="100" w:after="10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Strategic Analysis Using PESTLE</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Strategic analysis enables healthcare organisations to examine wider external influences on service delivery, governance and patient safety (Walshe and Smith, 2016). PESTLE was selected because it evaluates political, economic, social, technological, legal and environmental influences and therefore provides a broad framework for examining the external context surrounding the Bristol Royal Infirmary failures (Walshe and Smith, 2016; Kennedy, 2001).</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Politically, national systems for clinical governance and performance monitoring were insufficiently developed during the period investigated, limiting external oversight and delaying intervention despite evidence of poor outcomes (Kennedy, 2001). Subsequent NHS reforms introduced stronger governance and patient safety arrangements to improve accountability and organisational learning (Francis, 2013; NHS England, 2023). Economically, limited investment in specialist services, clinical audit and workforce development may restrict opportunities for effective performance monitoring and continuous improvement, while investment in quality improvement can contribute to reduced avoidable harm and greater long-term efficiency (Kennedy, 2001; Health Foundation, 2021).</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Social factors were particularly significant because professional hierarchy, poor communication and reluctance to challenge senior clinicians contributed to an organisational culture in which concerns were not effectively escalated (Kennedy, 2001; Mannion and Davies, 2018). Contemporary patient safety policy consequently emphasises openness, multidisciplinary collaboration and organisational learning as essential components of safer care (NHS England, 2023).</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Technologically, although mortality data were collected at Bristol, they were not effectively analysed, benchmarked or used to support timely intervention (Kennedy, 2001). Modern digital audit systems, clinical registries and performance dashboards can enable earlier identification of unwarranted variation, although technology remains dependent upon effective governance and appropriate organisational responses to the data generated (Health Foundation, 2021; NHS England, 2023).</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Legally, inadequate accountability and regulatory oversight contributed to delayed intervention despite persistent evidence of poor outcomes (Kennedy, 2001). Subsequent developments in clinical governance, regulatory inspection and organisational accountability have strengthened the mechanisms intended to protect patients and support transparency across healthcare organisations (Francis, 2013; NHS England, 2023). The environmental dimension concerns the wider organisational and service context, including workforce pressures, service configuration and infrastructure, which can influence the capacity to deliver sustainable quality improvement (Walshe and Smith, 2016). At Bristol, deficiencies in leadership and multidisciplinary working created conditions in which poor performance remained insufficiently challenged (Kennedy, 2001).</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PESTLE is more appropriate than SWOT for this analysis because the Bristol failures were influenced by wider political, regulatory, technological and societal factors extending beyond internal organisational strengths and weaknesses (Kennedy, 2001; Francis, 2013). Although SWOT can support organisational planning by examining strengths, weaknesses, opportunities and threats, PESTLE provides broader analysis of the external system influences affecting healthcare quality and patient safety (Walshe and Smith, 2016). Nevertheless, PESTLE should not be viewed as universally superior because SWOT may provide greater insight when the primary objective is to evaluate internal organisational capability and readiness for change (Walshe and Smith, 2016). For the Bristol case, however, PESTLE provides stronger alignment with the historical, regulatory and system-level context of the failures (NHS England, 2023).</w:t>
      </w:r>
    </w:p>
    <w:p>
      <w:pPr>
        <w:keepNext w:val="true"/>
        <w:keepLines w:val="true"/>
        <w:spacing w:before="40" w:after="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Overall, PESTLE demonstrates that the Bristol failures were shaped by wider political, regulatory, technological and societal influences as well as internal organisational weaknesses (Kennedy, 2001; Francis, 2013). However, its emphasis on the external environment provides limited insight into internal power relationships, leadership behaviour and professional hierarchy, meaning it is most effective when combined with organisational and root-cause frameworks (Walshe and Smith, 2016; Mannion and Davies, 2018). </w:t>
      </w:r>
    </w:p>
    <w:p>
      <w:pPr>
        <w:keepNext w:val="true"/>
        <w:keepLines w:val="true"/>
        <w:spacing w:before="40" w:after="0" w:line="360"/>
        <w:ind w:right="0" w:left="0" w:firstLine="0"/>
        <w:jc w:val="left"/>
        <w:rPr>
          <w:rFonts w:ascii="Arial" w:hAnsi="Arial" w:cs="Arial" w:eastAsia="Arial"/>
          <w:b/>
          <w:color w:val="000000"/>
          <w:spacing w:val="0"/>
          <w:position w:val="0"/>
          <w:sz w:val="22"/>
          <w:shd w:fill="auto" w:val="clear"/>
        </w:rPr>
      </w:pPr>
    </w:p>
    <w:p>
      <w:pPr>
        <w:keepNext w:val="true"/>
        <w:keepLines w:val="true"/>
        <w:spacing w:before="40" w:after="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Recommendations</w:t>
      </w:r>
    </w:p>
    <w:p>
      <w:pPr>
        <w:spacing w:before="100" w:after="10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Bristol Royal Infirmary Inquiry identified interconnected failures in clinical governance, leadership, organisational culture, communication, audit and regulatory oversight, requiring coordinated interventions to strengthen accountability, patient safety and continuous learning (Kennedy, 2001; NHS England, 2023).</w:t>
      </w:r>
    </w:p>
    <w:p>
      <w:pPr>
        <w:spacing w:before="100" w:after="10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first recommendation is to strengthen clinical governance through clear accountability structures and monthly board-level review of mortality, complications, serious incidents and unresolved escalation concerns (Francis, 2013). Clinical governance committees should assign responsibility for each identified risk, establish documented actions and deadlines, and monitor completion through routine audit and patient safety indicators (Walshe and Smith, 2016; NHS England, 2023). Success should be demonstrated by timely escalation of concerns, improved audit compliance and documented evidence that emerging safety risks result in corrective action before avoidable harm occurs (NHS England, 2023).</w:t>
      </w:r>
    </w:p>
    <w:p>
      <w:pPr>
        <w:spacing w:before="100" w:after="10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second recommendation is to strengthen clinical audit and benchmarking through quarterly comparison of mortality, complications and other risk-adjusted outcomes against national standards and comparable specialist centres (Health Foundation, 2021). This is particularly important because Bristol collected mortality data but failed to analyse and benchmark them effectively, delaying recognition of deteriorating performance (Kennedy, 2001). Clinical governance and quality teams should investigate significant or sustained variation, document corrective actions and report progress to the board (NHS England, 2023). Success should be measured through earlier identification of deteriorating performance, timely completion of improvement actions and sustained reduction in unexplained variation (Willmington et al., 2022; NHS England, 2023). However, benchmarking should account for differences in patient complexity and organisational context because inappropriate comparisons may produce misleading conclusions about quality (Willmington et al., 2022).</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third recommendation is to develop an organisational culture characterised by openness, psychological safety and learning (Mannion and Davies, 2018). At Bristol, professional hierarchies discouraged staff from challenging senior clinicians and escalating concerns, demonstrating how culture can undermine formal governance mechanisms (Kennedy, 2001). Multidisciplinary collaboration and effective Freedom to Speak Up arrangements should therefore enable staff to raise concerns without fear of blame or adverse professional consequences (NHS England, 2023). Evidence associates positive organisational cultures with improved staff engagement, patient safety and clinical outcomes (Braithwaite et al., 2017).</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fourth recommendation is to strengthen leadership development through structured programmes focused on compassionate leadership, patient safety and quality improvement (West et al., 2017). Effective leaders should respond proactively to deteriorating performance, promote learning and manage organisational change while recognising the experiences and challenges faced by staff (Bailey and West, 2022). Nevertheless, leadership development alone is insufficient unless supported by adequate resources, effective governance and organisational commitment to change (Hulks et al., 2024).</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fifth recommendation is to strengthen patient and family involvement in decision-making, governance and service evaluation because lived experience can provide valuable evidence concerning healthcare quality and safety (World Health Organization, 2021). Meaningful patient and public involvement can strengthen organisational learning and service design, although healthcare organisations must address power inequalities, organisational barriers and tokenistic participation (Ocloo et al., 2021). Patient involvement should therefore be measurable and embedded within governance structures rather than treated as a symbolic consultation exercise (NHS England, 2023).</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Finally, continuous professional development, multidisciplinary teamwork and routine quality monitoring should be embedded within everyday clinical practice (Health Foundation, 2021). Simulation training, multidisciplinary meetings, reflective learning and digital quality dashboards can strengthen competence, communication and early identification of patient safety risks (Walshe and Smith, 2016; NHS England, 2023). Workforce pressures, including staff shortages and high workload, can negatively affect the quality and safety of care, demonstrating that sustainable service improvement requires sufficient staffing capacity and organisational support (Care Quality Commission, 2023). Short-term indicators should include audit compliance, incident reporting, staff engagement and timely escalation of concerns, while longer-term outcomes should include reduced avoidable harm, improved patient experience and sustained organisational learning (NHS England, 2023; World Health Organization, 2021). Sustainable improvement therefore requires systematic measurement, professional learning and evidence-based change to become routine organisational responsibilities rather than temporary responses to adverse events (Øvretveit, 2018).</w:t>
      </w:r>
    </w:p>
    <w:p>
      <w:pPr>
        <w:keepNext w:val="true"/>
        <w:keepLines w:val="true"/>
        <w:spacing w:before="40" w:after="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Implementation</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Successful service improvement requires a structured implementation strategy that translates evidence-based recommendations into sustainable organisational change (Kotter, 2012). Because the Bristol failures developed through longstanding weaknesses in governance, leadership, culture and patient safety, they require organisational transformation rather than isolated interventions (Kennedy, 2001). Kotter's Eight-Step Change Model and the Plan</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Do</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Study</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Act (PDSA) cycle are therefore combined to address both cultural change and iterative operational improvement (Kotter, 2012; Health Foundation, 2021).</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Kotter's model begins by creating urgency through transparent communication of patient safety risks and evidence of deteriorating performance, thereby establishing organisational readiness for change (Kotter, 2012). A multidisciplinary guiding coalition comprising senior leaders, clinicians, managers, quality improvement specialists and patient representatives should then develop a shared vision focused on stronger governance, audit, openness and patient safety (NHS England, 2023). Effective communication of this vision and removal of barriers should include staff education, multidisciplinary collaboration, leadership support and effective mechanisms for raising concerns (Francis, 2013; West et al., 2017).</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Short-term achievements, such as improved audit compliance, enhanced outcome monitoring and increased staff engagement, should be measured and communicated to sustain momentum (Health Foundation, 2021). Longer-term sustainability requires successful changes to be embedded within governance systems, professional development and routine clinical practice rather than remaining dependent on temporary initiatives or individual leaders (NHS England, 2023). However, implementation should remain sensitive to workforce pressures, resource constraints and competing organisational priorities, which may affect the pace and sustainability of improvement (Hulks et al., 2024).</w:t>
      </w:r>
    </w:p>
    <w:p>
      <w:pPr>
        <w:spacing w:before="100" w:after="10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000000"/>
          <w:spacing w:val="0"/>
          <w:position w:val="0"/>
          <w:sz w:val="22"/>
          <w:shd w:fill="auto" w:val="clear"/>
        </w:rPr>
        <w:t xml:space="preserve">The PDSA cycle complements Kotter by enabling interventions to be tested, evaluated and refined iteratively before wider implementation (Health Foundation, 2021). During the Plan stage, organisations should establish specific objectives and measurable indicators relating to governance, audit, communication and patient safety; the Do stage should test interventions initially on a manageable scale (Institute for Healthcare Improvement, no date). The Study stage should evaluate performance data, staff feedback and patient experience, while the Act stage should refine, adopt or discontinue the intervention according to the findings (Health Foundation, 2021). This iterative process supports adaptation and organisational learning before wider implementation (NHS England, 2023). F</w:t>
      </w:r>
      <w:r>
        <w:rPr>
          <w:rFonts w:ascii="Arial" w:hAnsi="Arial" w:cs="Arial" w:eastAsia="Arial"/>
          <w:color w:val="auto"/>
          <w:spacing w:val="0"/>
          <w:position w:val="0"/>
          <w:sz w:val="22"/>
          <w:shd w:fill="auto" w:val="clear"/>
        </w:rPr>
        <w:t xml:space="preserve">or example, an initial PDSA cycle could test a monthly mortality and patient safety dashboard within one specialist clinical service, measuring whether unexpected outcome variation is identified, escalated and assigned for corrective action within predefined timeframes before wider organisational implementation (Health Foundation, 2021; Institute for Healthcare Improvement, no date).</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Nevertheless, PDSA does not automatically produce improvement, and its effectiveness depends on rigorous application, appropriate data collection and faithful use of iterative cycles (Jones et al., 2019). Inadequate documentation, weak measurement or premature implementation can undermine learning and reduce the reliability of outcomes (Reed and Card, 2016). Continuous monitoring through audit, patient experience, staff feedback and national benchmarking is therefore necessary to identify emerging risks and adapt interventions over time (NHS England, 2023).</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Kotter was selected over Lewin's three-stage model because the Bristol failures required extensive cultural and organisational transformation rather than a relatively simple process of unfreezing, changing and refreezing (Kotter, 2012). Although Lewin provides conceptual clarity, its assumption that organisations eventually reach a stable state may be less appropriate for healthcare environments requiring continuous adaptation (Walshe and Smith, 2016). Kotter offers more explicit attention to leadership coalitions, communication, short-term achievements and cultural embedding, although its sequential structure may itself require flexible application in complex healthcare systems (Kotter, 2012).</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Similarly, PDSA was selected over PDCA and Six Sigma because it emphasises iterative testing, learning and adaptation within complex healthcare settings (Health Foundation, 2021). PDCA offers a valuable general framework for process control, while Six Sigma can reduce process variation through quantitative analysis; however, neither directly addresses the cultural, leadership and governance failures central to the Bristol case as comprehensively as the combined application of Kotter and PDSA (Walshe and Smith, 2016). Consequently, the two selected frameworks provide complementary mechanisms for organisational transformation and continuous operational learning while recognising that implementation must remain responsive to context, evidence and stakeholder feedback (Reed and Card, 2016; NHS England, 2023).</w:t>
      </w:r>
    </w:p>
    <w:p>
      <w:pPr>
        <w:keepNext w:val="true"/>
        <w:keepLines w:val="true"/>
        <w:spacing w:before="40" w:after="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Conclusion</w:t>
      </w:r>
    </w:p>
    <w:p>
      <w:pPr>
        <w:spacing w:before="240" w:after="24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report has critically evaluated the Bristol Royal Infirmary Inquiry through complementary quality management and service improvement frameworks, demonstrating how weaknesses in governance, leadership, organisational culture, communication and clinical audit contributed to poor patient outcomes (Kennedy, 2001; Francis, 2013). The Fishbone Diagram and 5 Whys identified contributory factors and deeper causal mechanisms, while the Donabedian Model demonstrated how structural and process deficiencies affected outcomes (Donabedian, 1988; Health Foundation, 2021). PESTLE further established that wider political, regulatory, technological and societal influences shaped organisational quality and patient safety (Walshe and Smith, 2016; NHS England, 2023).</w:t>
      </w:r>
    </w:p>
    <w:p>
      <w:pPr>
        <w:spacing w:before="240" w:after="24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proposed recommendations prioritise stronger governance, benchmarking, organisational culture, leadership, patient involvement, multidisciplinary learning and continuous monitoring (World Health Organization, 2021; NHS England, 2023). Their implementation through Kotter's Eight-Step Change Model and PDSA provides complementary mechanisms for cultural transformation and iterative improvement, although sustainable change depends on rigorous measurement, stakeholder engagement and adaptation to organisational context (Kotter, 2012; Reed and Card, 2016).</w:t>
      </w:r>
    </w:p>
    <w:p>
      <w:pPr>
        <w:spacing w:before="240" w:after="24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continuing relevance of the Bristol Inquiry lies in its demonstration that sustainable quality assurance requires effective leadership, organisational transparency, systematic learning and evidence-based decision-making embedded within routine practice (World Health Organization, 2021; NHS England, 2023). Applying complementary quality improvement frameworks can enable health and social care organisations to learn from historical failures, strengthen patient safety and support safer, more effective and person-centred care (Braithwaite et al., 2017; Mannion and Davies, 2018).</w:t>
      </w:r>
    </w:p>
    <w:p>
      <w:pPr>
        <w:spacing w:before="0" w:after="160" w:line="360"/>
        <w:ind w:right="0" w:left="0" w:firstLine="0"/>
        <w:jc w:val="left"/>
        <w:rPr>
          <w:rFonts w:ascii="Arial" w:hAnsi="Arial" w:cs="Arial" w:eastAsia="Arial"/>
          <w:color w:val="auto"/>
          <w:spacing w:val="0"/>
          <w:position w:val="0"/>
          <w:sz w:val="22"/>
          <w:shd w:fill="auto" w:val="clear"/>
        </w:rPr>
      </w:pPr>
    </w:p>
    <w:p>
      <w:pPr>
        <w:keepNext w:val="true"/>
        <w:keepLines w:val="true"/>
        <w:spacing w:before="40" w:after="0" w:line="360"/>
        <w:ind w:right="0" w:left="0" w:firstLine="0"/>
        <w:jc w:val="left"/>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 References</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Bailey, S. and West, M. (2022) ‘What is compassionate leadership?’, </w:t>
      </w:r>
      <w:r>
        <w:rPr>
          <w:rFonts w:ascii="Arial" w:hAnsi="Arial" w:cs="Arial" w:eastAsia="Arial"/>
          <w:i/>
          <w:color w:val="000000"/>
          <w:spacing w:val="0"/>
          <w:position w:val="0"/>
          <w:sz w:val="22"/>
          <w:shd w:fill="auto" w:val="clear"/>
        </w:rPr>
        <w:t xml:space="preserve">The King’s Fund</w:t>
      </w:r>
      <w:r>
        <w:rPr>
          <w:rFonts w:ascii="Arial" w:hAnsi="Arial" w:cs="Arial" w:eastAsia="Arial"/>
          <w:color w:val="000000"/>
          <w:spacing w:val="0"/>
          <w:position w:val="0"/>
          <w:sz w:val="22"/>
          <w:shd w:fill="auto" w:val="clear"/>
        </w:rPr>
        <w:t xml:space="preserve">. Available at: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https://www.kingsfund.org.uk/insight-and-analysis/long-reads/what-is-compassionate-leadership?utm_source=chatgpt.com</w:t>
        </w:r>
      </w:hyperlink>
      <w:r>
        <w:rPr>
          <w:rFonts w:ascii="Arial" w:hAnsi="Arial" w:cs="Arial" w:eastAsia="Arial"/>
          <w:color w:val="000000"/>
          <w:spacing w:val="0"/>
          <w:position w:val="0"/>
          <w:sz w:val="22"/>
          <w:shd w:fill="auto" w:val="clear"/>
        </w:rPr>
        <w:t xml:space="preserve"> (Accessed: 28 June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Braithwaite, J., Herkes, J., Ludlow, K., Testa, L. and Lamprell, G. (2017) ‘Association between organisational and workplace cultures, and patient outcomes: Systematic review’</w:t>
      </w:r>
      <w:r>
        <w:rPr>
          <w:rFonts w:ascii="Arial" w:hAnsi="Arial" w:cs="Arial" w:eastAsia="Arial"/>
          <w:i/>
          <w:color w:val="000000"/>
          <w:spacing w:val="0"/>
          <w:position w:val="0"/>
          <w:sz w:val="22"/>
          <w:shd w:fill="auto" w:val="clear"/>
        </w:rPr>
        <w:t xml:space="preserve">, BMJ Open</w:t>
      </w:r>
      <w:r>
        <w:rPr>
          <w:rFonts w:ascii="Arial" w:hAnsi="Arial" w:cs="Arial" w:eastAsia="Arial"/>
          <w:color w:val="000000"/>
          <w:spacing w:val="0"/>
          <w:position w:val="0"/>
          <w:sz w:val="22"/>
          <w:shd w:fill="auto" w:val="clear"/>
        </w:rPr>
        <w:t xml:space="preserve">, 7(11), e017708. Available at: </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https://bmjopen.bmj.com/content/7/11/e017708?utm_source=chatgpt.com</w:t>
        </w:r>
      </w:hyperlink>
      <w:r>
        <w:rPr>
          <w:rFonts w:ascii="Arial" w:hAnsi="Arial" w:cs="Arial" w:eastAsia="Arial"/>
          <w:color w:val="000000"/>
          <w:spacing w:val="0"/>
          <w:position w:val="0"/>
          <w:sz w:val="22"/>
          <w:shd w:fill="auto" w:val="clear"/>
        </w:rPr>
        <w:t xml:space="preserve"> (Accessed: 5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Care Quality Commission (2023) </w:t>
      </w:r>
      <w:r>
        <w:rPr>
          <w:rFonts w:ascii="Arial" w:hAnsi="Arial" w:cs="Arial" w:eastAsia="Arial"/>
          <w:i/>
          <w:color w:val="000000"/>
          <w:spacing w:val="0"/>
          <w:position w:val="0"/>
          <w:sz w:val="22"/>
          <w:shd w:fill="auto" w:val="clear"/>
        </w:rPr>
        <w:t xml:space="preserve">‘The health and care workforce’, in The state of health care and adult social care in England 2022/23</w:t>
      </w:r>
      <w:r>
        <w:rPr>
          <w:rFonts w:ascii="Arial" w:hAnsi="Arial" w:cs="Arial" w:eastAsia="Arial"/>
          <w:color w:val="000000"/>
          <w:spacing w:val="0"/>
          <w:position w:val="0"/>
          <w:sz w:val="22"/>
          <w:shd w:fill="auto" w:val="clear"/>
        </w:rPr>
        <w:t xml:space="preserve">. Available at: </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https://www.cqc.org.uk/publications/major-report/state-care/2022-2023/workforce?utm_source=chatgpt.com</w:t>
        </w:r>
      </w:hyperlink>
      <w:r>
        <w:rPr>
          <w:rFonts w:ascii="Arial" w:hAnsi="Arial" w:cs="Arial" w:eastAsia="Arial"/>
          <w:color w:val="000000"/>
          <w:spacing w:val="0"/>
          <w:position w:val="0"/>
          <w:sz w:val="22"/>
          <w:shd w:fill="auto" w:val="clear"/>
        </w:rPr>
        <w:t xml:space="preserve">  (Accessed: 2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Dixon-Woods, M., Baker, R., Charles, K., Dawson, J., Jerzembek, G., Martin, G., McCarthy, I., McKee, L., Minion, J., Ozieranski, P. and Willars, J. (2014) ‘Culture and behaviour in the English National Health Service: Overview of lessons from a large multimethod study’, </w:t>
      </w:r>
      <w:r>
        <w:rPr>
          <w:rFonts w:ascii="Arial" w:hAnsi="Arial" w:cs="Arial" w:eastAsia="Arial"/>
          <w:i/>
          <w:color w:val="000000"/>
          <w:spacing w:val="0"/>
          <w:position w:val="0"/>
          <w:sz w:val="22"/>
          <w:shd w:fill="auto" w:val="clear"/>
        </w:rPr>
        <w:t xml:space="preserve">BMJ Quality &amp; Safety</w:t>
      </w:r>
      <w:r>
        <w:rPr>
          <w:rFonts w:ascii="Arial" w:hAnsi="Arial" w:cs="Arial" w:eastAsia="Arial"/>
          <w:color w:val="000000"/>
          <w:spacing w:val="0"/>
          <w:position w:val="0"/>
          <w:sz w:val="22"/>
          <w:shd w:fill="auto" w:val="clear"/>
        </w:rPr>
        <w:t xml:space="preserve">, 23(2), pp. 106</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115. Available at: </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https://qualitysafety.bmj.com/content/23/2/106?utm_source=chatgpt.com</w:t>
        </w:r>
      </w:hyperlink>
      <w:r>
        <w:rPr>
          <w:rFonts w:ascii="Arial" w:hAnsi="Arial" w:cs="Arial" w:eastAsia="Arial"/>
          <w:color w:val="000000"/>
          <w:spacing w:val="0"/>
          <w:position w:val="0"/>
          <w:sz w:val="22"/>
          <w:shd w:fill="auto" w:val="clear"/>
        </w:rPr>
        <w:t xml:space="preserve"> (Accessed: 30 June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Donabedian, A. (1988) ‘The quality of care: How can it be assessed?’</w:t>
      </w:r>
      <w:r>
        <w:rPr>
          <w:rFonts w:ascii="Arial" w:hAnsi="Arial" w:cs="Arial" w:eastAsia="Arial"/>
          <w:i/>
          <w:color w:val="000000"/>
          <w:spacing w:val="0"/>
          <w:position w:val="0"/>
          <w:sz w:val="22"/>
          <w:shd w:fill="auto" w:val="clear"/>
        </w:rPr>
        <w:t xml:space="preserve">, JAMA</w:t>
      </w:r>
      <w:r>
        <w:rPr>
          <w:rFonts w:ascii="Arial" w:hAnsi="Arial" w:cs="Arial" w:eastAsia="Arial"/>
          <w:color w:val="000000"/>
          <w:spacing w:val="0"/>
          <w:position w:val="0"/>
          <w:sz w:val="22"/>
          <w:shd w:fill="auto" w:val="clear"/>
        </w:rPr>
        <w:t xml:space="preserve">, 260(12), pp. 1743</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1748. Available at: </w:t>
      </w:r>
      <w:hyperlink xmlns:r="http://schemas.openxmlformats.org/officeDocument/2006/relationships" r:id="docRId6">
        <w:r>
          <w:rPr>
            <w:rFonts w:ascii="Arial" w:hAnsi="Arial" w:cs="Arial" w:eastAsia="Arial"/>
            <w:color w:val="0000FF"/>
            <w:spacing w:val="0"/>
            <w:position w:val="0"/>
            <w:sz w:val="22"/>
            <w:u w:val="single"/>
            <w:shd w:fill="auto" w:val="clear"/>
          </w:rPr>
          <w:t xml:space="preserve">https://jamanetwork.com/journals/jama/article-abstract/374139?utm_source=chatgpt.com</w:t>
        </w:r>
      </w:hyperlink>
      <w:r>
        <w:rPr>
          <w:rFonts w:ascii="Arial" w:hAnsi="Arial" w:cs="Arial" w:eastAsia="Arial"/>
          <w:color w:val="000000"/>
          <w:spacing w:val="0"/>
          <w:position w:val="0"/>
          <w:sz w:val="22"/>
          <w:shd w:fill="auto" w:val="clear"/>
        </w:rPr>
        <w:t xml:space="preserve"> (Accessed: 3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Endalamaw, A., Khatri, R.B., Mengistu, T.S., Erku, D., Wolka, E., Zewdie, A., Assefa, Y. and others (2024) ‘A scoping review of continuous quality improvement in healthcare system: conceptualization, models and tools, barriers and facilitators, and impact’, </w:t>
      </w:r>
      <w:r>
        <w:rPr>
          <w:rFonts w:ascii="Arial" w:hAnsi="Arial" w:cs="Arial" w:eastAsia="Arial"/>
          <w:i/>
          <w:color w:val="000000"/>
          <w:spacing w:val="0"/>
          <w:position w:val="0"/>
          <w:sz w:val="22"/>
          <w:shd w:fill="auto" w:val="clear"/>
        </w:rPr>
        <w:t xml:space="preserve">BMC Health Services Research,</w:t>
      </w:r>
      <w:r>
        <w:rPr>
          <w:rFonts w:ascii="Arial" w:hAnsi="Arial" w:cs="Arial" w:eastAsia="Arial"/>
          <w:color w:val="000000"/>
          <w:spacing w:val="0"/>
          <w:position w:val="0"/>
          <w:sz w:val="22"/>
          <w:shd w:fill="auto" w:val="clear"/>
        </w:rPr>
        <w:t xml:space="preserve"> 24, article 487. Available at: </w:t>
      </w:r>
      <w:hyperlink xmlns:r="http://schemas.openxmlformats.org/officeDocument/2006/relationships" r:id="docRId7">
        <w:r>
          <w:rPr>
            <w:rFonts w:ascii="Arial" w:hAnsi="Arial" w:cs="Arial" w:eastAsia="Arial"/>
            <w:color w:val="0000FF"/>
            <w:spacing w:val="0"/>
            <w:position w:val="0"/>
            <w:sz w:val="22"/>
            <w:u w:val="single"/>
            <w:shd w:fill="auto" w:val="clear"/>
          </w:rPr>
          <w:t xml:space="preserve">https://pmc.ncbi.nlm.nih.gov/articles/PMC11031995/?utm_source=chatgpt.com</w:t>
        </w:r>
      </w:hyperlink>
      <w:r>
        <w:rPr>
          <w:rFonts w:ascii="Arial" w:hAnsi="Arial" w:cs="Arial" w:eastAsia="Arial"/>
          <w:color w:val="000000"/>
          <w:spacing w:val="0"/>
          <w:position w:val="0"/>
          <w:sz w:val="22"/>
          <w:shd w:fill="auto" w:val="clear"/>
        </w:rPr>
        <w:t xml:space="preserve"> (Accessed: 11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Francis, R. (2013</w:t>
      </w:r>
      <w:r>
        <w:rPr>
          <w:rFonts w:ascii="Arial" w:hAnsi="Arial" w:cs="Arial" w:eastAsia="Arial"/>
          <w:i/>
          <w:color w:val="000000"/>
          <w:spacing w:val="0"/>
          <w:position w:val="0"/>
          <w:sz w:val="22"/>
          <w:shd w:fill="auto" w:val="clear"/>
        </w:rPr>
        <w:t xml:space="preserve">) Report of the Mid Staffordshire NHS Foundation Trust Public Inquiry.</w:t>
      </w:r>
      <w:r>
        <w:rPr>
          <w:rFonts w:ascii="Arial" w:hAnsi="Arial" w:cs="Arial" w:eastAsia="Arial"/>
          <w:color w:val="000000"/>
          <w:spacing w:val="0"/>
          <w:position w:val="0"/>
          <w:sz w:val="22"/>
          <w:shd w:fill="auto" w:val="clear"/>
        </w:rPr>
        <w:t xml:space="preserve"> London: The Stationery Office. Available at: </w:t>
      </w:r>
      <w:hyperlink xmlns:r="http://schemas.openxmlformats.org/officeDocument/2006/relationships" r:id="docRId8">
        <w:r>
          <w:rPr>
            <w:rFonts w:ascii="Arial" w:hAnsi="Arial" w:cs="Arial" w:eastAsia="Arial"/>
            <w:color w:val="0000FF"/>
            <w:spacing w:val="0"/>
            <w:position w:val="0"/>
            <w:sz w:val="22"/>
            <w:u w:val="single"/>
            <w:shd w:fill="auto" w:val="clear"/>
          </w:rPr>
          <w:t xml:space="preserve">https://assets.publishing.service.gov.uk/media/5a7c9bec40f0b65b3de09fde/0898_i.pdf?utm_source=chatgpt.com</w:t>
        </w:r>
      </w:hyperlink>
      <w:r>
        <w:rPr>
          <w:rFonts w:ascii="Arial" w:hAnsi="Arial" w:cs="Arial" w:eastAsia="Arial"/>
          <w:color w:val="000000"/>
          <w:spacing w:val="0"/>
          <w:position w:val="0"/>
          <w:sz w:val="22"/>
          <w:shd w:fill="auto" w:val="clear"/>
        </w:rPr>
        <w:t xml:space="preserve">  (Accessed: 16 June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i/>
          <w:color w:val="000000"/>
          <w:spacing w:val="0"/>
          <w:position w:val="0"/>
          <w:sz w:val="22"/>
          <w:shd w:fill="auto" w:val="clear"/>
        </w:rPr>
        <w:t xml:space="preserve">Health and Care Act 2022</w:t>
      </w:r>
      <w:r>
        <w:rPr>
          <w:rFonts w:ascii="Arial" w:hAnsi="Arial" w:cs="Arial" w:eastAsia="Arial"/>
          <w:color w:val="000000"/>
          <w:spacing w:val="0"/>
          <w:position w:val="0"/>
          <w:sz w:val="22"/>
          <w:shd w:fill="auto" w:val="clear"/>
        </w:rPr>
        <w:t xml:space="preserve">, c. 31. Available at: </w:t>
      </w:r>
      <w:hyperlink xmlns:r="http://schemas.openxmlformats.org/officeDocument/2006/relationships" r:id="docRId9">
        <w:r>
          <w:rPr>
            <w:rFonts w:ascii="Arial" w:hAnsi="Arial" w:cs="Arial" w:eastAsia="Arial"/>
            <w:color w:val="0000FF"/>
            <w:spacing w:val="0"/>
            <w:position w:val="0"/>
            <w:sz w:val="22"/>
            <w:u w:val="single"/>
            <w:shd w:fill="auto" w:val="clear"/>
          </w:rPr>
          <w:t xml:space="preserve">https://www.legislation.gov.uk/ukpga/2022/31/contents?utm_source=chatgpt.com</w:t>
        </w:r>
      </w:hyperlink>
      <w:r>
        <w:rPr>
          <w:rFonts w:ascii="Arial" w:hAnsi="Arial" w:cs="Arial" w:eastAsia="Arial"/>
          <w:color w:val="000000"/>
          <w:spacing w:val="0"/>
          <w:position w:val="0"/>
          <w:sz w:val="22"/>
          <w:shd w:fill="auto" w:val="clear"/>
        </w:rPr>
        <w:t xml:space="preserve">  (Accessed: 29 June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Health Foundation (2021) </w:t>
      </w:r>
      <w:r>
        <w:rPr>
          <w:rFonts w:ascii="Arial" w:hAnsi="Arial" w:cs="Arial" w:eastAsia="Arial"/>
          <w:i/>
          <w:color w:val="000000"/>
          <w:spacing w:val="0"/>
          <w:position w:val="0"/>
          <w:sz w:val="22"/>
          <w:shd w:fill="auto" w:val="clear"/>
        </w:rPr>
        <w:t xml:space="preserve">Quality Improvement Made Simple: What Everyone Should Know About Healthcare Quality Improvement.</w:t>
      </w:r>
      <w:r>
        <w:rPr>
          <w:rFonts w:ascii="Arial" w:hAnsi="Arial" w:cs="Arial" w:eastAsia="Arial"/>
          <w:color w:val="000000"/>
          <w:spacing w:val="0"/>
          <w:position w:val="0"/>
          <w:sz w:val="22"/>
          <w:shd w:fill="auto" w:val="clear"/>
        </w:rPr>
        <w:t xml:space="preserve"> London: The Health Foundation. Available at: </w:t>
      </w:r>
      <w:hyperlink xmlns:r="http://schemas.openxmlformats.org/officeDocument/2006/relationships" r:id="docRId10">
        <w:r>
          <w:rPr>
            <w:rFonts w:ascii="Arial" w:hAnsi="Arial" w:cs="Arial" w:eastAsia="Arial"/>
            <w:color w:val="0000FF"/>
            <w:spacing w:val="0"/>
            <w:position w:val="0"/>
            <w:sz w:val="22"/>
            <w:u w:val="single"/>
            <w:shd w:fill="auto" w:val="clear"/>
          </w:rPr>
          <w:t xml:space="preserve">https://www.health.org.uk/resources-and-toolkits/quick-guides/quality-improvement-made-simple?utm_source=chatgpt.com</w:t>
        </w:r>
      </w:hyperlink>
      <w:r>
        <w:rPr>
          <w:rFonts w:ascii="Arial" w:hAnsi="Arial" w:cs="Arial" w:eastAsia="Arial"/>
          <w:color w:val="000000"/>
          <w:spacing w:val="0"/>
          <w:position w:val="0"/>
          <w:sz w:val="22"/>
          <w:shd w:fill="auto" w:val="clear"/>
        </w:rPr>
        <w:t xml:space="preserve"> (Accessed: 30 June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Hulks, S., Walsh, N., Ham, C. and Alderwick, H. (2024) ‘</w:t>
      </w:r>
      <w:r>
        <w:rPr>
          <w:rFonts w:ascii="Arial" w:hAnsi="Arial" w:cs="Arial" w:eastAsia="Arial"/>
          <w:i/>
          <w:color w:val="000000"/>
          <w:spacing w:val="0"/>
          <w:position w:val="0"/>
          <w:sz w:val="22"/>
          <w:shd w:fill="auto" w:val="clear"/>
        </w:rPr>
        <w:t xml:space="preserve">Leading across the health and care system: Lessons from experience’</w:t>
      </w:r>
      <w:r>
        <w:rPr>
          <w:rFonts w:ascii="Arial" w:hAnsi="Arial" w:cs="Arial" w:eastAsia="Arial"/>
          <w:color w:val="000000"/>
          <w:spacing w:val="0"/>
          <w:position w:val="0"/>
          <w:sz w:val="22"/>
          <w:shd w:fill="auto" w:val="clear"/>
        </w:rPr>
        <w:t xml:space="preserve">. London: The King’s Fund. Available at: </w:t>
      </w:r>
      <w:hyperlink xmlns:r="http://schemas.openxmlformats.org/officeDocument/2006/relationships" r:id="docRId11">
        <w:r>
          <w:rPr>
            <w:rFonts w:ascii="Arial" w:hAnsi="Arial" w:cs="Arial" w:eastAsia="Arial"/>
            <w:color w:val="0000FF"/>
            <w:spacing w:val="0"/>
            <w:position w:val="0"/>
            <w:sz w:val="22"/>
            <w:u w:val="single"/>
            <w:shd w:fill="auto" w:val="clear"/>
          </w:rPr>
          <w:t xml:space="preserve">https://www.kingsfund.org.uk/insight-and-analysis/reports/leading-across-health-care-system-lessons-experience?utm_source=chatgpt.com</w:t>
        </w:r>
      </w:hyperlink>
      <w:r>
        <w:rPr>
          <w:rFonts w:ascii="Arial" w:hAnsi="Arial" w:cs="Arial" w:eastAsia="Arial"/>
          <w:color w:val="000000"/>
          <w:spacing w:val="0"/>
          <w:position w:val="0"/>
          <w:sz w:val="22"/>
          <w:shd w:fill="auto" w:val="clear"/>
        </w:rPr>
        <w:t xml:space="preserve"> (Accessed: 3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Institute for Healthcare Improvement (no date) </w:t>
      </w:r>
      <w:r>
        <w:rPr>
          <w:rFonts w:ascii="Arial" w:hAnsi="Arial" w:cs="Arial" w:eastAsia="Arial"/>
          <w:i/>
          <w:color w:val="000000"/>
          <w:spacing w:val="0"/>
          <w:position w:val="0"/>
          <w:sz w:val="22"/>
          <w:shd w:fill="auto" w:val="clear"/>
        </w:rPr>
        <w:t xml:space="preserve">How to Improve. Boston, MA: Institute for Healthcare Improvement.</w:t>
      </w:r>
      <w:r>
        <w:rPr>
          <w:rFonts w:ascii="Arial" w:hAnsi="Arial" w:cs="Arial" w:eastAsia="Arial"/>
          <w:color w:val="000000"/>
          <w:spacing w:val="0"/>
          <w:position w:val="0"/>
          <w:sz w:val="22"/>
          <w:shd w:fill="auto" w:val="clear"/>
        </w:rPr>
        <w:t xml:space="preserve"> Available at: </w:t>
      </w:r>
      <w:hyperlink xmlns:r="http://schemas.openxmlformats.org/officeDocument/2006/relationships" r:id="docRId12">
        <w:r>
          <w:rPr>
            <w:rFonts w:ascii="Arial" w:hAnsi="Arial" w:cs="Arial" w:eastAsia="Arial"/>
            <w:color w:val="0000FF"/>
            <w:spacing w:val="0"/>
            <w:position w:val="0"/>
            <w:sz w:val="22"/>
            <w:u w:val="single"/>
            <w:shd w:fill="auto" w:val="clear"/>
          </w:rPr>
          <w:t xml:space="preserve">https://www.ihi.org/library/model-for-improvement</w:t>
        </w:r>
      </w:hyperlink>
      <w:r>
        <w:rPr>
          <w:rFonts w:ascii="Arial" w:hAnsi="Arial" w:cs="Arial" w:eastAsia="Arial"/>
          <w:color w:val="000000"/>
          <w:spacing w:val="0"/>
          <w:position w:val="0"/>
          <w:sz w:val="22"/>
          <w:shd w:fill="auto" w:val="clear"/>
        </w:rPr>
        <w:t xml:space="preserve">  (Accessed: 5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Institute of Medicine (2001) </w:t>
      </w:r>
      <w:r>
        <w:rPr>
          <w:rFonts w:ascii="Arial" w:hAnsi="Arial" w:cs="Arial" w:eastAsia="Arial"/>
          <w:i/>
          <w:color w:val="000000"/>
          <w:spacing w:val="0"/>
          <w:position w:val="0"/>
          <w:sz w:val="22"/>
          <w:shd w:fill="auto" w:val="clear"/>
        </w:rPr>
        <w:t xml:space="preserve">Crossing the Quality Chasm: A New Health System for the 21st Century.</w:t>
      </w:r>
      <w:r>
        <w:rPr>
          <w:rFonts w:ascii="Arial" w:hAnsi="Arial" w:cs="Arial" w:eastAsia="Arial"/>
          <w:color w:val="000000"/>
          <w:spacing w:val="0"/>
          <w:position w:val="0"/>
          <w:sz w:val="22"/>
          <w:shd w:fill="auto" w:val="clear"/>
        </w:rPr>
        <w:t xml:space="preserve"> Washington, DC: National Academies Press.</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Jones, B., Vaux, E. and Olsson-Brown, A. (2019) ‘How to get started in quality improvement’, </w:t>
      </w:r>
      <w:r>
        <w:rPr>
          <w:rFonts w:ascii="Arial" w:hAnsi="Arial" w:cs="Arial" w:eastAsia="Arial"/>
          <w:i/>
          <w:color w:val="000000"/>
          <w:spacing w:val="0"/>
          <w:position w:val="0"/>
          <w:sz w:val="22"/>
          <w:shd w:fill="auto" w:val="clear"/>
        </w:rPr>
        <w:t xml:space="preserve">BMJ</w:t>
      </w:r>
      <w:r>
        <w:rPr>
          <w:rFonts w:ascii="Arial" w:hAnsi="Arial" w:cs="Arial" w:eastAsia="Arial"/>
          <w:color w:val="000000"/>
          <w:spacing w:val="0"/>
          <w:position w:val="0"/>
          <w:sz w:val="22"/>
          <w:shd w:fill="auto" w:val="clear"/>
        </w:rPr>
        <w:t xml:space="preserve">. Available at: </w:t>
      </w:r>
      <w:hyperlink xmlns:r="http://schemas.openxmlformats.org/officeDocument/2006/relationships" r:id="docRId13">
        <w:r>
          <w:rPr>
            <w:rFonts w:ascii="Arial" w:hAnsi="Arial" w:cs="Arial" w:eastAsia="Arial"/>
            <w:color w:val="000000"/>
            <w:spacing w:val="0"/>
            <w:position w:val="0"/>
            <w:sz w:val="22"/>
            <w:u w:val="single"/>
            <w:shd w:fill="auto" w:val="clear"/>
          </w:rPr>
          <w:t xml:space="preserve">https://www.bmj.com/content/364/bmj.k5437</w:t>
        </w:r>
      </w:hyperlink>
      <w:r>
        <w:rPr>
          <w:rFonts w:ascii="Arial" w:hAnsi="Arial" w:cs="Arial" w:eastAsia="Arial"/>
          <w:color w:val="000000"/>
          <w:spacing w:val="0"/>
          <w:position w:val="0"/>
          <w:sz w:val="22"/>
          <w:shd w:fill="auto" w:val="clear"/>
        </w:rPr>
        <w:t xml:space="preserve"> (Accessed: 8 July 2026). </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Kennedy, I. (2001) </w:t>
      </w:r>
      <w:r>
        <w:rPr>
          <w:rFonts w:ascii="Arial" w:hAnsi="Arial" w:cs="Arial" w:eastAsia="Arial"/>
          <w:i/>
          <w:color w:val="000000"/>
          <w:spacing w:val="0"/>
          <w:position w:val="0"/>
          <w:sz w:val="22"/>
          <w:shd w:fill="auto" w:val="clear"/>
        </w:rPr>
        <w:t xml:space="preserve">The Report of the Public Inquiry into Children's Heart Surgery at the Bristol Royal Infirmary 1984</w:t>
      </w:r>
      <w:r>
        <w:rPr>
          <w:rFonts w:ascii="Arial" w:hAnsi="Arial" w:cs="Arial" w:eastAsia="Arial"/>
          <w:i/>
          <w:color w:val="000000"/>
          <w:spacing w:val="0"/>
          <w:position w:val="0"/>
          <w:sz w:val="22"/>
          <w:shd w:fill="auto" w:val="clear"/>
        </w:rPr>
        <w:t xml:space="preserve">–</w:t>
      </w:r>
      <w:r>
        <w:rPr>
          <w:rFonts w:ascii="Arial" w:hAnsi="Arial" w:cs="Arial" w:eastAsia="Arial"/>
          <w:i/>
          <w:color w:val="000000"/>
          <w:spacing w:val="0"/>
          <w:position w:val="0"/>
          <w:sz w:val="22"/>
          <w:shd w:fill="auto" w:val="clear"/>
        </w:rPr>
        <w:t xml:space="preserve">1995:</w:t>
      </w:r>
      <w:r>
        <w:rPr>
          <w:rFonts w:ascii="Arial" w:hAnsi="Arial" w:cs="Arial" w:eastAsia="Arial"/>
          <w:color w:val="000000"/>
          <w:spacing w:val="0"/>
          <w:position w:val="0"/>
          <w:sz w:val="22"/>
          <w:shd w:fill="auto" w:val="clear"/>
        </w:rPr>
        <w:t xml:space="preserve"> Learning from Bristol. London: The Stationery Office. Available at: </w:t>
      </w:r>
      <w:hyperlink xmlns:r="http://schemas.openxmlformats.org/officeDocument/2006/relationships" r:id="docRId14">
        <w:r>
          <w:rPr>
            <w:rFonts w:ascii="Arial" w:hAnsi="Arial" w:cs="Arial" w:eastAsia="Arial"/>
            <w:color w:val="0000FF"/>
            <w:spacing w:val="0"/>
            <w:position w:val="0"/>
            <w:sz w:val="22"/>
            <w:u w:val="single"/>
            <w:shd w:fill="auto" w:val="clear"/>
          </w:rPr>
          <w:t xml:space="preserve">https://www.bristol-inquiry.org.uk/final_report/the_report.pdf?utm_source=chatgpt.com</w:t>
        </w:r>
      </w:hyperlink>
      <w:r>
        <w:rPr>
          <w:rFonts w:ascii="Arial" w:hAnsi="Arial" w:cs="Arial" w:eastAsia="Arial"/>
          <w:color w:val="000000"/>
          <w:spacing w:val="0"/>
          <w:position w:val="0"/>
          <w:sz w:val="22"/>
          <w:shd w:fill="auto" w:val="clear"/>
        </w:rPr>
        <w:t xml:space="preserve"> (Accessed: 28 June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Kotter, J.P. (2012) </w:t>
      </w:r>
      <w:r>
        <w:rPr>
          <w:rFonts w:ascii="Arial" w:hAnsi="Arial" w:cs="Arial" w:eastAsia="Arial"/>
          <w:i/>
          <w:color w:val="000000"/>
          <w:spacing w:val="0"/>
          <w:position w:val="0"/>
          <w:sz w:val="22"/>
          <w:shd w:fill="auto" w:val="clear"/>
        </w:rPr>
        <w:t xml:space="preserve">Leading Change</w:t>
      </w:r>
      <w:r>
        <w:rPr>
          <w:rFonts w:ascii="Arial" w:hAnsi="Arial" w:cs="Arial" w:eastAsia="Arial"/>
          <w:color w:val="000000"/>
          <w:spacing w:val="0"/>
          <w:position w:val="0"/>
          <w:sz w:val="22"/>
          <w:shd w:fill="auto" w:val="clear"/>
        </w:rPr>
        <w:t xml:space="preserve">. Revised edn. Boston, MA: Harvard Business Review Press.</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Mannion, R. and Davies, H. (2018) ‘Understanding organisational culture for healthcare quality improvement’, </w:t>
      </w:r>
      <w:r>
        <w:rPr>
          <w:rFonts w:ascii="Arial" w:hAnsi="Arial" w:cs="Arial" w:eastAsia="Arial"/>
          <w:i/>
          <w:color w:val="000000"/>
          <w:spacing w:val="0"/>
          <w:position w:val="0"/>
          <w:sz w:val="22"/>
          <w:shd w:fill="auto" w:val="clear"/>
        </w:rPr>
        <w:t xml:space="preserve">BMJ</w:t>
      </w:r>
      <w:r>
        <w:rPr>
          <w:rFonts w:ascii="Arial" w:hAnsi="Arial" w:cs="Arial" w:eastAsia="Arial"/>
          <w:color w:val="000000"/>
          <w:spacing w:val="0"/>
          <w:position w:val="0"/>
          <w:sz w:val="22"/>
          <w:shd w:fill="auto" w:val="clear"/>
        </w:rPr>
        <w:t xml:space="preserve">. Available at: </w:t>
      </w:r>
      <w:hyperlink xmlns:r="http://schemas.openxmlformats.org/officeDocument/2006/relationships" r:id="docRId15">
        <w:r>
          <w:rPr>
            <w:rFonts w:ascii="Arial" w:hAnsi="Arial" w:cs="Arial" w:eastAsia="Arial"/>
            <w:color w:val="0000FF"/>
            <w:spacing w:val="0"/>
            <w:position w:val="0"/>
            <w:sz w:val="22"/>
            <w:u w:val="single"/>
            <w:shd w:fill="auto" w:val="clear"/>
          </w:rPr>
          <w:t xml:space="preserve">https://www.bmj.com/content/363/bmj.k4907?utm_source=chatgpt.com</w:t>
        </w:r>
      </w:hyperlink>
      <w:r>
        <w:rPr>
          <w:rFonts w:ascii="Arial" w:hAnsi="Arial" w:cs="Arial" w:eastAsia="Arial"/>
          <w:color w:val="000000"/>
          <w:spacing w:val="0"/>
          <w:position w:val="0"/>
          <w:sz w:val="22"/>
          <w:shd w:fill="auto" w:val="clear"/>
        </w:rPr>
        <w:t xml:space="preserve"> (Accessed: 6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Mayor, S. (2001) ‘Mortality for paediatric cardiac surgery at Bristol was twice that at other centres’, </w:t>
      </w:r>
      <w:r>
        <w:rPr>
          <w:rFonts w:ascii="Arial" w:hAnsi="Arial" w:cs="Arial" w:eastAsia="Arial"/>
          <w:i/>
          <w:color w:val="000000"/>
          <w:spacing w:val="0"/>
          <w:position w:val="0"/>
          <w:sz w:val="22"/>
          <w:shd w:fill="auto" w:val="clear"/>
        </w:rPr>
        <w:t xml:space="preserve">BMJ</w:t>
      </w:r>
      <w:r>
        <w:rPr>
          <w:rFonts w:ascii="Arial" w:hAnsi="Arial" w:cs="Arial" w:eastAsia="Arial"/>
          <w:color w:val="000000"/>
          <w:spacing w:val="0"/>
          <w:position w:val="0"/>
          <w:sz w:val="22"/>
          <w:shd w:fill="auto" w:val="clear"/>
        </w:rPr>
        <w:t xml:space="preserve">, 323(7305), p. 125. Available at: </w:t>
      </w:r>
      <w:hyperlink xmlns:r="http://schemas.openxmlformats.org/officeDocument/2006/relationships" r:id="docRId16">
        <w:r>
          <w:rPr>
            <w:rFonts w:ascii="Arial" w:hAnsi="Arial" w:cs="Arial" w:eastAsia="Arial"/>
            <w:color w:val="000000"/>
            <w:spacing w:val="0"/>
            <w:position w:val="0"/>
            <w:sz w:val="22"/>
            <w:u w:val="single"/>
            <w:shd w:fill="auto" w:val="clear"/>
          </w:rPr>
          <w:t xml:space="preserve">https://doi.org/10.1136/bmj.323.7305.125/a</w:t>
        </w:r>
      </w:hyperlink>
      <w:r>
        <w:rPr>
          <w:rFonts w:ascii="Arial" w:hAnsi="Arial" w:cs="Arial" w:eastAsia="Arial"/>
          <w:color w:val="000000"/>
          <w:spacing w:val="0"/>
          <w:position w:val="0"/>
          <w:sz w:val="22"/>
          <w:shd w:fill="FFFFFF" w:val="clear"/>
        </w:rPr>
        <w:t xml:space="preserve"> </w:t>
      </w:r>
      <w:r>
        <w:rPr>
          <w:rFonts w:ascii="Arial" w:hAnsi="Arial" w:cs="Arial" w:eastAsia="Arial"/>
          <w:color w:val="000000"/>
          <w:spacing w:val="0"/>
          <w:position w:val="0"/>
          <w:sz w:val="22"/>
          <w:shd w:fill="auto" w:val="clear"/>
        </w:rPr>
        <w:t xml:space="preserve">(Accessed: 3 July 2026).</w:t>
      </w:r>
    </w:p>
    <w:p>
      <w:pPr>
        <w:spacing w:before="0" w:after="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National Institute for Health and Care Excellence (no date) </w:t>
      </w:r>
      <w:r>
        <w:rPr>
          <w:rFonts w:ascii="Arial" w:hAnsi="Arial" w:cs="Arial" w:eastAsia="Arial"/>
          <w:i/>
          <w:color w:val="000000"/>
          <w:spacing w:val="0"/>
          <w:position w:val="0"/>
          <w:sz w:val="22"/>
          <w:shd w:fill="auto" w:val="clear"/>
        </w:rPr>
        <w:t xml:space="preserve">Standards and indicators</w:t>
      </w:r>
      <w:r>
        <w:rPr>
          <w:rFonts w:ascii="Arial" w:hAnsi="Arial" w:cs="Arial" w:eastAsia="Arial"/>
          <w:color w:val="000000"/>
          <w:spacing w:val="0"/>
          <w:position w:val="0"/>
          <w:sz w:val="22"/>
          <w:shd w:fill="auto" w:val="clear"/>
        </w:rPr>
        <w:t xml:space="preserve">. Available at: </w:t>
      </w:r>
      <w:hyperlink xmlns:r="http://schemas.openxmlformats.org/officeDocument/2006/relationships" r:id="docRId17">
        <w:r>
          <w:rPr>
            <w:rFonts w:ascii="Arial" w:hAnsi="Arial" w:cs="Arial" w:eastAsia="Arial"/>
            <w:color w:val="0000FF"/>
            <w:spacing w:val="0"/>
            <w:position w:val="0"/>
            <w:sz w:val="22"/>
            <w:u w:val="single"/>
            <w:shd w:fill="auto" w:val="clear"/>
          </w:rPr>
          <w:t xml:space="preserve">https://www.nice.org.uk/what-nice-does/standards-and-indicators</w:t>
        </w:r>
      </w:hyperlink>
      <w:r>
        <w:rPr>
          <w:rFonts w:ascii="Arial" w:hAnsi="Arial" w:cs="Arial" w:eastAsia="Arial"/>
          <w:color w:val="000000"/>
          <w:spacing w:val="0"/>
          <w:position w:val="0"/>
          <w:sz w:val="22"/>
          <w:shd w:fill="auto" w:val="clear"/>
        </w:rPr>
        <w:t xml:space="preserve"> (Accessed: 10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NHS England (2022) </w:t>
      </w:r>
      <w:r>
        <w:rPr>
          <w:rFonts w:ascii="Arial" w:hAnsi="Arial" w:cs="Arial" w:eastAsia="Arial"/>
          <w:i/>
          <w:color w:val="000000"/>
          <w:spacing w:val="0"/>
          <w:position w:val="0"/>
          <w:sz w:val="22"/>
          <w:shd w:fill="auto" w:val="clear"/>
        </w:rPr>
        <w:t xml:space="preserve">Patient Safety Incident Response Framework</w:t>
      </w:r>
      <w:r>
        <w:rPr>
          <w:rFonts w:ascii="Arial" w:hAnsi="Arial" w:cs="Arial" w:eastAsia="Arial"/>
          <w:color w:val="000000"/>
          <w:spacing w:val="0"/>
          <w:position w:val="0"/>
          <w:sz w:val="22"/>
          <w:shd w:fill="auto" w:val="clear"/>
        </w:rPr>
        <w:t xml:space="preserve">. Available at: </w:t>
      </w:r>
      <w:hyperlink xmlns:r="http://schemas.openxmlformats.org/officeDocument/2006/relationships" r:id="docRId18">
        <w:r>
          <w:rPr>
            <w:rFonts w:ascii="Arial" w:hAnsi="Arial" w:cs="Arial" w:eastAsia="Arial"/>
            <w:color w:val="0000FF"/>
            <w:spacing w:val="0"/>
            <w:position w:val="0"/>
            <w:sz w:val="22"/>
            <w:u w:val="single"/>
            <w:shd w:fill="auto" w:val="clear"/>
          </w:rPr>
          <w:t xml:space="preserve">https://www.england.nhs.uk/long-read/patient-safety-incident-response-framework/?utm_source=chatgpt.com</w:t>
        </w:r>
      </w:hyperlink>
      <w:r>
        <w:rPr>
          <w:rFonts w:ascii="Arial" w:hAnsi="Arial" w:cs="Arial" w:eastAsia="Arial"/>
          <w:color w:val="000000"/>
          <w:spacing w:val="0"/>
          <w:position w:val="0"/>
          <w:sz w:val="22"/>
          <w:shd w:fill="auto" w:val="clear"/>
        </w:rPr>
        <w:t xml:space="preserve">  (Accessed: 3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NHS England (2023) </w:t>
      </w:r>
      <w:r>
        <w:rPr>
          <w:rFonts w:ascii="Arial" w:hAnsi="Arial" w:cs="Arial" w:eastAsia="Arial"/>
          <w:i/>
          <w:color w:val="000000"/>
          <w:spacing w:val="0"/>
          <w:position w:val="0"/>
          <w:sz w:val="22"/>
          <w:shd w:fill="auto" w:val="clear"/>
        </w:rPr>
        <w:t xml:space="preserve">The NHS Patient Safety Strategy: Safer Culture, Safer Systems, Safer Patients</w:t>
      </w:r>
      <w:r>
        <w:rPr>
          <w:rFonts w:ascii="Arial" w:hAnsi="Arial" w:cs="Arial" w:eastAsia="Arial"/>
          <w:color w:val="000000"/>
          <w:spacing w:val="0"/>
          <w:position w:val="0"/>
          <w:sz w:val="22"/>
          <w:shd w:fill="auto" w:val="clear"/>
        </w:rPr>
        <w:t xml:space="preserve">. Available at: </w:t>
      </w:r>
      <w:hyperlink xmlns:r="http://schemas.openxmlformats.org/officeDocument/2006/relationships" r:id="docRId19">
        <w:r>
          <w:rPr>
            <w:rFonts w:ascii="Arial" w:hAnsi="Arial" w:cs="Arial" w:eastAsia="Arial"/>
            <w:color w:val="0000FF"/>
            <w:spacing w:val="0"/>
            <w:position w:val="0"/>
            <w:sz w:val="22"/>
            <w:u w:val="single"/>
            <w:shd w:fill="auto" w:val="clear"/>
          </w:rPr>
          <w:t xml:space="preserve">https://www.england.nhs.uk/patient-safety/the-nhs-patient-safety-strategy/?utm_source=chatgpt.com</w:t>
        </w:r>
      </w:hyperlink>
      <w:r>
        <w:rPr>
          <w:rFonts w:ascii="Arial" w:hAnsi="Arial" w:cs="Arial" w:eastAsia="Arial"/>
          <w:color w:val="000000"/>
          <w:spacing w:val="0"/>
          <w:position w:val="0"/>
          <w:sz w:val="22"/>
          <w:shd w:fill="auto" w:val="clear"/>
        </w:rPr>
        <w:t xml:space="preserve">  (Accessed: 8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Ocloo, J., Garfield, S., Franklin, B.D. and Dawson, S. (2021) ‘Exploring the theory, barriers and enablers for patient and public involvement across health, social care and patient safety: a systematic review of reviews’, </w:t>
      </w:r>
      <w:r>
        <w:rPr>
          <w:rFonts w:ascii="Arial" w:hAnsi="Arial" w:cs="Arial" w:eastAsia="Arial"/>
          <w:i/>
          <w:color w:val="000000"/>
          <w:spacing w:val="0"/>
          <w:position w:val="0"/>
          <w:sz w:val="22"/>
          <w:shd w:fill="auto" w:val="clear"/>
        </w:rPr>
        <w:t xml:space="preserve">Health Research Policy and Systems</w:t>
      </w:r>
      <w:r>
        <w:rPr>
          <w:rFonts w:ascii="Arial" w:hAnsi="Arial" w:cs="Arial" w:eastAsia="Arial"/>
          <w:color w:val="000000"/>
          <w:spacing w:val="0"/>
          <w:position w:val="0"/>
          <w:sz w:val="22"/>
          <w:shd w:fill="auto" w:val="clear"/>
        </w:rPr>
        <w:t xml:space="preserve">, 19, article 8. Available at: </w:t>
      </w:r>
      <w:hyperlink xmlns:r="http://schemas.openxmlformats.org/officeDocument/2006/relationships" r:id="docRId20">
        <w:r>
          <w:rPr>
            <w:rFonts w:ascii="Arial" w:hAnsi="Arial" w:cs="Arial" w:eastAsia="Arial"/>
            <w:color w:val="0000FF"/>
            <w:spacing w:val="0"/>
            <w:position w:val="0"/>
            <w:sz w:val="22"/>
            <w:u w:val="single"/>
            <w:shd w:fill="auto" w:val="clear"/>
          </w:rPr>
          <w:t xml:space="preserve">https://link.springer.com/article/10.1186/s12961-020-00644-3?utm_source=chatgpt.com</w:t>
        </w:r>
      </w:hyperlink>
      <w:r>
        <w:rPr>
          <w:rFonts w:ascii="Arial" w:hAnsi="Arial" w:cs="Arial" w:eastAsia="Arial"/>
          <w:color w:val="000000"/>
          <w:spacing w:val="0"/>
          <w:position w:val="0"/>
          <w:sz w:val="22"/>
          <w:shd w:fill="auto" w:val="clear"/>
        </w:rPr>
        <w:t xml:space="preserve">  (Accessed: 30 June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Øvretveit, J. (2018)</w:t>
      </w:r>
      <w:r>
        <w:rPr>
          <w:rFonts w:ascii="Arial" w:hAnsi="Arial" w:cs="Arial" w:eastAsia="Arial"/>
          <w:i/>
          <w:color w:val="000000"/>
          <w:spacing w:val="0"/>
          <w:position w:val="0"/>
          <w:sz w:val="22"/>
          <w:shd w:fill="auto" w:val="clear"/>
        </w:rPr>
        <w:t xml:space="preserve"> Improving Quality in Health Services</w:t>
      </w:r>
      <w:r>
        <w:rPr>
          <w:rFonts w:ascii="Arial" w:hAnsi="Arial" w:cs="Arial" w:eastAsia="Arial"/>
          <w:color w:val="000000"/>
          <w:spacing w:val="0"/>
          <w:position w:val="0"/>
          <w:sz w:val="22"/>
          <w:shd w:fill="auto" w:val="clear"/>
        </w:rPr>
        <w:t xml:space="preserve">. London: Routledge.</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Reason, J. (2000) ‘Human error: Models and management’, </w:t>
      </w:r>
      <w:r>
        <w:rPr>
          <w:rFonts w:ascii="Arial" w:hAnsi="Arial" w:cs="Arial" w:eastAsia="Arial"/>
          <w:i/>
          <w:color w:val="000000"/>
          <w:spacing w:val="0"/>
          <w:position w:val="0"/>
          <w:sz w:val="22"/>
          <w:shd w:fill="auto" w:val="clear"/>
        </w:rPr>
        <w:t xml:space="preserve">BMJ,</w:t>
      </w:r>
      <w:r>
        <w:rPr>
          <w:rFonts w:ascii="Arial" w:hAnsi="Arial" w:cs="Arial" w:eastAsia="Arial"/>
          <w:color w:val="000000"/>
          <w:spacing w:val="0"/>
          <w:position w:val="0"/>
          <w:sz w:val="22"/>
          <w:shd w:fill="auto" w:val="clear"/>
        </w:rPr>
        <w:t xml:space="preserve"> 320(7237), pp. 768</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770. Available at: </w:t>
      </w:r>
      <w:hyperlink xmlns:r="http://schemas.openxmlformats.org/officeDocument/2006/relationships" r:id="docRId21">
        <w:r>
          <w:rPr>
            <w:rFonts w:ascii="Arial" w:hAnsi="Arial" w:cs="Arial" w:eastAsia="Arial"/>
            <w:color w:val="0000FF"/>
            <w:spacing w:val="0"/>
            <w:position w:val="0"/>
            <w:sz w:val="22"/>
            <w:u w:val="single"/>
            <w:shd w:fill="auto" w:val="clear"/>
          </w:rPr>
          <w:t xml:space="preserve">https://www.bmj.com/content/320/7237/768?utm_source=chatgpt.com</w:t>
        </w:r>
      </w:hyperlink>
      <w:r>
        <w:rPr>
          <w:rFonts w:ascii="Arial" w:hAnsi="Arial" w:cs="Arial" w:eastAsia="Arial"/>
          <w:color w:val="000000"/>
          <w:spacing w:val="0"/>
          <w:position w:val="0"/>
          <w:sz w:val="22"/>
          <w:shd w:fill="auto" w:val="clear"/>
        </w:rPr>
        <w:t xml:space="preserve">  (Accessed: 10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Reed, J.E. and Card, A.J. (2016) ‘The problem with Plan-Do-Study-Act cycles’, </w:t>
      </w:r>
      <w:r>
        <w:rPr>
          <w:rFonts w:ascii="Arial" w:hAnsi="Arial" w:cs="Arial" w:eastAsia="Arial"/>
          <w:i/>
          <w:color w:val="000000"/>
          <w:spacing w:val="0"/>
          <w:position w:val="0"/>
          <w:sz w:val="22"/>
          <w:shd w:fill="auto" w:val="clear"/>
        </w:rPr>
        <w:t xml:space="preserve">BMJ Quality &amp; Safety</w:t>
      </w:r>
      <w:r>
        <w:rPr>
          <w:rFonts w:ascii="Arial" w:hAnsi="Arial" w:cs="Arial" w:eastAsia="Arial"/>
          <w:color w:val="000000"/>
          <w:spacing w:val="0"/>
          <w:position w:val="0"/>
          <w:sz w:val="22"/>
          <w:shd w:fill="auto" w:val="clear"/>
        </w:rPr>
        <w:t xml:space="preserve">, 25(3), pp. 147</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152. Available at: </w:t>
      </w:r>
      <w:hyperlink xmlns:r="http://schemas.openxmlformats.org/officeDocument/2006/relationships" r:id="docRId22">
        <w:r>
          <w:rPr>
            <w:rFonts w:ascii="Arial" w:hAnsi="Arial" w:cs="Arial" w:eastAsia="Arial"/>
            <w:color w:val="0000FF"/>
            <w:spacing w:val="0"/>
            <w:position w:val="0"/>
            <w:sz w:val="22"/>
            <w:u w:val="single"/>
            <w:shd w:fill="auto" w:val="clear"/>
          </w:rPr>
          <w:t xml:space="preserve">https://qualitysafety.bmj.com/content/25/3/147?utm_source=chatgpt.com</w:t>
        </w:r>
      </w:hyperlink>
      <w:r>
        <w:rPr>
          <w:rFonts w:ascii="Arial" w:hAnsi="Arial" w:cs="Arial" w:eastAsia="Arial"/>
          <w:color w:val="000000"/>
          <w:spacing w:val="0"/>
          <w:position w:val="0"/>
          <w:sz w:val="22"/>
          <w:shd w:fill="auto" w:val="clear"/>
        </w:rPr>
        <w:t xml:space="preserve"> (Accessed: 16 June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Spiegelhalter, D.J. (2002) ‘Mortality and volume of cases in paediatric cardiac surgery: retrospective study based on routinely collected data’, </w:t>
      </w:r>
      <w:r>
        <w:rPr>
          <w:rFonts w:ascii="Arial" w:hAnsi="Arial" w:cs="Arial" w:eastAsia="Arial"/>
          <w:i/>
          <w:color w:val="000000"/>
          <w:spacing w:val="0"/>
          <w:position w:val="0"/>
          <w:sz w:val="22"/>
          <w:shd w:fill="auto" w:val="clear"/>
        </w:rPr>
        <w:t xml:space="preserve">BMJ</w:t>
      </w:r>
      <w:r>
        <w:rPr>
          <w:rFonts w:ascii="Arial" w:hAnsi="Arial" w:cs="Arial" w:eastAsia="Arial"/>
          <w:color w:val="000000"/>
          <w:spacing w:val="0"/>
          <w:position w:val="0"/>
          <w:sz w:val="22"/>
          <w:shd w:fill="auto" w:val="clear"/>
        </w:rPr>
        <w:t xml:space="preserve">, 324(7332), pp. 261</w:t>
      </w:r>
      <w:r>
        <w:rPr>
          <w:rFonts w:ascii="Arial" w:hAnsi="Arial" w:cs="Arial" w:eastAsia="Arial"/>
          <w:color w:val="000000"/>
          <w:spacing w:val="0"/>
          <w:position w:val="0"/>
          <w:sz w:val="22"/>
          <w:shd w:fill="auto" w:val="clear"/>
        </w:rPr>
        <w:t xml:space="preserve">–</w:t>
      </w:r>
      <w:r>
        <w:rPr>
          <w:rFonts w:ascii="Arial" w:hAnsi="Arial" w:cs="Arial" w:eastAsia="Arial"/>
          <w:color w:val="000000"/>
          <w:spacing w:val="0"/>
          <w:position w:val="0"/>
          <w:sz w:val="22"/>
          <w:shd w:fill="auto" w:val="clear"/>
        </w:rPr>
        <w:t xml:space="preserve">263. Available at: </w:t>
      </w:r>
      <w:hyperlink xmlns:r="http://schemas.openxmlformats.org/officeDocument/2006/relationships" r:id="docRId23">
        <w:r>
          <w:rPr>
            <w:rFonts w:ascii="Arial" w:hAnsi="Arial" w:cs="Arial" w:eastAsia="Arial"/>
            <w:color w:val="0000FF"/>
            <w:spacing w:val="0"/>
            <w:position w:val="0"/>
            <w:sz w:val="22"/>
            <w:u w:val="single"/>
            <w:shd w:fill="auto" w:val="clear"/>
          </w:rPr>
          <w:t xml:space="preserve">https://pmc.ncbi.nlm.nih.gov/articles/PMC65055/?utm_source=chatgpt.com</w:t>
        </w:r>
      </w:hyperlink>
      <w:r>
        <w:rPr>
          <w:rFonts w:ascii="Arial" w:hAnsi="Arial" w:cs="Arial" w:eastAsia="Arial"/>
          <w:color w:val="000000"/>
          <w:spacing w:val="0"/>
          <w:position w:val="0"/>
          <w:sz w:val="22"/>
          <w:shd w:fill="auto" w:val="clear"/>
        </w:rPr>
        <w:t xml:space="preserve"> (Accessed: 1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Vincent, C. and Amalberti, R. (2016) </w:t>
      </w:r>
      <w:r>
        <w:rPr>
          <w:rFonts w:ascii="Arial" w:hAnsi="Arial" w:cs="Arial" w:eastAsia="Arial"/>
          <w:i/>
          <w:color w:val="000000"/>
          <w:spacing w:val="0"/>
          <w:position w:val="0"/>
          <w:sz w:val="22"/>
          <w:shd w:fill="auto" w:val="clear"/>
        </w:rPr>
        <w:t xml:space="preserve">Safer Healthcare: Strategies for the Real World</w:t>
      </w:r>
      <w:r>
        <w:rPr>
          <w:rFonts w:ascii="Arial" w:hAnsi="Arial" w:cs="Arial" w:eastAsia="Arial"/>
          <w:color w:val="000000"/>
          <w:spacing w:val="0"/>
          <w:position w:val="0"/>
          <w:sz w:val="22"/>
          <w:shd w:fill="auto" w:val="clear"/>
        </w:rPr>
        <w:t xml:space="preserve">. Cham: Springer International Publishing.</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Walshe, K. and Smith, J. (eds.) (2016) </w:t>
      </w:r>
      <w:r>
        <w:rPr>
          <w:rFonts w:ascii="Arial" w:hAnsi="Arial" w:cs="Arial" w:eastAsia="Arial"/>
          <w:i/>
          <w:color w:val="000000"/>
          <w:spacing w:val="0"/>
          <w:position w:val="0"/>
          <w:sz w:val="22"/>
          <w:shd w:fill="auto" w:val="clear"/>
        </w:rPr>
        <w:t xml:space="preserve">Healthcare Management. 3rd edn</w:t>
      </w:r>
      <w:r>
        <w:rPr>
          <w:rFonts w:ascii="Arial" w:hAnsi="Arial" w:cs="Arial" w:eastAsia="Arial"/>
          <w:color w:val="000000"/>
          <w:spacing w:val="0"/>
          <w:position w:val="0"/>
          <w:sz w:val="22"/>
          <w:shd w:fill="auto" w:val="clear"/>
        </w:rPr>
        <w:t xml:space="preserve">. Maidenhead: Open University Press. </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West, M., Eckert, R., Collins, B. and Chowla, R. (2017) </w:t>
      </w:r>
      <w:r>
        <w:rPr>
          <w:rFonts w:ascii="Arial" w:hAnsi="Arial" w:cs="Arial" w:eastAsia="Arial"/>
          <w:i/>
          <w:color w:val="000000"/>
          <w:spacing w:val="0"/>
          <w:position w:val="0"/>
          <w:sz w:val="22"/>
          <w:shd w:fill="auto" w:val="clear"/>
        </w:rPr>
        <w:t xml:space="preserve">Caring to Change: How Compassionate Leadership Can Stimulate Innovation in Health Care</w:t>
      </w:r>
      <w:r>
        <w:rPr>
          <w:rFonts w:ascii="Arial" w:hAnsi="Arial" w:cs="Arial" w:eastAsia="Arial"/>
          <w:color w:val="000000"/>
          <w:spacing w:val="0"/>
          <w:position w:val="0"/>
          <w:sz w:val="22"/>
          <w:shd w:fill="auto" w:val="clear"/>
        </w:rPr>
        <w:t xml:space="preserve">. London: The King’s Fund. Available at: </w:t>
      </w:r>
      <w:hyperlink xmlns:r="http://schemas.openxmlformats.org/officeDocument/2006/relationships" r:id="docRId24">
        <w:r>
          <w:rPr>
            <w:rFonts w:ascii="Arial" w:hAnsi="Arial" w:cs="Arial" w:eastAsia="Arial"/>
            <w:color w:val="0000FF"/>
            <w:spacing w:val="0"/>
            <w:position w:val="0"/>
            <w:sz w:val="22"/>
            <w:u w:val="single"/>
            <w:shd w:fill="auto" w:val="clear"/>
          </w:rPr>
          <w:t xml:space="preserve">https://www.kingsfund.org.uk/insight-and-analysis/reports/caring-change</w:t>
        </w:r>
      </w:hyperlink>
      <w:r>
        <w:rPr>
          <w:rFonts w:ascii="Arial" w:hAnsi="Arial" w:cs="Arial" w:eastAsia="Arial"/>
          <w:color w:val="000000"/>
          <w:spacing w:val="0"/>
          <w:position w:val="0"/>
          <w:sz w:val="22"/>
          <w:shd w:fill="auto" w:val="clear"/>
        </w:rPr>
        <w:t xml:space="preserve">  (Accessed: 6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Willmington, C., Belardi, P., Murante, A.M. and Vainieri, M. (2022) ‘The contribution of benchmarking to quality improvement in healthcare: A systematic literature review’, </w:t>
      </w:r>
      <w:r>
        <w:rPr>
          <w:rFonts w:ascii="Arial" w:hAnsi="Arial" w:cs="Arial" w:eastAsia="Arial"/>
          <w:i/>
          <w:color w:val="000000"/>
          <w:spacing w:val="0"/>
          <w:position w:val="0"/>
          <w:sz w:val="22"/>
          <w:shd w:fill="auto" w:val="clear"/>
        </w:rPr>
        <w:t xml:space="preserve">BMC Health Services Research</w:t>
      </w:r>
      <w:r>
        <w:rPr>
          <w:rFonts w:ascii="Arial" w:hAnsi="Arial" w:cs="Arial" w:eastAsia="Arial"/>
          <w:color w:val="000000"/>
          <w:spacing w:val="0"/>
          <w:position w:val="0"/>
          <w:sz w:val="22"/>
          <w:shd w:fill="auto" w:val="clear"/>
        </w:rPr>
        <w:t xml:space="preserve">, 22, article 139. Available at: </w:t>
      </w:r>
      <w:hyperlink xmlns:r="http://schemas.openxmlformats.org/officeDocument/2006/relationships" r:id="docRId25">
        <w:r>
          <w:rPr>
            <w:rFonts w:ascii="Arial" w:hAnsi="Arial" w:cs="Arial" w:eastAsia="Arial"/>
            <w:color w:val="000000"/>
            <w:spacing w:val="0"/>
            <w:position w:val="0"/>
            <w:sz w:val="22"/>
            <w:u w:val="single"/>
            <w:shd w:fill="auto" w:val="clear"/>
          </w:rPr>
          <w:t xml:space="preserve">https://pmc.ncbi.nlm.nih.gov/articles/PMC8812166/</w:t>
        </w:r>
      </w:hyperlink>
      <w:r>
        <w:rPr>
          <w:rFonts w:ascii="Arial" w:hAnsi="Arial" w:cs="Arial" w:eastAsia="Arial"/>
          <w:color w:val="000000"/>
          <w:spacing w:val="0"/>
          <w:position w:val="0"/>
          <w:sz w:val="22"/>
          <w:shd w:fill="auto" w:val="clear"/>
        </w:rPr>
        <w:t xml:space="preserve"> (Accessed: 11 July 2026).</w:t>
      </w:r>
    </w:p>
    <w:p>
      <w:pPr>
        <w:spacing w:before="100" w:after="10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World Health Organization (2021) </w:t>
      </w:r>
      <w:r>
        <w:rPr>
          <w:rFonts w:ascii="Arial" w:hAnsi="Arial" w:cs="Arial" w:eastAsia="Arial"/>
          <w:i/>
          <w:color w:val="000000"/>
          <w:spacing w:val="0"/>
          <w:position w:val="0"/>
          <w:sz w:val="22"/>
          <w:shd w:fill="auto" w:val="clear"/>
        </w:rPr>
        <w:t xml:space="preserve">Global Patient Safety Action Plan 2021</w:t>
      </w:r>
      <w:r>
        <w:rPr>
          <w:rFonts w:ascii="Arial" w:hAnsi="Arial" w:cs="Arial" w:eastAsia="Arial"/>
          <w:i/>
          <w:color w:val="000000"/>
          <w:spacing w:val="0"/>
          <w:position w:val="0"/>
          <w:sz w:val="22"/>
          <w:shd w:fill="auto" w:val="clear"/>
        </w:rPr>
        <w:t xml:space="preserve">–</w:t>
      </w:r>
      <w:r>
        <w:rPr>
          <w:rFonts w:ascii="Arial" w:hAnsi="Arial" w:cs="Arial" w:eastAsia="Arial"/>
          <w:i/>
          <w:color w:val="000000"/>
          <w:spacing w:val="0"/>
          <w:position w:val="0"/>
          <w:sz w:val="22"/>
          <w:shd w:fill="auto" w:val="clear"/>
        </w:rPr>
        <w:t xml:space="preserve">2030. Geneva: World Health Organization</w:t>
      </w:r>
      <w:r>
        <w:rPr>
          <w:rFonts w:ascii="Arial" w:hAnsi="Arial" w:cs="Arial" w:eastAsia="Arial"/>
          <w:color w:val="000000"/>
          <w:spacing w:val="0"/>
          <w:position w:val="0"/>
          <w:sz w:val="22"/>
          <w:shd w:fill="auto" w:val="clear"/>
        </w:rPr>
        <w:t xml:space="preserve">. Available at: </w:t>
      </w:r>
      <w:hyperlink xmlns:r="http://schemas.openxmlformats.org/officeDocument/2006/relationships" r:id="docRId26">
        <w:r>
          <w:rPr>
            <w:rFonts w:ascii="Arial" w:hAnsi="Arial" w:cs="Arial" w:eastAsia="Arial"/>
            <w:color w:val="0000FF"/>
            <w:spacing w:val="0"/>
            <w:position w:val="0"/>
            <w:sz w:val="22"/>
            <w:u w:val="single"/>
            <w:shd w:fill="auto" w:val="clear"/>
          </w:rPr>
          <w:t xml:space="preserve">https://www.who.int/publications/i/item/9789240032705?utm_source=chatgpt.com</w:t>
        </w:r>
      </w:hyperlink>
      <w:r>
        <w:rPr>
          <w:rFonts w:ascii="Arial" w:hAnsi="Arial" w:cs="Arial" w:eastAsia="Arial"/>
          <w:color w:val="000000"/>
          <w:spacing w:val="0"/>
          <w:position w:val="0"/>
          <w:sz w:val="22"/>
          <w:shd w:fill="auto" w:val="clear"/>
        </w:rPr>
        <w:t xml:space="preserve"> (Accessed: 2 July 2026).</w:t>
      </w:r>
    </w:p>
    <w:p>
      <w:pPr>
        <w:spacing w:before="100" w:after="100" w:line="360"/>
        <w:ind w:right="0" w:left="0" w:firstLine="0"/>
        <w:jc w:val="left"/>
        <w:rPr>
          <w:rFonts w:ascii="Arial" w:hAnsi="Arial" w:cs="Arial" w:eastAsia="Arial"/>
          <w:color w:val="000000"/>
          <w:spacing w:val="0"/>
          <w:position w:val="0"/>
          <w:sz w:val="22"/>
          <w:shd w:fill="auto" w:val="clear"/>
        </w:rPr>
      </w:pPr>
    </w:p>
    <w:p>
      <w:pPr>
        <w:spacing w:before="0" w:after="160" w:line="360"/>
        <w:ind w:right="0" w:left="0" w:firstLine="0"/>
        <w:jc w:val="left"/>
        <w:rPr>
          <w:rFonts w:ascii="Arial" w:hAnsi="Arial" w:cs="Arial" w:eastAsia="Arial"/>
          <w:color w:val="000000"/>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nice.org.uk/what-nice-does/standards-and-indicators" Id="docRId17" Type="http://schemas.openxmlformats.org/officeDocument/2006/relationships/hyperlink" /><Relationship TargetMode="External" Target="https://www.kingsfund.org.uk/insight-and-analysis/reports/caring-change" Id="docRId24" Type="http://schemas.openxmlformats.org/officeDocument/2006/relationships/hyperlink" /><Relationship TargetMode="External" Target="https://pmc.ncbi.nlm.nih.gov/articles/PMC11031995/?utm_source=chatgpt.com" Id="docRId7" Type="http://schemas.openxmlformats.org/officeDocument/2006/relationships/hyperlink" /><Relationship TargetMode="External" Target="https://www.bristol-inquiry.org.uk/final_report/the_report.pdf?utm_source=chatgpt.com" Id="docRId14" Type="http://schemas.openxmlformats.org/officeDocument/2006/relationships/hyperlink" /><Relationship TargetMode="External" Target="https://pmc.ncbi.nlm.nih.gov/articles/PMC65055/?utm_source=chatgpt.com" Id="docRId23" Type="http://schemas.openxmlformats.org/officeDocument/2006/relationships/hyperlink" /><Relationship TargetMode="External" Target="https://jamanetwork.com/journals/jama/article-abstract/374139?utm_source=chatgpt.com" Id="docRId6" Type="http://schemas.openxmlformats.org/officeDocument/2006/relationships/hyperlink" /><Relationship Target="media/image0.wmf" Id="docRId1" Type="http://schemas.openxmlformats.org/officeDocument/2006/relationships/image" /><Relationship TargetMode="External" Target="https://www.bmj.com/content/363/bmj.k4907?utm_source=chatgpt.com" Id="docRId15" Type="http://schemas.openxmlformats.org/officeDocument/2006/relationships/hyperlink" /><Relationship TargetMode="External" Target="https://qualitysafety.bmj.com/content/25/3/147?utm_source=chatgpt.com" Id="docRId22" Type="http://schemas.openxmlformats.org/officeDocument/2006/relationships/hyperlink" /><Relationship TargetMode="External" Target="https://www.legislation.gov.uk/ukpga/2022/31/contents?utm_source=chatgpt.com" Id="docRId9" Type="http://schemas.openxmlformats.org/officeDocument/2006/relationships/hyperlink" /><Relationship Target="embeddings/oleObject0.bin" Id="docRId0" Type="http://schemas.openxmlformats.org/officeDocument/2006/relationships/oleObject" /><Relationship TargetMode="External" Target="https://www.ihi.org/library/model-for-improvement" Id="docRId12" Type="http://schemas.openxmlformats.org/officeDocument/2006/relationships/hyperlink" /><Relationship TargetMode="External" Target="https://www.bmj.com/content/320/7237/768?utm_source=chatgpt.com" Id="docRId21" Type="http://schemas.openxmlformats.org/officeDocument/2006/relationships/hyperlink" /><Relationship TargetMode="External" Target="https://assets.publishing.service.gov.uk/media/5a7c9bec40f0b65b3de09fde/0898_i.pdf?utm_source=chatgpt.com" Id="docRId8" Type="http://schemas.openxmlformats.org/officeDocument/2006/relationships/hyperlink" /><Relationship TargetMode="External" Target="https://www.bmj.com/content/364/bmj.k5437?utm_source=chatgpt.com" Id="docRId13" Type="http://schemas.openxmlformats.org/officeDocument/2006/relationships/hyperlink" /><Relationship TargetMode="External" Target="https://link.springer.com/article/10.1186/s12961-020-00644-3?utm_source=chatgpt.com" Id="docRId20" Type="http://schemas.openxmlformats.org/officeDocument/2006/relationships/hyperlink" /><Relationship Target="styles.xml" Id="docRId28" Type="http://schemas.openxmlformats.org/officeDocument/2006/relationships/styles" /><Relationship TargetMode="External" Target="https://bmjopen.bmj.com/content/7/11/e017708?utm_source=chatgpt.com" Id="docRId3" Type="http://schemas.openxmlformats.org/officeDocument/2006/relationships/hyperlink" /><Relationship TargetMode="External" Target="https://www.health.org.uk/resources-and-toolkits/quick-guides/quality-improvement-made-simple?utm_source=chatgpt.com" Id="docRId10" Type="http://schemas.openxmlformats.org/officeDocument/2006/relationships/hyperlink" /><Relationship TargetMode="External" Target="https://www.england.nhs.uk/long-read/patient-safety-incident-response-framework/?utm_source=chatgpt.com" Id="docRId18" Type="http://schemas.openxmlformats.org/officeDocument/2006/relationships/hyperlink" /><Relationship TargetMode="External" Target="https://www.kingsfund.org.uk/insight-and-analysis/long-reads/what-is-compassionate-leadership?utm_source=chatgpt.com" Id="docRId2" Type="http://schemas.openxmlformats.org/officeDocument/2006/relationships/hyperlink" /><Relationship Target="numbering.xml" Id="docRId27" Type="http://schemas.openxmlformats.org/officeDocument/2006/relationships/numbering" /><Relationship TargetMode="External" Target="https://www.kingsfund.org.uk/insight-and-analysis/reports/leading-across-health-care-system-lessons-experience?utm_source=chatgpt.com" Id="docRId11" Type="http://schemas.openxmlformats.org/officeDocument/2006/relationships/hyperlink" /><Relationship TargetMode="External" Target="https://www.england.nhs.uk/patient-safety/the-nhs-patient-safety-strategy/?utm_source=chatgpt.com" Id="docRId19" Type="http://schemas.openxmlformats.org/officeDocument/2006/relationships/hyperlink" /><Relationship TargetMode="External" Target="https://www.who.int/publications/i/item/9789240032705?utm_source=chatgpt.com" Id="docRId26" Type="http://schemas.openxmlformats.org/officeDocument/2006/relationships/hyperlink" /><Relationship TargetMode="External" Target="https://qualitysafety.bmj.com/content/23/2/106?utm_source=chatgpt.com" Id="docRId5" Type="http://schemas.openxmlformats.org/officeDocument/2006/relationships/hyperlink" /><Relationship TargetMode="External" Target="https://doi.org/10.1136/bmj.323.7305.125/a" Id="docRId16" Type="http://schemas.openxmlformats.org/officeDocument/2006/relationships/hyperlink" /><Relationship TargetMode="External" Target="https://pmc.ncbi.nlm.nih.gov/articles/PMC8812166/?utm_source=chatgpt.com" Id="docRId25" Type="http://schemas.openxmlformats.org/officeDocument/2006/relationships/hyperlink" /><Relationship TargetMode="External" Target="https://www.cqc.org.uk/publications/major-report/state-care/2022-2023/workforce?utm_source=chatgpt.com" Id="docRId4" Type="http://schemas.openxmlformats.org/officeDocument/2006/relationships/hyperlink" /></Relationships>
</file>