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240"/>
      </w:pPr>
      <w:r>
        <w:rPr>
          <w:rFonts w:ascii="Times New Roman" w:cs="Times New Roman" w:eastAsia="Times New Roman" w:hAnsi="Times New Roman"/>
          <w:b/>
          <w:bCs/>
          <w:sz w:val="28"/>
          <w:szCs w:val="28"/>
        </w:rPr>
        <w:t xml:space="preserve">BSc (Hons) Health and Social Care</w:t>
      </w:r>
    </w:p>
    <w:p>
      <w:pPr>
        <w:spacing w:after="240"/>
      </w:pPr>
      <w:r>
        <w:rPr>
          <w:rFonts w:ascii="Times New Roman" w:cs="Times New Roman" w:eastAsia="Times New Roman" w:hAnsi="Times New Roman"/>
          <w:b/>
          <w:bCs/>
          <w:sz w:val="24"/>
          <w:szCs w:val="24"/>
        </w:rPr>
        <w:t xml:space="preserve">Module: </w:t>
      </w:r>
      <w:r>
        <w:rPr>
          <w:rFonts w:ascii="Times New Roman" w:cs="Times New Roman" w:eastAsia="Times New Roman" w:hAnsi="Times New Roman"/>
          <w:sz w:val="24"/>
          <w:szCs w:val="24"/>
        </w:rPr>
        <w:t xml:space="preserve">Introduction to Independent Research Skills (BMHP5019)</w:t>
      </w:r>
    </w:p>
    <w:p>
      <w:pPr>
        <w:spacing w:after="240"/>
      </w:pPr>
      <w:r>
        <w:rPr>
          <w:rFonts w:ascii="Times New Roman" w:cs="Times New Roman" w:eastAsia="Times New Roman" w:hAnsi="Times New Roman"/>
          <w:b/>
          <w:bCs/>
          <w:sz w:val="24"/>
          <w:szCs w:val="24"/>
        </w:rPr>
        <w:t xml:space="preserve">Assessment title: </w:t>
      </w:r>
      <w:r>
        <w:rPr>
          <w:rFonts w:ascii="Times New Roman" w:cs="Times New Roman" w:eastAsia="Times New Roman" w:hAnsi="Times New Roman"/>
          <w:sz w:val="24"/>
          <w:szCs w:val="24"/>
        </w:rPr>
        <w:t xml:space="preserve">Assessment 1 - Research Proposal</w:t>
      </w:r>
    </w:p>
    <w:p>
      <w:pPr>
        <w:spacing w:after="240"/>
      </w:pPr>
      <w:r>
        <w:rPr>
          <w:rFonts w:ascii="Times New Roman" w:cs="Times New Roman" w:eastAsia="Times New Roman" w:hAnsi="Times New Roman"/>
          <w:b/>
          <w:bCs/>
          <w:sz w:val="24"/>
          <w:szCs w:val="24"/>
        </w:rPr>
        <w:t xml:space="preserve">Student ID: </w:t>
      </w:r>
      <w:r>
        <w:rPr>
          <w:rFonts w:ascii="Times New Roman" w:cs="Times New Roman" w:eastAsia="Times New Roman" w:hAnsi="Times New Roman"/>
          <w:sz w:val="24"/>
          <w:szCs w:val="24"/>
        </w:rPr>
        <w:t xml:space="preserve">2335890</w:t>
      </w:r>
    </w:p>
    <w:p>
      <w:pPr>
        <w:spacing w:after="240"/>
      </w:pPr>
      <w:r>
        <w:rPr>
          <w:rFonts w:ascii="Times New Roman" w:cs="Times New Roman" w:eastAsia="Times New Roman" w:hAnsi="Times New Roman"/>
          <w:b/>
          <w:bCs/>
          <w:sz w:val="24"/>
          <w:szCs w:val="24"/>
        </w:rPr>
        <w:t xml:space="preserve">Student Name: </w:t>
      </w:r>
      <w:r>
        <w:rPr>
          <w:rFonts w:ascii="Times New Roman" w:cs="Times New Roman" w:eastAsia="Times New Roman" w:hAnsi="Times New Roman"/>
          <w:sz w:val="24"/>
          <w:szCs w:val="24"/>
        </w:rPr>
        <w:t xml:space="preserve">Cristina Apostol</w:t>
      </w:r>
    </w:p>
    <w:p>
      <w:pPr>
        <w:spacing w:after="240"/>
      </w:pPr>
      <w:r>
        <w:rPr>
          <w:rFonts w:ascii="Times New Roman" w:cs="Times New Roman" w:eastAsia="Times New Roman" w:hAnsi="Times New Roman"/>
          <w:b/>
          <w:bCs/>
          <w:sz w:val="24"/>
          <w:szCs w:val="24"/>
        </w:rPr>
        <w:t xml:space="preserve">Lecturer: </w:t>
      </w:r>
      <w:r>
        <w:rPr>
          <w:rFonts w:ascii="Times New Roman" w:cs="Times New Roman" w:eastAsia="Times New Roman" w:hAnsi="Times New Roman"/>
          <w:sz w:val="24"/>
          <w:szCs w:val="24"/>
        </w:rPr>
        <w:t xml:space="preserve">Dr Eleni Koutsogeorgou-Andreou</w:t>
      </w:r>
    </w:p>
    <w:p>
      <w:pPr>
        <w:spacing w:after="240"/>
      </w:pPr>
      <w:r>
        <w:rPr>
          <w:rFonts w:ascii="Times New Roman" w:cs="Times New Roman" w:eastAsia="Times New Roman" w:hAnsi="Times New Roman"/>
          <w:b/>
          <w:bCs/>
          <w:sz w:val="24"/>
          <w:szCs w:val="24"/>
        </w:rPr>
        <w:t xml:space="preserve">Date of submission: </w:t>
      </w:r>
      <w:r>
        <w:rPr>
          <w:rFonts w:ascii="Times New Roman" w:cs="Times New Roman" w:eastAsia="Times New Roman" w:hAnsi="Times New Roman"/>
          <w:sz w:val="24"/>
          <w:szCs w:val="24"/>
        </w:rPr>
        <w:t xml:space="preserve">14 August 2026</w:t>
      </w:r>
    </w:p>
    <w:p>
      <w:pPr>
        <w:spacing w:after="240"/>
      </w:pPr>
      <w:r>
        <w:rPr>
          <w:rFonts w:ascii="Times New Roman" w:cs="Times New Roman" w:eastAsia="Times New Roman" w:hAnsi="Times New Roman"/>
          <w:b/>
          <w:bCs/>
          <w:sz w:val="24"/>
          <w:szCs w:val="24"/>
        </w:rPr>
        <w:t xml:space="preserve">Word count: </w:t>
      </w:r>
      <w:r>
        <w:rPr>
          <w:rFonts w:ascii="Times New Roman" w:cs="Times New Roman" w:eastAsia="Times New Roman" w:hAnsi="Times New Roman"/>
          <w:sz w:val="24"/>
          <w:szCs w:val="24"/>
        </w:rPr>
        <w:t xml:space="preserve">398 (excluding cover page, contents and reference list)</w:t>
      </w:r>
    </w:p>
    <w:p>
      <w:r>
        <w:br w:type="page"/>
      </w:r>
    </w:p>
    <w:p>
      <w:pPr>
        <w:spacing w:after="240"/>
      </w:pPr>
      <w:r>
        <w:rPr>
          <w:rFonts w:ascii="Times New Roman" w:cs="Times New Roman" w:eastAsia="Times New Roman" w:hAnsi="Times New Roman"/>
          <w:b/>
          <w:bCs/>
          <w:sz w:val="28"/>
          <w:szCs w:val="28"/>
        </w:rPr>
        <w:t xml:space="preserve">Contents</w:t>
      </w:r>
    </w:p>
    <w:p>
      <w:pPr>
        <w:tabs>
          <w:tab w:val="right" w:pos="9026" w:leader="dot"/>
        </w:tabs>
        <w:spacing w:after="120"/>
      </w:pPr>
      <w:r>
        <w:rPr>
          <w:rFonts w:ascii="Times New Roman" w:cs="Times New Roman" w:eastAsia="Times New Roman" w:hAnsi="Times New Roman"/>
          <w:sz w:val="24"/>
          <w:szCs w:val="24"/>
        </w:rPr>
        <w:t xml:space="preserve">Research Proposal	3</w:t>
      </w:r>
    </w:p>
    <w:p>
      <w:pPr>
        <w:tabs>
          <w:tab w:val="right" w:pos="9026" w:leader="dot"/>
        </w:tabs>
        <w:spacing w:after="120"/>
        <w:ind w:left="431"/>
      </w:pPr>
      <w:r>
        <w:rPr>
          <w:rFonts w:ascii="Times New Roman" w:cs="Times New Roman" w:eastAsia="Times New Roman" w:hAnsi="Times New Roman"/>
          <w:sz w:val="24"/>
          <w:szCs w:val="24"/>
        </w:rPr>
        <w:t xml:space="preserve">Topic	3</w:t>
      </w:r>
    </w:p>
    <w:p>
      <w:pPr>
        <w:tabs>
          <w:tab w:val="right" w:pos="9026" w:leader="dot"/>
        </w:tabs>
        <w:spacing w:after="120"/>
        <w:ind w:left="431"/>
      </w:pPr>
      <w:r>
        <w:rPr>
          <w:rFonts w:ascii="Times New Roman" w:cs="Times New Roman" w:eastAsia="Times New Roman" w:hAnsi="Times New Roman"/>
          <w:sz w:val="24"/>
          <w:szCs w:val="24"/>
        </w:rPr>
        <w:t xml:space="preserve">1) Review question	3</w:t>
      </w:r>
    </w:p>
    <w:p>
      <w:pPr>
        <w:tabs>
          <w:tab w:val="right" w:pos="9026" w:leader="dot"/>
        </w:tabs>
        <w:spacing w:after="120"/>
        <w:ind w:left="431"/>
      </w:pPr>
      <w:r>
        <w:rPr>
          <w:rFonts w:ascii="Times New Roman" w:cs="Times New Roman" w:eastAsia="Times New Roman" w:hAnsi="Times New Roman"/>
          <w:sz w:val="24"/>
          <w:szCs w:val="24"/>
        </w:rPr>
        <w:t xml:space="preserve">2) Objectives	3</w:t>
      </w:r>
    </w:p>
    <w:p>
      <w:pPr>
        <w:tabs>
          <w:tab w:val="right" w:pos="9026" w:leader="dot"/>
        </w:tabs>
        <w:spacing w:after="120"/>
        <w:ind w:left="431"/>
      </w:pPr>
      <w:r>
        <w:rPr>
          <w:rFonts w:ascii="Times New Roman" w:cs="Times New Roman" w:eastAsia="Times New Roman" w:hAnsi="Times New Roman"/>
          <w:sz w:val="24"/>
          <w:szCs w:val="24"/>
        </w:rPr>
        <w:t xml:space="preserve">3) Rationale	3</w:t>
      </w:r>
    </w:p>
    <w:p>
      <w:pPr>
        <w:tabs>
          <w:tab w:val="right" w:pos="9026" w:leader="dot"/>
        </w:tabs>
        <w:spacing w:after="120"/>
        <w:ind w:left="431"/>
      </w:pPr>
      <w:r>
        <w:rPr>
          <w:rFonts w:ascii="Times New Roman" w:cs="Times New Roman" w:eastAsia="Times New Roman" w:hAnsi="Times New Roman"/>
          <w:sz w:val="24"/>
          <w:szCs w:val="24"/>
        </w:rPr>
        <w:t xml:space="preserve">4) Methods	4</w:t>
      </w:r>
    </w:p>
    <w:p>
      <w:pPr>
        <w:tabs>
          <w:tab w:val="right" w:pos="9026" w:leader="dot"/>
        </w:tabs>
        <w:spacing w:after="120"/>
        <w:ind w:left="431"/>
      </w:pPr>
      <w:r>
        <w:rPr>
          <w:rFonts w:ascii="Times New Roman" w:cs="Times New Roman" w:eastAsia="Times New Roman" w:hAnsi="Times New Roman"/>
          <w:sz w:val="24"/>
          <w:szCs w:val="24"/>
        </w:rPr>
        <w:t xml:space="preserve">5) Ethical considerations	4</w:t>
      </w:r>
    </w:p>
    <w:p>
      <w:pPr>
        <w:tabs>
          <w:tab w:val="right" w:pos="9026" w:leader="dot"/>
        </w:tabs>
        <w:spacing w:after="120"/>
      </w:pPr>
      <w:r>
        <w:rPr>
          <w:rFonts w:ascii="Times New Roman" w:cs="Times New Roman" w:eastAsia="Times New Roman" w:hAnsi="Times New Roman"/>
          <w:sz w:val="24"/>
          <w:szCs w:val="24"/>
        </w:rPr>
        <w:t xml:space="preserve">References	4</w:t>
      </w:r>
    </w:p>
    <w:p>
      <w:r>
        <w:br w:type="page"/>
      </w:r>
    </w:p>
    <w:p>
      <w:pPr>
        <w:pStyle w:val="Heading1"/>
        <w:spacing w:after="240" w:before="240"/>
      </w:pPr>
      <w:r>
        <w:rPr>
          <w:rFonts w:ascii="Times New Roman" w:cs="Times New Roman" w:eastAsia="Times New Roman" w:hAnsi="Times New Roman"/>
          <w:b/>
          <w:bCs/>
          <w:color w:val="000000"/>
          <w:sz w:val="28"/>
          <w:szCs w:val="28"/>
        </w:rPr>
        <w:t xml:space="preserve">Research Proposal</w:t>
      </w:r>
    </w:p>
    <w:p>
      <w:pPr>
        <w:pStyle w:val="Heading2"/>
        <w:spacing w:after="160" w:before="200"/>
      </w:pPr>
      <w:r>
        <w:rPr>
          <w:rFonts w:ascii="Times New Roman" w:cs="Times New Roman" w:eastAsia="Times New Roman" w:hAnsi="Times New Roman"/>
          <w:b/>
          <w:bCs/>
          <w:color w:val="000000"/>
          <w:sz w:val="26"/>
          <w:szCs w:val="26"/>
        </w:rPr>
        <w:t xml:space="preserve">Topic:</w:t>
      </w:r>
    </w:p>
    <w:p>
      <w:pPr>
        <w:spacing w:after="200" w:line="360"/>
        <w:jc w:val="both"/>
      </w:pPr>
      <w:r>
        <w:rPr>
          <w:rFonts w:ascii="Times New Roman" w:cs="Times New Roman" w:eastAsia="Times New Roman" w:hAnsi="Times New Roman"/>
          <w:sz w:val="24"/>
          <w:szCs w:val="24"/>
        </w:rPr>
        <w:t xml:space="preserve">The system-level conditions shaping how obesity care is accessed and provided in UK primary care.</w:t>
      </w:r>
    </w:p>
    <w:p>
      <w:pPr>
        <w:pStyle w:val="Heading2"/>
        <w:spacing w:after="160" w:before="200"/>
      </w:pPr>
      <w:r>
        <w:rPr>
          <w:rFonts w:ascii="Times New Roman" w:cs="Times New Roman" w:eastAsia="Times New Roman" w:hAnsi="Times New Roman"/>
          <w:b/>
          <w:bCs/>
          <w:color w:val="000000"/>
          <w:sz w:val="26"/>
          <w:szCs w:val="26"/>
        </w:rPr>
        <w:t xml:space="preserve">1) Review question:</w:t>
      </w:r>
    </w:p>
    <w:p>
      <w:pPr>
        <w:spacing w:after="200" w:line="360"/>
        <w:jc w:val="both"/>
      </w:pPr>
      <w:r>
        <w:rPr>
          <w:rFonts w:ascii="Times New Roman" w:cs="Times New Roman" w:eastAsia="Times New Roman" w:hAnsi="Times New Roman"/>
          <w:sz w:val="24"/>
          <w:szCs w:val="24"/>
        </w:rPr>
        <w:t xml:space="preserve">What system-level conditions help or hinder patients in reaching, and professionals in delivering, effective weight-management services in UK primary care?</w:t>
      </w:r>
    </w:p>
    <w:p>
      <w:pPr>
        <w:pStyle w:val="Heading2"/>
        <w:spacing w:after="160" w:before="200"/>
      </w:pPr>
      <w:r>
        <w:rPr>
          <w:rFonts w:ascii="Times New Roman" w:cs="Times New Roman" w:eastAsia="Times New Roman" w:hAnsi="Times New Roman"/>
          <w:b/>
          <w:bCs/>
          <w:color w:val="000000"/>
          <w:sz w:val="26"/>
          <w:szCs w:val="26"/>
        </w:rPr>
        <w:t xml:space="preserve">2) Objectives:</w:t>
      </w:r>
    </w:p>
    <w:p>
      <w:pPr>
        <w:pStyle w:val="ListParagraph"/>
        <w:numPr>
          <w:ilvl w:val="0"/>
          <w:numId w:val="2"/>
        </w:numPr>
        <w:spacing w:after="120" w:line="360"/>
        <w:jc w:val="both"/>
      </w:pPr>
      <w:r>
        <w:rPr>
          <w:rFonts w:ascii="Times New Roman" w:cs="Times New Roman" w:eastAsia="Times New Roman" w:hAnsi="Times New Roman"/>
          <w:sz w:val="24"/>
          <w:szCs w:val="24"/>
        </w:rPr>
        <w:t xml:space="preserve">To map the organisational and practical difficulties professionals face when providing weight-management care;</w:t>
      </w:r>
    </w:p>
    <w:p>
      <w:pPr>
        <w:pStyle w:val="ListParagraph"/>
        <w:numPr>
          <w:ilvl w:val="0"/>
          <w:numId w:val="2"/>
        </w:numPr>
        <w:spacing w:after="120" w:line="360"/>
        <w:jc w:val="both"/>
      </w:pPr>
      <w:r>
        <w:rPr>
          <w:rFonts w:ascii="Times New Roman" w:cs="Times New Roman" w:eastAsia="Times New Roman" w:hAnsi="Times New Roman"/>
          <w:sz w:val="24"/>
          <w:szCs w:val="24"/>
        </w:rPr>
        <w:t xml:space="preserve">To examine what patients say helps or holds them back in seeking obesity treatment; and</w:t>
      </w:r>
    </w:p>
    <w:p>
      <w:pPr>
        <w:pStyle w:val="ListParagraph"/>
        <w:numPr>
          <w:ilvl w:val="0"/>
          <w:numId w:val="2"/>
        </w:numPr>
        <w:spacing w:after="120" w:line="360"/>
        <w:jc w:val="both"/>
      </w:pPr>
      <w:r>
        <w:rPr>
          <w:rFonts w:ascii="Times New Roman" w:cs="Times New Roman" w:eastAsia="Times New Roman" w:hAnsi="Times New Roman"/>
          <w:sz w:val="24"/>
          <w:szCs w:val="24"/>
        </w:rPr>
        <w:t xml:space="preserve">To weigh what this means for equity in health and social care.</w:t>
      </w:r>
    </w:p>
    <w:p>
      <w:pPr>
        <w:pStyle w:val="Heading2"/>
        <w:spacing w:after="160" w:before="200"/>
      </w:pPr>
      <w:r>
        <w:rPr>
          <w:rFonts w:ascii="Times New Roman" w:cs="Times New Roman" w:eastAsia="Times New Roman" w:hAnsi="Times New Roman"/>
          <w:b/>
          <w:bCs/>
          <w:color w:val="000000"/>
          <w:sz w:val="26"/>
          <w:szCs w:val="26"/>
        </w:rPr>
        <w:t xml:space="preserve">3) Rationale:</w:t>
      </w:r>
    </w:p>
    <w:p>
      <w:pPr>
        <w:spacing w:after="200" w:line="360"/>
        <w:jc w:val="both"/>
      </w:pPr>
      <w:r>
        <w:rPr>
          <w:rFonts w:ascii="Times New Roman" w:cs="Times New Roman" w:eastAsia="Times New Roman" w:hAnsi="Times New Roman"/>
          <w:sz w:val="24"/>
          <w:szCs w:val="24"/>
        </w:rPr>
        <w:t xml:space="preserve">The numbers are stark: in 2022, around 29% of UK adults were living with obesity and 64% carried excess weight (NHS England Digital, 2023). Excess weight raises the risk of cardiovascular disease and type 2 diabetes and deepens health inequalities (WHO, 2021). Primary care is usually where obesity is first identified and referral arranged (Aveyard et al., 2016). Yet provision varies by area (Flint et al., 2021), and access to newer weight-loss medicines differs across Integrated Care Boards despite current guidance (NICE, 2025; de Bray et al., 2025). Stigma compounds this: patients often report feeling shamed in clinical settings and may avoid seeking support altogether (Ryan et al., 2023). Fair, evidence-based care depends on grasping these pressures.</w:t>
      </w:r>
    </w:p>
    <w:p>
      <w:pPr>
        <w:pStyle w:val="Heading2"/>
        <w:spacing w:after="160" w:before="200"/>
      </w:pPr>
      <w:r>
        <w:rPr>
          <w:rFonts w:ascii="Times New Roman" w:cs="Times New Roman" w:eastAsia="Times New Roman" w:hAnsi="Times New Roman"/>
          <w:b/>
          <w:bCs/>
          <w:color w:val="000000"/>
          <w:sz w:val="26"/>
          <w:szCs w:val="26"/>
        </w:rPr>
        <w:t xml:space="preserve">4) Methods:</w:t>
      </w:r>
    </w:p>
    <w:p>
      <w:pPr>
        <w:spacing w:after="200" w:line="360"/>
        <w:jc w:val="both"/>
      </w:pPr>
      <w:r>
        <w:rPr>
          <w:rFonts w:ascii="Times New Roman" w:cs="Times New Roman" w:eastAsia="Times New Roman" w:hAnsi="Times New Roman"/>
          <w:sz w:val="24"/>
          <w:szCs w:val="24"/>
        </w:rPr>
        <w:t xml:space="preserve">The project is secondary research: a scoping review, a design for gauging the volume, nature and spread of evidence on a wide subject and where gaps remain (Arksey and O’Malley, 2005). Arksey and O’Malley’s (2005) five stages, extended by Levac, Colquhoun and O’Brien (2010), will structure the review; reporting will follow PRISMA-ScR (Tricco et al., 2018). Boolean searches combining terms for primary care, obesity, barriers or enablers, and UK settings will be run in the Cochrane Library, CINAHL and PubMed. Studies must be primary or secondary peer-reviewed research on UK adults in primary care, in English, from the last ten years. About six papers will be charted (author, date, design, sample, results) and analysed thematically through the six phases of Braun and Clarke (2006).</w:t>
      </w:r>
    </w:p>
    <w:p>
      <w:pPr>
        <w:pStyle w:val="Heading2"/>
        <w:spacing w:after="160" w:before="200"/>
      </w:pPr>
      <w:r>
        <w:rPr>
          <w:rFonts w:ascii="Times New Roman" w:cs="Times New Roman" w:eastAsia="Times New Roman" w:hAnsi="Times New Roman"/>
          <w:b/>
          <w:bCs/>
          <w:color w:val="000000"/>
          <w:sz w:val="26"/>
          <w:szCs w:val="26"/>
        </w:rPr>
        <w:t xml:space="preserve">5) Ethical considerations:</w:t>
      </w:r>
    </w:p>
    <w:p>
      <w:pPr>
        <w:spacing w:after="200" w:line="360"/>
        <w:jc w:val="both"/>
      </w:pPr>
      <w:r>
        <w:rPr>
          <w:rFonts w:ascii="Times New Roman" w:cs="Times New Roman" w:eastAsia="Times New Roman" w:hAnsi="Times New Roman"/>
          <w:sz w:val="24"/>
          <w:szCs w:val="24"/>
        </w:rPr>
        <w:t xml:space="preserve">As only material published in peer-reviewed journals is used, no participants or personal data are involved and NHS or university ethics approval is not required; institutional self-certification will nonetheless be carried out (Mak and Thomas, 2025). Sound conduct in secondary research rests on honesty and rigour: reporting findings faithfully, crediting every source, and documenting a replicable search to guard against biased study selection (Tricco et al., 2018).</w:t>
      </w:r>
    </w:p>
    <w:p>
      <w:r>
        <w:br w:type="page"/>
      </w:r>
    </w:p>
    <w:p>
      <w:pPr>
        <w:pStyle w:val="Heading1"/>
        <w:spacing w:after="240" w:before="240"/>
      </w:pPr>
      <w:r>
        <w:rPr>
          <w:rFonts w:ascii="Times New Roman" w:cs="Times New Roman" w:eastAsia="Times New Roman" w:hAnsi="Times New Roman"/>
          <w:b/>
          <w:bCs/>
          <w:color w:val="000000"/>
          <w:sz w:val="28"/>
          <w:szCs w:val="28"/>
        </w:rPr>
        <w:t xml:space="preserve">References</w:t>
      </w:r>
    </w:p>
    <w:p>
      <w:pPr>
        <w:spacing w:after="200" w:line="360"/>
        <w:ind w:left="720" w:hanging="720"/>
        <w:jc w:val="left"/>
      </w:pPr>
      <w:r>
        <w:rPr>
          <w:rFonts w:ascii="Times New Roman" w:cs="Times New Roman" w:eastAsia="Times New Roman" w:hAnsi="Times New Roman"/>
          <w:sz w:val="24"/>
          <w:szCs w:val="24"/>
        </w:rPr>
        <w:t xml:space="preserve">Arksey, H. and O’Malley, L. (2005) ‘Scoping studies: towards a methodological framework’, </w:t>
      </w:r>
      <w:r>
        <w:rPr>
          <w:rFonts w:ascii="Times New Roman" w:cs="Times New Roman" w:eastAsia="Times New Roman" w:hAnsi="Times New Roman"/>
          <w:i/>
          <w:iCs/>
          <w:sz w:val="24"/>
          <w:szCs w:val="24"/>
        </w:rPr>
        <w:t xml:space="preserve">International Journal of Social Research Methodology</w:t>
      </w:r>
      <w:r>
        <w:rPr>
          <w:rFonts w:ascii="Times New Roman" w:cs="Times New Roman" w:eastAsia="Times New Roman" w:hAnsi="Times New Roman"/>
          <w:sz w:val="24"/>
          <w:szCs w:val="24"/>
        </w:rPr>
        <w:t xml:space="preserve">, 8(1), pp. 19–32.</w:t>
      </w:r>
    </w:p>
    <w:p>
      <w:pPr>
        <w:spacing w:after="200" w:line="360"/>
        <w:ind w:left="720" w:hanging="720"/>
        <w:jc w:val="left"/>
      </w:pPr>
      <w:r>
        <w:rPr>
          <w:rFonts w:ascii="Times New Roman" w:cs="Times New Roman" w:eastAsia="Times New Roman" w:hAnsi="Times New Roman"/>
          <w:sz w:val="24"/>
          <w:szCs w:val="24"/>
        </w:rPr>
        <w:t xml:space="preserve">Aveyard, P., Lewis, A., Tearne, S., Hood, K., Christian-Brown, A., Adab, P., Begh, R., Jolly, K., Daley, A., Farley, A., Lycett, D., Nickless, A., Yu, L.-M., Retat, L., Webber, L., Pimpin, L. and Jebb, S.A. (2016) ‘Screening and brief intervention for obesity in primary care: a parallel, two-arm, randomised trial’, </w:t>
      </w:r>
      <w:r>
        <w:rPr>
          <w:rFonts w:ascii="Times New Roman" w:cs="Times New Roman" w:eastAsia="Times New Roman" w:hAnsi="Times New Roman"/>
          <w:i/>
          <w:iCs/>
          <w:sz w:val="24"/>
          <w:szCs w:val="24"/>
        </w:rPr>
        <w:t xml:space="preserve">The Lancet</w:t>
      </w:r>
      <w:r>
        <w:rPr>
          <w:rFonts w:ascii="Times New Roman" w:cs="Times New Roman" w:eastAsia="Times New Roman" w:hAnsi="Times New Roman"/>
          <w:sz w:val="24"/>
          <w:szCs w:val="24"/>
        </w:rPr>
        <w:t xml:space="preserve">, 388(10059), pp. 2492–2500. doi:10.1016/S0140-6736(16)31893-1.</w:t>
      </w:r>
    </w:p>
    <w:p>
      <w:pPr>
        <w:spacing w:after="200" w:line="360"/>
        <w:ind w:left="720" w:hanging="720"/>
        <w:jc w:val="left"/>
      </w:pPr>
      <w:r>
        <w:rPr>
          <w:rFonts w:ascii="Times New Roman" w:cs="Times New Roman" w:eastAsia="Times New Roman" w:hAnsi="Times New Roman"/>
          <w:sz w:val="24"/>
          <w:szCs w:val="24"/>
        </w:rPr>
        <w:t xml:space="preserve">Braun, V. and Clarke, V. (2006) ‘Using thematic analysis in psychology’, </w:t>
      </w:r>
      <w:r>
        <w:rPr>
          <w:rFonts w:ascii="Times New Roman" w:cs="Times New Roman" w:eastAsia="Times New Roman" w:hAnsi="Times New Roman"/>
          <w:i/>
          <w:iCs/>
          <w:sz w:val="24"/>
          <w:szCs w:val="24"/>
        </w:rPr>
        <w:t xml:space="preserve">Qualitative Research in Psychology</w:t>
      </w:r>
      <w:r>
        <w:rPr>
          <w:rFonts w:ascii="Times New Roman" w:cs="Times New Roman" w:eastAsia="Times New Roman" w:hAnsi="Times New Roman"/>
          <w:sz w:val="24"/>
          <w:szCs w:val="24"/>
        </w:rPr>
        <w:t xml:space="preserve">, 3(2), pp. 77–101.</w:t>
      </w:r>
    </w:p>
    <w:p>
      <w:pPr>
        <w:spacing w:after="200" w:line="360"/>
        <w:ind w:left="720" w:hanging="720"/>
        <w:jc w:val="left"/>
      </w:pPr>
      <w:r>
        <w:rPr>
          <w:rFonts w:ascii="Times New Roman" w:cs="Times New Roman" w:eastAsia="Times New Roman" w:hAnsi="Times New Roman"/>
          <w:sz w:val="24"/>
          <w:szCs w:val="24"/>
        </w:rPr>
        <w:t xml:space="preserve">de Bray, A., Schnitzer, H., Singh, P., Andrews, R., McGowan, B.M., Le Brocq, S., Wilding, J.P.H., Flint, S.W. and Hazlehurst, J.M. (2025) ‘Variation in the commissioning of semaglutide for the treatment of obesity and overweight across England: results of Freedom of Information-based mapping across the 42 Integrated Care Boards of England’, </w:t>
      </w:r>
      <w:r>
        <w:rPr>
          <w:rFonts w:ascii="Times New Roman" w:cs="Times New Roman" w:eastAsia="Times New Roman" w:hAnsi="Times New Roman"/>
          <w:i/>
          <w:iCs/>
          <w:sz w:val="24"/>
          <w:szCs w:val="24"/>
        </w:rPr>
        <w:t xml:space="preserve">Clinical Obesity</w:t>
      </w:r>
      <w:r>
        <w:rPr>
          <w:rFonts w:ascii="Times New Roman" w:cs="Times New Roman" w:eastAsia="Times New Roman" w:hAnsi="Times New Roman"/>
          <w:sz w:val="24"/>
          <w:szCs w:val="24"/>
        </w:rPr>
        <w:t xml:space="preserve">, e70044. doi:10.1111/cob.70044.</w:t>
      </w:r>
    </w:p>
    <w:p>
      <w:pPr>
        <w:spacing w:after="200" w:line="360"/>
        <w:ind w:left="720" w:hanging="720"/>
        <w:jc w:val="left"/>
      </w:pPr>
      <w:r>
        <w:rPr>
          <w:rFonts w:ascii="Times New Roman" w:cs="Times New Roman" w:eastAsia="Times New Roman" w:hAnsi="Times New Roman"/>
          <w:sz w:val="24"/>
          <w:szCs w:val="24"/>
        </w:rPr>
        <w:t xml:space="preserve">Flint, S.W., Leaver, M., Griffiths, A. and Kaykanloo, M. (2021) ‘Disparate healthcare experiences of people living with overweight or obesity in England’, </w:t>
      </w:r>
      <w:r>
        <w:rPr>
          <w:rFonts w:ascii="Times New Roman" w:cs="Times New Roman" w:eastAsia="Times New Roman" w:hAnsi="Times New Roman"/>
          <w:i/>
          <w:iCs/>
          <w:sz w:val="24"/>
          <w:szCs w:val="24"/>
        </w:rPr>
        <w:t xml:space="preserve">EClinicalMedicine</w:t>
      </w:r>
      <w:r>
        <w:rPr>
          <w:rFonts w:ascii="Times New Roman" w:cs="Times New Roman" w:eastAsia="Times New Roman" w:hAnsi="Times New Roman"/>
          <w:sz w:val="24"/>
          <w:szCs w:val="24"/>
        </w:rPr>
        <w:t xml:space="preserve">, 41, 101140. doi:10.1016/j.eclinm.2021.101140.</w:t>
      </w:r>
    </w:p>
    <w:p>
      <w:pPr>
        <w:spacing w:after="200" w:line="360"/>
        <w:ind w:left="720" w:hanging="720"/>
        <w:jc w:val="left"/>
      </w:pPr>
      <w:r>
        <w:rPr>
          <w:rFonts w:ascii="Times New Roman" w:cs="Times New Roman" w:eastAsia="Times New Roman" w:hAnsi="Times New Roman"/>
          <w:sz w:val="24"/>
          <w:szCs w:val="24"/>
        </w:rPr>
        <w:t xml:space="preserve">Levac, D., Colquhoun, H. and O’Brien, K.K. (2010) ‘Scoping studies: advancing the methodology’, </w:t>
      </w:r>
      <w:r>
        <w:rPr>
          <w:rFonts w:ascii="Times New Roman" w:cs="Times New Roman" w:eastAsia="Times New Roman" w:hAnsi="Times New Roman"/>
          <w:i/>
          <w:iCs/>
          <w:sz w:val="24"/>
          <w:szCs w:val="24"/>
        </w:rPr>
        <w:t xml:space="preserve">Implementation Science</w:t>
      </w:r>
      <w:r>
        <w:rPr>
          <w:rFonts w:ascii="Times New Roman" w:cs="Times New Roman" w:eastAsia="Times New Roman" w:hAnsi="Times New Roman"/>
          <w:sz w:val="24"/>
          <w:szCs w:val="24"/>
        </w:rPr>
        <w:t xml:space="preserve">, 5, 69. doi:10.1186/1748-5908-5-69.</w:t>
      </w:r>
    </w:p>
    <w:p>
      <w:pPr>
        <w:spacing w:after="200" w:line="360"/>
        <w:ind w:left="720" w:hanging="720"/>
        <w:jc w:val="left"/>
      </w:pPr>
      <w:r>
        <w:rPr>
          <w:rFonts w:ascii="Times New Roman" w:cs="Times New Roman" w:eastAsia="Times New Roman" w:hAnsi="Times New Roman"/>
          <w:sz w:val="24"/>
          <w:szCs w:val="24"/>
        </w:rPr>
        <w:t xml:space="preserve">Mak, S. and Thomas, A. (2025) ‘Conducting scoping reviews: practical insights for early career health researchers’, </w:t>
      </w:r>
      <w:r>
        <w:rPr>
          <w:rFonts w:ascii="Times New Roman" w:cs="Times New Roman" w:eastAsia="Times New Roman" w:hAnsi="Times New Roman"/>
          <w:i/>
          <w:iCs/>
          <w:sz w:val="24"/>
          <w:szCs w:val="24"/>
        </w:rPr>
        <w:t xml:space="preserve">Nursing Praxis in Aotearoa New Zealand</w:t>
      </w:r>
      <w:r>
        <w:rPr>
          <w:rFonts w:ascii="Times New Roman" w:cs="Times New Roman" w:eastAsia="Times New Roman" w:hAnsi="Times New Roman"/>
          <w:sz w:val="24"/>
          <w:szCs w:val="24"/>
        </w:rPr>
        <w:t xml:space="preserve">, 41(2).</w:t>
      </w:r>
    </w:p>
    <w:p>
      <w:pPr>
        <w:spacing w:after="200" w:line="360"/>
        <w:ind w:left="720" w:hanging="720"/>
        <w:jc w:val="left"/>
      </w:pPr>
      <w:r>
        <w:rPr>
          <w:rFonts w:ascii="Times New Roman" w:cs="Times New Roman" w:eastAsia="Times New Roman" w:hAnsi="Times New Roman"/>
          <w:sz w:val="24"/>
          <w:szCs w:val="24"/>
        </w:rPr>
        <w:t xml:space="preserve">National Institute for Health and Care Excellence (NICE) (2025) </w:t>
      </w:r>
      <w:r>
        <w:rPr>
          <w:rFonts w:ascii="Times New Roman" w:cs="Times New Roman" w:eastAsia="Times New Roman" w:hAnsi="Times New Roman"/>
          <w:i/>
          <w:iCs/>
          <w:sz w:val="24"/>
          <w:szCs w:val="24"/>
        </w:rPr>
        <w:t xml:space="preserve">Overweight and obesity management. NICE guideline [NG246]</w:t>
      </w:r>
      <w:r>
        <w:rPr>
          <w:rFonts w:ascii="Times New Roman" w:cs="Times New Roman" w:eastAsia="Times New Roman" w:hAnsi="Times New Roman"/>
          <w:sz w:val="24"/>
          <w:szCs w:val="24"/>
        </w:rPr>
        <w:t xml:space="preserve">. London: NICE. Available at: https://www.nice.org.uk/guidance/ng246 (Accessed: 15 July 2026).</w:t>
      </w:r>
    </w:p>
    <w:p>
      <w:pPr>
        <w:spacing w:after="200" w:line="360"/>
        <w:ind w:left="720" w:hanging="720"/>
        <w:jc w:val="left"/>
      </w:pPr>
      <w:r>
        <w:rPr>
          <w:rFonts w:ascii="Times New Roman" w:cs="Times New Roman" w:eastAsia="Times New Roman" w:hAnsi="Times New Roman"/>
          <w:sz w:val="24"/>
          <w:szCs w:val="24"/>
        </w:rPr>
        <w:t xml:space="preserve">NHS England Digital (2023) </w:t>
      </w:r>
      <w:r>
        <w:rPr>
          <w:rFonts w:ascii="Times New Roman" w:cs="Times New Roman" w:eastAsia="Times New Roman" w:hAnsi="Times New Roman"/>
          <w:i/>
          <w:iCs/>
          <w:sz w:val="24"/>
          <w:szCs w:val="24"/>
        </w:rPr>
        <w:t xml:space="preserve">Health Survey for England, 2022 Part 2: adult overweight and obesity</w:t>
      </w:r>
      <w:r>
        <w:rPr>
          <w:rFonts w:ascii="Times New Roman" w:cs="Times New Roman" w:eastAsia="Times New Roman" w:hAnsi="Times New Roman"/>
          <w:sz w:val="24"/>
          <w:szCs w:val="24"/>
        </w:rPr>
        <w:t xml:space="preserve">. Leeds: NHS England Digital. Available at: https://digital.nhs.uk/data-and-information/publications/statistical/health-survey-for-england (Accessed: 15 July 2026).</w:t>
      </w:r>
    </w:p>
    <w:p>
      <w:pPr>
        <w:spacing w:after="200" w:line="360"/>
        <w:ind w:left="720" w:hanging="720"/>
        <w:jc w:val="left"/>
      </w:pPr>
      <w:r>
        <w:rPr>
          <w:rFonts w:ascii="Times New Roman" w:cs="Times New Roman" w:eastAsia="Times New Roman" w:hAnsi="Times New Roman"/>
          <w:sz w:val="24"/>
          <w:szCs w:val="24"/>
        </w:rPr>
        <w:t xml:space="preserve">Ryan, L., Coyne, R., Heary, C., Birney, S., Crotty, M., Dunne, R., Conlan, O. and Walsh, J.C. (2023) ‘Weight stigma experienced by patients with obesity in healthcare settings: a qualitative evidence synthesis’, </w:t>
      </w:r>
      <w:r>
        <w:rPr>
          <w:rFonts w:ascii="Times New Roman" w:cs="Times New Roman" w:eastAsia="Times New Roman" w:hAnsi="Times New Roman"/>
          <w:i/>
          <w:iCs/>
          <w:sz w:val="24"/>
          <w:szCs w:val="24"/>
        </w:rPr>
        <w:t xml:space="preserve">Obesity Reviews</w:t>
      </w:r>
      <w:r>
        <w:rPr>
          <w:rFonts w:ascii="Times New Roman" w:cs="Times New Roman" w:eastAsia="Times New Roman" w:hAnsi="Times New Roman"/>
          <w:sz w:val="24"/>
          <w:szCs w:val="24"/>
        </w:rPr>
        <w:t xml:space="preserve">, 24(10), e13606. doi:10.1111/obr.13606.</w:t>
      </w:r>
    </w:p>
    <w:p>
      <w:pPr>
        <w:spacing w:after="200" w:line="360"/>
        <w:ind w:left="720" w:hanging="720"/>
        <w:jc w:val="left"/>
      </w:pPr>
      <w:r>
        <w:rPr>
          <w:rFonts w:ascii="Times New Roman" w:cs="Times New Roman" w:eastAsia="Times New Roman" w:hAnsi="Times New Roman"/>
          <w:sz w:val="24"/>
          <w:szCs w:val="24"/>
        </w:rPr>
        <w:t xml:space="preserve">Tricco, A.C., Lillie, E., Zarin, W., O’Brien, K.K., Colquhoun, H., Levac, D., Moher, D., Peters, M.D.J., Horsley, T., Weeks, L., Hempel, S. and Straus, S.E. (2018) ‘PRISMA extension for scoping reviews (PRISMA-ScR): checklist and explanation’, </w:t>
      </w:r>
      <w:r>
        <w:rPr>
          <w:rFonts w:ascii="Times New Roman" w:cs="Times New Roman" w:eastAsia="Times New Roman" w:hAnsi="Times New Roman"/>
          <w:i/>
          <w:iCs/>
          <w:sz w:val="24"/>
          <w:szCs w:val="24"/>
        </w:rPr>
        <w:t xml:space="preserve">Annals of Internal Medicine</w:t>
      </w:r>
      <w:r>
        <w:rPr>
          <w:rFonts w:ascii="Times New Roman" w:cs="Times New Roman" w:eastAsia="Times New Roman" w:hAnsi="Times New Roman"/>
          <w:sz w:val="24"/>
          <w:szCs w:val="24"/>
        </w:rPr>
        <w:t xml:space="preserve">, 169(7), pp. 467–473. doi:10.7326/M18-0850.</w:t>
      </w:r>
    </w:p>
    <w:p>
      <w:pPr>
        <w:spacing w:after="200" w:line="360"/>
        <w:ind w:left="720" w:hanging="720"/>
        <w:jc w:val="left"/>
      </w:pPr>
      <w:r>
        <w:rPr>
          <w:rFonts w:ascii="Times New Roman" w:cs="Times New Roman" w:eastAsia="Times New Roman" w:hAnsi="Times New Roman"/>
          <w:sz w:val="24"/>
          <w:szCs w:val="24"/>
        </w:rPr>
        <w:t xml:space="preserve">World Health Organization (WHO) (2021) </w:t>
      </w:r>
      <w:r>
        <w:rPr>
          <w:rFonts w:ascii="Times New Roman" w:cs="Times New Roman" w:eastAsia="Times New Roman" w:hAnsi="Times New Roman"/>
          <w:i/>
          <w:iCs/>
          <w:sz w:val="24"/>
          <w:szCs w:val="24"/>
        </w:rPr>
        <w:t xml:space="preserve">Obesity and overweight: fact sheet</w:t>
      </w:r>
      <w:r>
        <w:rPr>
          <w:rFonts w:ascii="Times New Roman" w:cs="Times New Roman" w:eastAsia="Times New Roman" w:hAnsi="Times New Roman"/>
          <w:sz w:val="24"/>
          <w:szCs w:val="24"/>
        </w:rPr>
        <w:t xml:space="preserve">. Geneva: World Health Organization. Available at: https://www.who.int/news-room/fact-sheets/detail/obesity-and-overweight (Accessed: 15 July 2026).</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num w:numId="1">
    <w:abstractNumId w:val="1"/>
    <w:lvlOverride w:ilvl="0">
      <w:startOverride w:val="1"/>
    </w:lvlOverride>
  </w:num>
  <w:num w:numId="2">
    <w:abstractNumId w:val="2"/>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2026-08-05T10:22:22.756Z</dcterms:created>
  <dcterms:modified xsi:type="dcterms:W3CDTF">2026-08-05T10:22:22.773Z</dcterms:modified>
</cp:coreProperties>
</file>

<file path=docProps/custom.xml><?xml version="1.0" encoding="utf-8"?>
<Properties xmlns="http://schemas.openxmlformats.org/officeDocument/2006/custom-properties" xmlns:vt="http://schemas.openxmlformats.org/officeDocument/2006/docPropsVTypes"/>
</file>