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5A0E86" w14:textId="6365FF45" w:rsidR="00D44BE4" w:rsidRDefault="00167FF3" w:rsidP="00167FF3">
      <w:pPr>
        <w:jc w:val="center"/>
      </w:pPr>
      <w:r>
        <w:rPr>
          <w:noProof/>
        </w:rPr>
        <w:drawing>
          <wp:inline distT="0" distB="0" distL="0" distR="0" wp14:anchorId="4B62D06A" wp14:editId="03C4BA58">
            <wp:extent cx="3489023" cy="1271822"/>
            <wp:effectExtent l="0" t="0" r="0" b="5080"/>
            <wp:docPr id="1703713729" name="Picture 1" descr="Prifysgol Cymru Y Drindod Dewi Sant | University Of Wales Trinity Saint  David* - NPLD - Network To Promote Linguistic Diversity : NPLD – Network to  Promote Linguistic D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ifysgol Cymru Y Drindod Dewi Sant | University Of Wales Trinity Saint  David* - NPLD - Network To Promote Linguistic Diversity : NPLD – Network to  Promote Linguistic Diversity"/>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a:stretch/>
                  </pic:blipFill>
                  <pic:spPr bwMode="auto">
                    <a:xfrm>
                      <a:off x="0" y="0"/>
                      <a:ext cx="3499780" cy="1275743"/>
                    </a:xfrm>
                    <a:prstGeom prst="rect">
                      <a:avLst/>
                    </a:prstGeom>
                    <a:noFill/>
                    <a:ln>
                      <a:noFill/>
                    </a:ln>
                    <a:extLst>
                      <a:ext uri="{53640926-AAD7-44D8-BBD7-CCE9431645EC}">
                        <a14:shadowObscured xmlns:a14="http://schemas.microsoft.com/office/drawing/2010/main"/>
                      </a:ext>
                    </a:extLst>
                  </pic:spPr>
                </pic:pic>
              </a:graphicData>
            </a:graphic>
          </wp:inline>
        </w:drawing>
      </w:r>
    </w:p>
    <w:p w14:paraId="118FD4B3" w14:textId="77777777" w:rsidR="00167FF3" w:rsidRDefault="00167FF3" w:rsidP="00167FF3">
      <w:pPr>
        <w:jc w:val="center"/>
      </w:pPr>
    </w:p>
    <w:p w14:paraId="7D2D18E2" w14:textId="5BEAF0B3" w:rsidR="00167FF3" w:rsidRDefault="00167FF3" w:rsidP="00167FF3">
      <w:pPr>
        <w:jc w:val="center"/>
      </w:pPr>
      <w:r>
        <w:t>Programme: BA Business Management</w:t>
      </w:r>
    </w:p>
    <w:p w14:paraId="23656FB8" w14:textId="451D1C69" w:rsidR="00167FF3" w:rsidRDefault="00167FF3" w:rsidP="00167FF3">
      <w:pPr>
        <w:jc w:val="center"/>
      </w:pPr>
      <w:r>
        <w:t>Module: Marketing Fundamentals</w:t>
      </w:r>
    </w:p>
    <w:p w14:paraId="5C4E270B" w14:textId="16566AD7" w:rsidR="00167FF3" w:rsidRDefault="00167FF3" w:rsidP="00167FF3">
      <w:pPr>
        <w:jc w:val="center"/>
      </w:pPr>
      <w:r>
        <w:t>Module code: LCBB400</w:t>
      </w:r>
      <w:r>
        <w:t>4</w:t>
      </w:r>
    </w:p>
    <w:p w14:paraId="11BC7B71" w14:textId="1C6EBE07" w:rsidR="00167FF3" w:rsidRDefault="00167FF3" w:rsidP="00167FF3">
      <w:pPr>
        <w:jc w:val="center"/>
      </w:pPr>
      <w:r>
        <w:t xml:space="preserve">Module Coordinator/ Lecturer: Dr </w:t>
      </w:r>
      <w:proofErr w:type="spellStart"/>
      <w:r>
        <w:t>Piyumika</w:t>
      </w:r>
      <w:proofErr w:type="spellEnd"/>
      <w:r>
        <w:t xml:space="preserve"> </w:t>
      </w:r>
      <w:proofErr w:type="spellStart"/>
      <w:r>
        <w:t>Gamaze</w:t>
      </w:r>
      <w:proofErr w:type="spellEnd"/>
    </w:p>
    <w:p w14:paraId="10AF5FC6" w14:textId="46D4A35F" w:rsidR="00167FF3" w:rsidRDefault="00167FF3" w:rsidP="00167FF3">
      <w:pPr>
        <w:jc w:val="center"/>
      </w:pPr>
      <w:r>
        <w:t>Assignment Title: Component1: Coursework: Individual Blog</w:t>
      </w:r>
    </w:p>
    <w:p w14:paraId="51EC3F89" w14:textId="77777777" w:rsidR="00167FF3" w:rsidRDefault="00167FF3" w:rsidP="00167FF3">
      <w:pPr>
        <w:jc w:val="center"/>
      </w:pPr>
    </w:p>
    <w:p w14:paraId="29713D6C" w14:textId="5F49E72E" w:rsidR="00167FF3" w:rsidRDefault="00167FF3" w:rsidP="00167FF3">
      <w:pPr>
        <w:jc w:val="center"/>
      </w:pPr>
      <w:r>
        <w:t xml:space="preserve">Student name: </w:t>
      </w:r>
      <w:r w:rsidRPr="00167FF3">
        <w:t>Alexandru Mardari</w:t>
      </w:r>
    </w:p>
    <w:p w14:paraId="33A34C7D" w14:textId="4B7FD949" w:rsidR="00167FF3" w:rsidRDefault="00167FF3" w:rsidP="00167FF3">
      <w:pPr>
        <w:jc w:val="center"/>
      </w:pPr>
      <w:r>
        <w:t xml:space="preserve">Student ID: </w:t>
      </w:r>
    </w:p>
    <w:p w14:paraId="7D7BB84B" w14:textId="77777777" w:rsidR="00167FF3" w:rsidRPr="00D44BE4" w:rsidRDefault="00167FF3" w:rsidP="00D44BE4"/>
    <w:p w14:paraId="1ABB8075" w14:textId="77777777" w:rsidR="00D44BE4" w:rsidRPr="00D44BE4" w:rsidRDefault="00D44BE4" w:rsidP="00D44BE4"/>
    <w:p w14:paraId="5DEC2F3D" w14:textId="77777777" w:rsidR="00D44BE4" w:rsidRPr="00D44BE4" w:rsidRDefault="00000000">
      <w:pPr>
        <w:spacing w:before="0" w:line="259" w:lineRule="auto"/>
        <w:jc w:val="left"/>
      </w:pPr>
      <w:r w:rsidRPr="00D44BE4">
        <w:br w:type="page"/>
      </w:r>
    </w:p>
    <w:sdt>
      <w:sdtPr>
        <w:id w:val="1082106698"/>
        <w:docPartObj>
          <w:docPartGallery w:val="Table of Contents"/>
          <w:docPartUnique/>
        </w:docPartObj>
      </w:sdtPr>
      <w:sdtEndPr>
        <w:rPr>
          <w:rFonts w:ascii="Times New Roman" w:eastAsiaTheme="minorHAnsi" w:hAnsi="Times New Roman" w:cstheme="minorBidi"/>
          <w:b/>
          <w:bCs/>
          <w:noProof/>
          <w:color w:val="auto"/>
          <w:sz w:val="24"/>
          <w:szCs w:val="22"/>
          <w:lang w:val="en-GB"/>
        </w:rPr>
      </w:sdtEndPr>
      <w:sdtContent>
        <w:p w14:paraId="213AE8B4" w14:textId="32D34CCD" w:rsidR="00F74B68" w:rsidRDefault="00F74B68">
          <w:pPr>
            <w:pStyle w:val="TOCHeading"/>
          </w:pPr>
          <w:r>
            <w:t>Contents</w:t>
          </w:r>
        </w:p>
        <w:p w14:paraId="216B49E0" w14:textId="3E29FC3A" w:rsidR="00F51AF5" w:rsidRDefault="00F74B68">
          <w:pPr>
            <w:pStyle w:val="TOC1"/>
            <w:tabs>
              <w:tab w:val="right" w:leader="dot" w:pos="9350"/>
            </w:tabs>
            <w:rPr>
              <w:rFonts w:asciiTheme="minorHAnsi" w:eastAsiaTheme="minorEastAsia" w:hAnsiTheme="minorHAnsi"/>
              <w:noProof/>
              <w:kern w:val="2"/>
              <w:sz w:val="22"/>
              <w:lang w:val="en-US"/>
              <w14:ligatures w14:val="standardContextual"/>
            </w:rPr>
          </w:pPr>
          <w:r>
            <w:fldChar w:fldCharType="begin"/>
          </w:r>
          <w:r>
            <w:instrText xml:space="preserve"> TOC \o "1-3" \h \z \u </w:instrText>
          </w:r>
          <w:r>
            <w:fldChar w:fldCharType="separate"/>
          </w:r>
          <w:hyperlink w:anchor="_Toc152111890" w:history="1">
            <w:r w:rsidR="00F51AF5" w:rsidRPr="003968CC">
              <w:rPr>
                <w:rStyle w:val="Hyperlink"/>
                <w:noProof/>
              </w:rPr>
              <w:t>I. Introduction</w:t>
            </w:r>
            <w:r w:rsidR="00F51AF5">
              <w:rPr>
                <w:noProof/>
                <w:webHidden/>
              </w:rPr>
              <w:tab/>
            </w:r>
            <w:r w:rsidR="00F51AF5">
              <w:rPr>
                <w:noProof/>
                <w:webHidden/>
              </w:rPr>
              <w:fldChar w:fldCharType="begin"/>
            </w:r>
            <w:r w:rsidR="00F51AF5">
              <w:rPr>
                <w:noProof/>
                <w:webHidden/>
              </w:rPr>
              <w:instrText xml:space="preserve"> PAGEREF _Toc152111890 \h </w:instrText>
            </w:r>
            <w:r w:rsidR="00F51AF5">
              <w:rPr>
                <w:noProof/>
                <w:webHidden/>
              </w:rPr>
            </w:r>
            <w:r w:rsidR="00F51AF5">
              <w:rPr>
                <w:noProof/>
                <w:webHidden/>
              </w:rPr>
              <w:fldChar w:fldCharType="separate"/>
            </w:r>
            <w:r w:rsidR="00F51AF5">
              <w:rPr>
                <w:noProof/>
                <w:webHidden/>
              </w:rPr>
              <w:t>1</w:t>
            </w:r>
            <w:r w:rsidR="00F51AF5">
              <w:rPr>
                <w:noProof/>
                <w:webHidden/>
              </w:rPr>
              <w:fldChar w:fldCharType="end"/>
            </w:r>
          </w:hyperlink>
        </w:p>
        <w:p w14:paraId="2BFDD76A" w14:textId="6239FEB5" w:rsidR="00F51AF5" w:rsidRDefault="00F51AF5">
          <w:pPr>
            <w:pStyle w:val="TOC1"/>
            <w:tabs>
              <w:tab w:val="right" w:leader="dot" w:pos="9350"/>
            </w:tabs>
            <w:rPr>
              <w:rFonts w:asciiTheme="minorHAnsi" w:eastAsiaTheme="minorEastAsia" w:hAnsiTheme="minorHAnsi"/>
              <w:noProof/>
              <w:kern w:val="2"/>
              <w:sz w:val="22"/>
              <w:lang w:val="en-US"/>
              <w14:ligatures w14:val="standardContextual"/>
            </w:rPr>
          </w:pPr>
          <w:hyperlink w:anchor="_Toc152111891" w:history="1">
            <w:r w:rsidRPr="003968CC">
              <w:rPr>
                <w:rStyle w:val="Hyperlink"/>
                <w:noProof/>
              </w:rPr>
              <w:t>II. GSK’s Market Segmentation</w:t>
            </w:r>
            <w:r>
              <w:rPr>
                <w:noProof/>
                <w:webHidden/>
              </w:rPr>
              <w:tab/>
            </w:r>
            <w:r>
              <w:rPr>
                <w:noProof/>
                <w:webHidden/>
              </w:rPr>
              <w:fldChar w:fldCharType="begin"/>
            </w:r>
            <w:r>
              <w:rPr>
                <w:noProof/>
                <w:webHidden/>
              </w:rPr>
              <w:instrText xml:space="preserve"> PAGEREF _Toc152111891 \h </w:instrText>
            </w:r>
            <w:r>
              <w:rPr>
                <w:noProof/>
                <w:webHidden/>
              </w:rPr>
            </w:r>
            <w:r>
              <w:rPr>
                <w:noProof/>
                <w:webHidden/>
              </w:rPr>
              <w:fldChar w:fldCharType="separate"/>
            </w:r>
            <w:r>
              <w:rPr>
                <w:noProof/>
                <w:webHidden/>
              </w:rPr>
              <w:t>2</w:t>
            </w:r>
            <w:r>
              <w:rPr>
                <w:noProof/>
                <w:webHidden/>
              </w:rPr>
              <w:fldChar w:fldCharType="end"/>
            </w:r>
          </w:hyperlink>
        </w:p>
        <w:p w14:paraId="443DCA76" w14:textId="2BE1AE7B" w:rsidR="00F51AF5" w:rsidRDefault="00F51AF5">
          <w:pPr>
            <w:pStyle w:val="TOC2"/>
            <w:tabs>
              <w:tab w:val="right" w:leader="dot" w:pos="9350"/>
            </w:tabs>
            <w:rPr>
              <w:rFonts w:asciiTheme="minorHAnsi" w:eastAsiaTheme="minorEastAsia" w:hAnsiTheme="minorHAnsi"/>
              <w:noProof/>
              <w:kern w:val="2"/>
              <w:sz w:val="22"/>
              <w:lang w:val="en-US"/>
              <w14:ligatures w14:val="standardContextual"/>
            </w:rPr>
          </w:pPr>
          <w:hyperlink w:anchor="_Toc152111892" w:history="1">
            <w:r w:rsidRPr="003968CC">
              <w:rPr>
                <w:rStyle w:val="Hyperlink"/>
                <w:noProof/>
              </w:rPr>
              <w:t>Demographic, psychographic, and behavioural approaches</w:t>
            </w:r>
            <w:r>
              <w:rPr>
                <w:noProof/>
                <w:webHidden/>
              </w:rPr>
              <w:tab/>
            </w:r>
            <w:r>
              <w:rPr>
                <w:noProof/>
                <w:webHidden/>
              </w:rPr>
              <w:fldChar w:fldCharType="begin"/>
            </w:r>
            <w:r>
              <w:rPr>
                <w:noProof/>
                <w:webHidden/>
              </w:rPr>
              <w:instrText xml:space="preserve"> PAGEREF _Toc152111892 \h </w:instrText>
            </w:r>
            <w:r>
              <w:rPr>
                <w:noProof/>
                <w:webHidden/>
              </w:rPr>
            </w:r>
            <w:r>
              <w:rPr>
                <w:noProof/>
                <w:webHidden/>
              </w:rPr>
              <w:fldChar w:fldCharType="separate"/>
            </w:r>
            <w:r>
              <w:rPr>
                <w:noProof/>
                <w:webHidden/>
              </w:rPr>
              <w:t>2</w:t>
            </w:r>
            <w:r>
              <w:rPr>
                <w:noProof/>
                <w:webHidden/>
              </w:rPr>
              <w:fldChar w:fldCharType="end"/>
            </w:r>
          </w:hyperlink>
        </w:p>
        <w:p w14:paraId="118CD940" w14:textId="4C3B4549" w:rsidR="00F51AF5" w:rsidRDefault="00F51AF5">
          <w:pPr>
            <w:pStyle w:val="TOC2"/>
            <w:tabs>
              <w:tab w:val="right" w:leader="dot" w:pos="9350"/>
            </w:tabs>
            <w:rPr>
              <w:rFonts w:asciiTheme="minorHAnsi" w:eastAsiaTheme="minorEastAsia" w:hAnsiTheme="minorHAnsi"/>
              <w:noProof/>
              <w:kern w:val="2"/>
              <w:sz w:val="22"/>
              <w:lang w:val="en-US"/>
              <w14:ligatures w14:val="standardContextual"/>
            </w:rPr>
          </w:pPr>
          <w:hyperlink w:anchor="_Toc152111893" w:history="1">
            <w:r w:rsidRPr="003968CC">
              <w:rPr>
                <w:rStyle w:val="Hyperlink"/>
                <w:noProof/>
              </w:rPr>
              <w:t>Product examples tailored to specific segments</w:t>
            </w:r>
            <w:r>
              <w:rPr>
                <w:noProof/>
                <w:webHidden/>
              </w:rPr>
              <w:tab/>
            </w:r>
            <w:r>
              <w:rPr>
                <w:noProof/>
                <w:webHidden/>
              </w:rPr>
              <w:fldChar w:fldCharType="begin"/>
            </w:r>
            <w:r>
              <w:rPr>
                <w:noProof/>
                <w:webHidden/>
              </w:rPr>
              <w:instrText xml:space="preserve"> PAGEREF _Toc152111893 \h </w:instrText>
            </w:r>
            <w:r>
              <w:rPr>
                <w:noProof/>
                <w:webHidden/>
              </w:rPr>
            </w:r>
            <w:r>
              <w:rPr>
                <w:noProof/>
                <w:webHidden/>
              </w:rPr>
              <w:fldChar w:fldCharType="separate"/>
            </w:r>
            <w:r>
              <w:rPr>
                <w:noProof/>
                <w:webHidden/>
              </w:rPr>
              <w:t>2</w:t>
            </w:r>
            <w:r>
              <w:rPr>
                <w:noProof/>
                <w:webHidden/>
              </w:rPr>
              <w:fldChar w:fldCharType="end"/>
            </w:r>
          </w:hyperlink>
        </w:p>
        <w:p w14:paraId="6377318F" w14:textId="103A72DF" w:rsidR="00F51AF5" w:rsidRDefault="00F51AF5">
          <w:pPr>
            <w:pStyle w:val="TOC1"/>
            <w:tabs>
              <w:tab w:val="right" w:leader="dot" w:pos="9350"/>
            </w:tabs>
            <w:rPr>
              <w:rFonts w:asciiTheme="minorHAnsi" w:eastAsiaTheme="minorEastAsia" w:hAnsiTheme="minorHAnsi"/>
              <w:noProof/>
              <w:kern w:val="2"/>
              <w:sz w:val="22"/>
              <w:lang w:val="en-US"/>
              <w14:ligatures w14:val="standardContextual"/>
            </w:rPr>
          </w:pPr>
          <w:hyperlink w:anchor="_Toc152111894" w:history="1">
            <w:r w:rsidRPr="003968CC">
              <w:rPr>
                <w:rStyle w:val="Hyperlink"/>
                <w:noProof/>
              </w:rPr>
              <w:t>III. Targeting Strategies</w:t>
            </w:r>
            <w:r>
              <w:rPr>
                <w:noProof/>
                <w:webHidden/>
              </w:rPr>
              <w:tab/>
            </w:r>
            <w:r>
              <w:rPr>
                <w:noProof/>
                <w:webHidden/>
              </w:rPr>
              <w:fldChar w:fldCharType="begin"/>
            </w:r>
            <w:r>
              <w:rPr>
                <w:noProof/>
                <w:webHidden/>
              </w:rPr>
              <w:instrText xml:space="preserve"> PAGEREF _Toc152111894 \h </w:instrText>
            </w:r>
            <w:r>
              <w:rPr>
                <w:noProof/>
                <w:webHidden/>
              </w:rPr>
            </w:r>
            <w:r>
              <w:rPr>
                <w:noProof/>
                <w:webHidden/>
              </w:rPr>
              <w:fldChar w:fldCharType="separate"/>
            </w:r>
            <w:r>
              <w:rPr>
                <w:noProof/>
                <w:webHidden/>
              </w:rPr>
              <w:t>3</w:t>
            </w:r>
            <w:r>
              <w:rPr>
                <w:noProof/>
                <w:webHidden/>
              </w:rPr>
              <w:fldChar w:fldCharType="end"/>
            </w:r>
          </w:hyperlink>
        </w:p>
        <w:p w14:paraId="6EB51576" w14:textId="3DCF0CBC" w:rsidR="00F51AF5" w:rsidRDefault="00F51AF5">
          <w:pPr>
            <w:pStyle w:val="TOC2"/>
            <w:tabs>
              <w:tab w:val="right" w:leader="dot" w:pos="9350"/>
            </w:tabs>
            <w:rPr>
              <w:rFonts w:asciiTheme="minorHAnsi" w:eastAsiaTheme="minorEastAsia" w:hAnsiTheme="minorHAnsi"/>
              <w:noProof/>
              <w:kern w:val="2"/>
              <w:sz w:val="22"/>
              <w:lang w:val="en-US"/>
              <w14:ligatures w14:val="standardContextual"/>
            </w:rPr>
          </w:pPr>
          <w:hyperlink w:anchor="_Toc152111895" w:history="1">
            <w:r w:rsidRPr="003968CC">
              <w:rPr>
                <w:rStyle w:val="Hyperlink"/>
                <w:noProof/>
              </w:rPr>
              <w:t>Differentiated targeting for unique needs</w:t>
            </w:r>
            <w:r>
              <w:rPr>
                <w:noProof/>
                <w:webHidden/>
              </w:rPr>
              <w:tab/>
            </w:r>
            <w:r>
              <w:rPr>
                <w:noProof/>
                <w:webHidden/>
              </w:rPr>
              <w:fldChar w:fldCharType="begin"/>
            </w:r>
            <w:r>
              <w:rPr>
                <w:noProof/>
                <w:webHidden/>
              </w:rPr>
              <w:instrText xml:space="preserve"> PAGEREF _Toc152111895 \h </w:instrText>
            </w:r>
            <w:r>
              <w:rPr>
                <w:noProof/>
                <w:webHidden/>
              </w:rPr>
            </w:r>
            <w:r>
              <w:rPr>
                <w:noProof/>
                <w:webHidden/>
              </w:rPr>
              <w:fldChar w:fldCharType="separate"/>
            </w:r>
            <w:r>
              <w:rPr>
                <w:noProof/>
                <w:webHidden/>
              </w:rPr>
              <w:t>3</w:t>
            </w:r>
            <w:r>
              <w:rPr>
                <w:noProof/>
                <w:webHidden/>
              </w:rPr>
              <w:fldChar w:fldCharType="end"/>
            </w:r>
          </w:hyperlink>
        </w:p>
        <w:p w14:paraId="340539E4" w14:textId="17F43BD4" w:rsidR="00F51AF5" w:rsidRDefault="00F51AF5">
          <w:pPr>
            <w:pStyle w:val="TOC2"/>
            <w:tabs>
              <w:tab w:val="right" w:leader="dot" w:pos="9350"/>
            </w:tabs>
            <w:rPr>
              <w:rFonts w:asciiTheme="minorHAnsi" w:eastAsiaTheme="minorEastAsia" w:hAnsiTheme="minorHAnsi"/>
              <w:noProof/>
              <w:kern w:val="2"/>
              <w:sz w:val="22"/>
              <w:lang w:val="en-US"/>
              <w14:ligatures w14:val="standardContextual"/>
            </w:rPr>
          </w:pPr>
          <w:hyperlink w:anchor="_Toc152111896" w:history="1">
            <w:r w:rsidRPr="003968CC">
              <w:rPr>
                <w:rStyle w:val="Hyperlink"/>
                <w:noProof/>
              </w:rPr>
              <w:t>Niche targeting within broader segments</w:t>
            </w:r>
            <w:r>
              <w:rPr>
                <w:noProof/>
                <w:webHidden/>
              </w:rPr>
              <w:tab/>
            </w:r>
            <w:r>
              <w:rPr>
                <w:noProof/>
                <w:webHidden/>
              </w:rPr>
              <w:fldChar w:fldCharType="begin"/>
            </w:r>
            <w:r>
              <w:rPr>
                <w:noProof/>
                <w:webHidden/>
              </w:rPr>
              <w:instrText xml:space="preserve"> PAGEREF _Toc152111896 \h </w:instrText>
            </w:r>
            <w:r>
              <w:rPr>
                <w:noProof/>
                <w:webHidden/>
              </w:rPr>
            </w:r>
            <w:r>
              <w:rPr>
                <w:noProof/>
                <w:webHidden/>
              </w:rPr>
              <w:fldChar w:fldCharType="separate"/>
            </w:r>
            <w:r>
              <w:rPr>
                <w:noProof/>
                <w:webHidden/>
              </w:rPr>
              <w:t>3</w:t>
            </w:r>
            <w:r>
              <w:rPr>
                <w:noProof/>
                <w:webHidden/>
              </w:rPr>
              <w:fldChar w:fldCharType="end"/>
            </w:r>
          </w:hyperlink>
        </w:p>
        <w:p w14:paraId="478ABA91" w14:textId="26322C19" w:rsidR="00F51AF5" w:rsidRDefault="00F51AF5">
          <w:pPr>
            <w:pStyle w:val="TOC1"/>
            <w:tabs>
              <w:tab w:val="right" w:leader="dot" w:pos="9350"/>
            </w:tabs>
            <w:rPr>
              <w:rFonts w:asciiTheme="minorHAnsi" w:eastAsiaTheme="minorEastAsia" w:hAnsiTheme="minorHAnsi"/>
              <w:noProof/>
              <w:kern w:val="2"/>
              <w:sz w:val="22"/>
              <w:lang w:val="en-US"/>
              <w14:ligatures w14:val="standardContextual"/>
            </w:rPr>
          </w:pPr>
          <w:hyperlink w:anchor="_Toc152111897" w:history="1">
            <w:r w:rsidRPr="003968CC">
              <w:rPr>
                <w:rStyle w:val="Hyperlink"/>
                <w:noProof/>
              </w:rPr>
              <w:t>IV. Positioning Strategies</w:t>
            </w:r>
            <w:r>
              <w:rPr>
                <w:noProof/>
                <w:webHidden/>
              </w:rPr>
              <w:tab/>
            </w:r>
            <w:r>
              <w:rPr>
                <w:noProof/>
                <w:webHidden/>
              </w:rPr>
              <w:fldChar w:fldCharType="begin"/>
            </w:r>
            <w:r>
              <w:rPr>
                <w:noProof/>
                <w:webHidden/>
              </w:rPr>
              <w:instrText xml:space="preserve"> PAGEREF _Toc152111897 \h </w:instrText>
            </w:r>
            <w:r>
              <w:rPr>
                <w:noProof/>
                <w:webHidden/>
              </w:rPr>
            </w:r>
            <w:r>
              <w:rPr>
                <w:noProof/>
                <w:webHidden/>
              </w:rPr>
              <w:fldChar w:fldCharType="separate"/>
            </w:r>
            <w:r>
              <w:rPr>
                <w:noProof/>
                <w:webHidden/>
              </w:rPr>
              <w:t>4</w:t>
            </w:r>
            <w:r>
              <w:rPr>
                <w:noProof/>
                <w:webHidden/>
              </w:rPr>
              <w:fldChar w:fldCharType="end"/>
            </w:r>
          </w:hyperlink>
        </w:p>
        <w:p w14:paraId="3024253E" w14:textId="757D95C1" w:rsidR="00F51AF5" w:rsidRDefault="00F51AF5">
          <w:pPr>
            <w:pStyle w:val="TOC2"/>
            <w:tabs>
              <w:tab w:val="right" w:leader="dot" w:pos="9350"/>
            </w:tabs>
            <w:rPr>
              <w:rFonts w:asciiTheme="minorHAnsi" w:eastAsiaTheme="minorEastAsia" w:hAnsiTheme="minorHAnsi"/>
              <w:noProof/>
              <w:kern w:val="2"/>
              <w:sz w:val="22"/>
              <w:lang w:val="en-US"/>
              <w14:ligatures w14:val="standardContextual"/>
            </w:rPr>
          </w:pPr>
          <w:hyperlink w:anchor="_Toc152111898" w:history="1">
            <w:r w:rsidRPr="003968CC">
              <w:rPr>
                <w:rStyle w:val="Hyperlink"/>
                <w:noProof/>
              </w:rPr>
              <w:t>Value positioning emphasising quality</w:t>
            </w:r>
            <w:r>
              <w:rPr>
                <w:noProof/>
                <w:webHidden/>
              </w:rPr>
              <w:tab/>
            </w:r>
            <w:r>
              <w:rPr>
                <w:noProof/>
                <w:webHidden/>
              </w:rPr>
              <w:fldChar w:fldCharType="begin"/>
            </w:r>
            <w:r>
              <w:rPr>
                <w:noProof/>
                <w:webHidden/>
              </w:rPr>
              <w:instrText xml:space="preserve"> PAGEREF _Toc152111898 \h </w:instrText>
            </w:r>
            <w:r>
              <w:rPr>
                <w:noProof/>
                <w:webHidden/>
              </w:rPr>
            </w:r>
            <w:r>
              <w:rPr>
                <w:noProof/>
                <w:webHidden/>
              </w:rPr>
              <w:fldChar w:fldCharType="separate"/>
            </w:r>
            <w:r>
              <w:rPr>
                <w:noProof/>
                <w:webHidden/>
              </w:rPr>
              <w:t>4</w:t>
            </w:r>
            <w:r>
              <w:rPr>
                <w:noProof/>
                <w:webHidden/>
              </w:rPr>
              <w:fldChar w:fldCharType="end"/>
            </w:r>
          </w:hyperlink>
        </w:p>
        <w:p w14:paraId="75B589D2" w14:textId="1E89BE13" w:rsidR="00F51AF5" w:rsidRDefault="00F51AF5">
          <w:pPr>
            <w:pStyle w:val="TOC2"/>
            <w:tabs>
              <w:tab w:val="right" w:leader="dot" w:pos="9350"/>
            </w:tabs>
            <w:rPr>
              <w:rFonts w:asciiTheme="minorHAnsi" w:eastAsiaTheme="minorEastAsia" w:hAnsiTheme="minorHAnsi"/>
              <w:noProof/>
              <w:kern w:val="2"/>
              <w:sz w:val="22"/>
              <w:lang w:val="en-US"/>
              <w14:ligatures w14:val="standardContextual"/>
            </w:rPr>
          </w:pPr>
          <w:hyperlink w:anchor="_Toc152111899" w:history="1">
            <w:r w:rsidRPr="003968CC">
              <w:rPr>
                <w:rStyle w:val="Hyperlink"/>
                <w:noProof/>
              </w:rPr>
              <w:t>Benefit positioning focusing on tangible benefits</w:t>
            </w:r>
            <w:r>
              <w:rPr>
                <w:noProof/>
                <w:webHidden/>
              </w:rPr>
              <w:tab/>
            </w:r>
            <w:r>
              <w:rPr>
                <w:noProof/>
                <w:webHidden/>
              </w:rPr>
              <w:fldChar w:fldCharType="begin"/>
            </w:r>
            <w:r>
              <w:rPr>
                <w:noProof/>
                <w:webHidden/>
              </w:rPr>
              <w:instrText xml:space="preserve"> PAGEREF _Toc152111899 \h </w:instrText>
            </w:r>
            <w:r>
              <w:rPr>
                <w:noProof/>
                <w:webHidden/>
              </w:rPr>
            </w:r>
            <w:r>
              <w:rPr>
                <w:noProof/>
                <w:webHidden/>
              </w:rPr>
              <w:fldChar w:fldCharType="separate"/>
            </w:r>
            <w:r>
              <w:rPr>
                <w:noProof/>
                <w:webHidden/>
              </w:rPr>
              <w:t>4</w:t>
            </w:r>
            <w:r>
              <w:rPr>
                <w:noProof/>
                <w:webHidden/>
              </w:rPr>
              <w:fldChar w:fldCharType="end"/>
            </w:r>
          </w:hyperlink>
        </w:p>
        <w:p w14:paraId="5075365F" w14:textId="153801D9" w:rsidR="00F51AF5" w:rsidRDefault="00F51AF5">
          <w:pPr>
            <w:pStyle w:val="TOC1"/>
            <w:tabs>
              <w:tab w:val="right" w:leader="dot" w:pos="9350"/>
            </w:tabs>
            <w:rPr>
              <w:rFonts w:asciiTheme="minorHAnsi" w:eastAsiaTheme="minorEastAsia" w:hAnsiTheme="minorHAnsi"/>
              <w:noProof/>
              <w:kern w:val="2"/>
              <w:sz w:val="22"/>
              <w:lang w:val="en-US"/>
              <w14:ligatures w14:val="standardContextual"/>
            </w:rPr>
          </w:pPr>
          <w:hyperlink w:anchor="_Toc152111900" w:history="1">
            <w:r w:rsidRPr="003968CC">
              <w:rPr>
                <w:rStyle w:val="Hyperlink"/>
                <w:noProof/>
              </w:rPr>
              <w:t>V. GSK’s Marketing Mix (4Ps)</w:t>
            </w:r>
            <w:r>
              <w:rPr>
                <w:noProof/>
                <w:webHidden/>
              </w:rPr>
              <w:tab/>
            </w:r>
            <w:r>
              <w:rPr>
                <w:noProof/>
                <w:webHidden/>
              </w:rPr>
              <w:fldChar w:fldCharType="begin"/>
            </w:r>
            <w:r>
              <w:rPr>
                <w:noProof/>
                <w:webHidden/>
              </w:rPr>
              <w:instrText xml:space="preserve"> PAGEREF _Toc152111900 \h </w:instrText>
            </w:r>
            <w:r>
              <w:rPr>
                <w:noProof/>
                <w:webHidden/>
              </w:rPr>
            </w:r>
            <w:r>
              <w:rPr>
                <w:noProof/>
                <w:webHidden/>
              </w:rPr>
              <w:fldChar w:fldCharType="separate"/>
            </w:r>
            <w:r>
              <w:rPr>
                <w:noProof/>
                <w:webHidden/>
              </w:rPr>
              <w:t>5</w:t>
            </w:r>
            <w:r>
              <w:rPr>
                <w:noProof/>
                <w:webHidden/>
              </w:rPr>
              <w:fldChar w:fldCharType="end"/>
            </w:r>
          </w:hyperlink>
        </w:p>
        <w:p w14:paraId="3BB3C8BB" w14:textId="18D236D7" w:rsidR="00F51AF5" w:rsidRDefault="00F51AF5">
          <w:pPr>
            <w:pStyle w:val="TOC2"/>
            <w:tabs>
              <w:tab w:val="right" w:leader="dot" w:pos="9350"/>
            </w:tabs>
            <w:rPr>
              <w:rFonts w:asciiTheme="minorHAnsi" w:eastAsiaTheme="minorEastAsia" w:hAnsiTheme="minorHAnsi"/>
              <w:noProof/>
              <w:kern w:val="2"/>
              <w:sz w:val="22"/>
              <w:lang w:val="en-US"/>
              <w14:ligatures w14:val="standardContextual"/>
            </w:rPr>
          </w:pPr>
          <w:hyperlink w:anchor="_Toc152111901" w:history="1">
            <w:r w:rsidRPr="003968CC">
              <w:rPr>
                <w:rStyle w:val="Hyperlink"/>
                <w:noProof/>
              </w:rPr>
              <w:t>Product innovation and R&amp;D</w:t>
            </w:r>
            <w:r>
              <w:rPr>
                <w:noProof/>
                <w:webHidden/>
              </w:rPr>
              <w:tab/>
            </w:r>
            <w:r>
              <w:rPr>
                <w:noProof/>
                <w:webHidden/>
              </w:rPr>
              <w:fldChar w:fldCharType="begin"/>
            </w:r>
            <w:r>
              <w:rPr>
                <w:noProof/>
                <w:webHidden/>
              </w:rPr>
              <w:instrText xml:space="preserve"> PAGEREF _Toc152111901 \h </w:instrText>
            </w:r>
            <w:r>
              <w:rPr>
                <w:noProof/>
                <w:webHidden/>
              </w:rPr>
            </w:r>
            <w:r>
              <w:rPr>
                <w:noProof/>
                <w:webHidden/>
              </w:rPr>
              <w:fldChar w:fldCharType="separate"/>
            </w:r>
            <w:r>
              <w:rPr>
                <w:noProof/>
                <w:webHidden/>
              </w:rPr>
              <w:t>5</w:t>
            </w:r>
            <w:r>
              <w:rPr>
                <w:noProof/>
                <w:webHidden/>
              </w:rPr>
              <w:fldChar w:fldCharType="end"/>
            </w:r>
          </w:hyperlink>
        </w:p>
        <w:p w14:paraId="7B288F30" w14:textId="68723466" w:rsidR="00F51AF5" w:rsidRDefault="00F51AF5">
          <w:pPr>
            <w:pStyle w:val="TOC2"/>
            <w:tabs>
              <w:tab w:val="right" w:leader="dot" w:pos="9350"/>
            </w:tabs>
            <w:rPr>
              <w:rFonts w:asciiTheme="minorHAnsi" w:eastAsiaTheme="minorEastAsia" w:hAnsiTheme="minorHAnsi"/>
              <w:noProof/>
              <w:kern w:val="2"/>
              <w:sz w:val="22"/>
              <w:lang w:val="en-US"/>
              <w14:ligatures w14:val="standardContextual"/>
            </w:rPr>
          </w:pPr>
          <w:hyperlink w:anchor="_Toc152111902" w:history="1">
            <w:r w:rsidRPr="003968CC">
              <w:rPr>
                <w:rStyle w:val="Hyperlink"/>
                <w:noProof/>
              </w:rPr>
              <w:t>Value-based pricing balancing premium and accessibility</w:t>
            </w:r>
            <w:r>
              <w:rPr>
                <w:noProof/>
                <w:webHidden/>
              </w:rPr>
              <w:tab/>
            </w:r>
            <w:r>
              <w:rPr>
                <w:noProof/>
                <w:webHidden/>
              </w:rPr>
              <w:fldChar w:fldCharType="begin"/>
            </w:r>
            <w:r>
              <w:rPr>
                <w:noProof/>
                <w:webHidden/>
              </w:rPr>
              <w:instrText xml:space="preserve"> PAGEREF _Toc152111902 \h </w:instrText>
            </w:r>
            <w:r>
              <w:rPr>
                <w:noProof/>
                <w:webHidden/>
              </w:rPr>
            </w:r>
            <w:r>
              <w:rPr>
                <w:noProof/>
                <w:webHidden/>
              </w:rPr>
              <w:fldChar w:fldCharType="separate"/>
            </w:r>
            <w:r>
              <w:rPr>
                <w:noProof/>
                <w:webHidden/>
              </w:rPr>
              <w:t>5</w:t>
            </w:r>
            <w:r>
              <w:rPr>
                <w:noProof/>
                <w:webHidden/>
              </w:rPr>
              <w:fldChar w:fldCharType="end"/>
            </w:r>
          </w:hyperlink>
        </w:p>
        <w:p w14:paraId="5E0A1BCC" w14:textId="14BB454C" w:rsidR="00F51AF5" w:rsidRDefault="00F51AF5">
          <w:pPr>
            <w:pStyle w:val="TOC2"/>
            <w:tabs>
              <w:tab w:val="right" w:leader="dot" w:pos="9350"/>
            </w:tabs>
            <w:rPr>
              <w:rFonts w:asciiTheme="minorHAnsi" w:eastAsiaTheme="minorEastAsia" w:hAnsiTheme="minorHAnsi"/>
              <w:noProof/>
              <w:kern w:val="2"/>
              <w:sz w:val="22"/>
              <w:lang w:val="en-US"/>
              <w14:ligatures w14:val="standardContextual"/>
            </w:rPr>
          </w:pPr>
          <w:hyperlink w:anchor="_Toc152111903" w:history="1">
            <w:r w:rsidRPr="003968CC">
              <w:rPr>
                <w:rStyle w:val="Hyperlink"/>
                <w:noProof/>
              </w:rPr>
              <w:t>Diverse distribution network and retail partnerships</w:t>
            </w:r>
            <w:r>
              <w:rPr>
                <w:noProof/>
                <w:webHidden/>
              </w:rPr>
              <w:tab/>
            </w:r>
            <w:r>
              <w:rPr>
                <w:noProof/>
                <w:webHidden/>
              </w:rPr>
              <w:fldChar w:fldCharType="begin"/>
            </w:r>
            <w:r>
              <w:rPr>
                <w:noProof/>
                <w:webHidden/>
              </w:rPr>
              <w:instrText xml:space="preserve"> PAGEREF _Toc152111903 \h </w:instrText>
            </w:r>
            <w:r>
              <w:rPr>
                <w:noProof/>
                <w:webHidden/>
              </w:rPr>
            </w:r>
            <w:r>
              <w:rPr>
                <w:noProof/>
                <w:webHidden/>
              </w:rPr>
              <w:fldChar w:fldCharType="separate"/>
            </w:r>
            <w:r>
              <w:rPr>
                <w:noProof/>
                <w:webHidden/>
              </w:rPr>
              <w:t>5</w:t>
            </w:r>
            <w:r>
              <w:rPr>
                <w:noProof/>
                <w:webHidden/>
              </w:rPr>
              <w:fldChar w:fldCharType="end"/>
            </w:r>
          </w:hyperlink>
        </w:p>
        <w:p w14:paraId="44D94896" w14:textId="43F9364D" w:rsidR="00F51AF5" w:rsidRDefault="00F51AF5">
          <w:pPr>
            <w:pStyle w:val="TOC2"/>
            <w:tabs>
              <w:tab w:val="right" w:leader="dot" w:pos="9350"/>
            </w:tabs>
            <w:rPr>
              <w:rFonts w:asciiTheme="minorHAnsi" w:eastAsiaTheme="minorEastAsia" w:hAnsiTheme="minorHAnsi"/>
              <w:noProof/>
              <w:kern w:val="2"/>
              <w:sz w:val="22"/>
              <w:lang w:val="en-US"/>
              <w14:ligatures w14:val="standardContextual"/>
            </w:rPr>
          </w:pPr>
          <w:hyperlink w:anchor="_Toc152111904" w:history="1">
            <w:r w:rsidRPr="003968CC">
              <w:rPr>
                <w:rStyle w:val="Hyperlink"/>
                <w:noProof/>
              </w:rPr>
              <w:t>Multi-channel promotional strategy</w:t>
            </w:r>
            <w:r>
              <w:rPr>
                <w:noProof/>
                <w:webHidden/>
              </w:rPr>
              <w:tab/>
            </w:r>
            <w:r>
              <w:rPr>
                <w:noProof/>
                <w:webHidden/>
              </w:rPr>
              <w:fldChar w:fldCharType="begin"/>
            </w:r>
            <w:r>
              <w:rPr>
                <w:noProof/>
                <w:webHidden/>
              </w:rPr>
              <w:instrText xml:space="preserve"> PAGEREF _Toc152111904 \h </w:instrText>
            </w:r>
            <w:r>
              <w:rPr>
                <w:noProof/>
                <w:webHidden/>
              </w:rPr>
            </w:r>
            <w:r>
              <w:rPr>
                <w:noProof/>
                <w:webHidden/>
              </w:rPr>
              <w:fldChar w:fldCharType="separate"/>
            </w:r>
            <w:r>
              <w:rPr>
                <w:noProof/>
                <w:webHidden/>
              </w:rPr>
              <w:t>6</w:t>
            </w:r>
            <w:r>
              <w:rPr>
                <w:noProof/>
                <w:webHidden/>
              </w:rPr>
              <w:fldChar w:fldCharType="end"/>
            </w:r>
          </w:hyperlink>
        </w:p>
        <w:p w14:paraId="5EC27669" w14:textId="2BA54DCE" w:rsidR="00F51AF5" w:rsidRDefault="00F51AF5">
          <w:pPr>
            <w:pStyle w:val="TOC1"/>
            <w:tabs>
              <w:tab w:val="right" w:leader="dot" w:pos="9350"/>
            </w:tabs>
            <w:rPr>
              <w:rFonts w:asciiTheme="minorHAnsi" w:eastAsiaTheme="minorEastAsia" w:hAnsiTheme="minorHAnsi"/>
              <w:noProof/>
              <w:kern w:val="2"/>
              <w:sz w:val="22"/>
              <w:lang w:val="en-US"/>
              <w14:ligatures w14:val="standardContextual"/>
            </w:rPr>
          </w:pPr>
          <w:hyperlink w:anchor="_Toc152111905" w:history="1">
            <w:r w:rsidRPr="003968CC">
              <w:rPr>
                <w:rStyle w:val="Hyperlink"/>
                <w:noProof/>
              </w:rPr>
              <w:t>VI. Academic Theory and Industry Examples</w:t>
            </w:r>
            <w:r>
              <w:rPr>
                <w:noProof/>
                <w:webHidden/>
              </w:rPr>
              <w:tab/>
            </w:r>
            <w:r>
              <w:rPr>
                <w:noProof/>
                <w:webHidden/>
              </w:rPr>
              <w:fldChar w:fldCharType="begin"/>
            </w:r>
            <w:r>
              <w:rPr>
                <w:noProof/>
                <w:webHidden/>
              </w:rPr>
              <w:instrText xml:space="preserve"> PAGEREF _Toc152111905 \h </w:instrText>
            </w:r>
            <w:r>
              <w:rPr>
                <w:noProof/>
                <w:webHidden/>
              </w:rPr>
            </w:r>
            <w:r>
              <w:rPr>
                <w:noProof/>
                <w:webHidden/>
              </w:rPr>
              <w:fldChar w:fldCharType="separate"/>
            </w:r>
            <w:r>
              <w:rPr>
                <w:noProof/>
                <w:webHidden/>
              </w:rPr>
              <w:t>7</w:t>
            </w:r>
            <w:r>
              <w:rPr>
                <w:noProof/>
                <w:webHidden/>
              </w:rPr>
              <w:fldChar w:fldCharType="end"/>
            </w:r>
          </w:hyperlink>
        </w:p>
        <w:p w14:paraId="654584C4" w14:textId="2856F0D8" w:rsidR="00F51AF5" w:rsidRDefault="00F51AF5">
          <w:pPr>
            <w:pStyle w:val="TOC2"/>
            <w:tabs>
              <w:tab w:val="right" w:leader="dot" w:pos="9350"/>
            </w:tabs>
            <w:rPr>
              <w:rFonts w:asciiTheme="minorHAnsi" w:eastAsiaTheme="minorEastAsia" w:hAnsiTheme="minorHAnsi"/>
              <w:noProof/>
              <w:kern w:val="2"/>
              <w:sz w:val="22"/>
              <w:lang w:val="en-US"/>
              <w14:ligatures w14:val="standardContextual"/>
            </w:rPr>
          </w:pPr>
          <w:hyperlink w:anchor="_Toc152111906" w:history="1">
            <w:r w:rsidRPr="003968CC">
              <w:rPr>
                <w:rStyle w:val="Hyperlink"/>
                <w:noProof/>
              </w:rPr>
              <w:t>Segmentation: Application of Kotler’s Market Segmentation Theory</w:t>
            </w:r>
            <w:r>
              <w:rPr>
                <w:noProof/>
                <w:webHidden/>
              </w:rPr>
              <w:tab/>
            </w:r>
            <w:r>
              <w:rPr>
                <w:noProof/>
                <w:webHidden/>
              </w:rPr>
              <w:fldChar w:fldCharType="begin"/>
            </w:r>
            <w:r>
              <w:rPr>
                <w:noProof/>
                <w:webHidden/>
              </w:rPr>
              <w:instrText xml:space="preserve"> PAGEREF _Toc152111906 \h </w:instrText>
            </w:r>
            <w:r>
              <w:rPr>
                <w:noProof/>
                <w:webHidden/>
              </w:rPr>
            </w:r>
            <w:r>
              <w:rPr>
                <w:noProof/>
                <w:webHidden/>
              </w:rPr>
              <w:fldChar w:fldCharType="separate"/>
            </w:r>
            <w:r>
              <w:rPr>
                <w:noProof/>
                <w:webHidden/>
              </w:rPr>
              <w:t>7</w:t>
            </w:r>
            <w:r>
              <w:rPr>
                <w:noProof/>
                <w:webHidden/>
              </w:rPr>
              <w:fldChar w:fldCharType="end"/>
            </w:r>
          </w:hyperlink>
        </w:p>
        <w:p w14:paraId="37033F40" w14:textId="12F3C280" w:rsidR="00F51AF5" w:rsidRDefault="00F51AF5">
          <w:pPr>
            <w:pStyle w:val="TOC2"/>
            <w:tabs>
              <w:tab w:val="right" w:leader="dot" w:pos="9350"/>
            </w:tabs>
            <w:rPr>
              <w:rFonts w:asciiTheme="minorHAnsi" w:eastAsiaTheme="minorEastAsia" w:hAnsiTheme="minorHAnsi"/>
              <w:noProof/>
              <w:kern w:val="2"/>
              <w:sz w:val="22"/>
              <w:lang w:val="en-US"/>
              <w14:ligatures w14:val="standardContextual"/>
            </w:rPr>
          </w:pPr>
          <w:hyperlink w:anchor="_Toc152111907" w:history="1">
            <w:r w:rsidRPr="003968CC">
              <w:rPr>
                <w:rStyle w:val="Hyperlink"/>
                <w:noProof/>
              </w:rPr>
              <w:t>Targeting: Evaluation through Porter’s Generic Strategies</w:t>
            </w:r>
            <w:r>
              <w:rPr>
                <w:noProof/>
                <w:webHidden/>
              </w:rPr>
              <w:tab/>
            </w:r>
            <w:r>
              <w:rPr>
                <w:noProof/>
                <w:webHidden/>
              </w:rPr>
              <w:fldChar w:fldCharType="begin"/>
            </w:r>
            <w:r>
              <w:rPr>
                <w:noProof/>
                <w:webHidden/>
              </w:rPr>
              <w:instrText xml:space="preserve"> PAGEREF _Toc152111907 \h </w:instrText>
            </w:r>
            <w:r>
              <w:rPr>
                <w:noProof/>
                <w:webHidden/>
              </w:rPr>
            </w:r>
            <w:r>
              <w:rPr>
                <w:noProof/>
                <w:webHidden/>
              </w:rPr>
              <w:fldChar w:fldCharType="separate"/>
            </w:r>
            <w:r>
              <w:rPr>
                <w:noProof/>
                <w:webHidden/>
              </w:rPr>
              <w:t>7</w:t>
            </w:r>
            <w:r>
              <w:rPr>
                <w:noProof/>
                <w:webHidden/>
              </w:rPr>
              <w:fldChar w:fldCharType="end"/>
            </w:r>
          </w:hyperlink>
        </w:p>
        <w:p w14:paraId="129E513F" w14:textId="7EC0482A" w:rsidR="00F51AF5" w:rsidRDefault="00F51AF5">
          <w:pPr>
            <w:pStyle w:val="TOC2"/>
            <w:tabs>
              <w:tab w:val="right" w:leader="dot" w:pos="9350"/>
            </w:tabs>
            <w:rPr>
              <w:rFonts w:asciiTheme="minorHAnsi" w:eastAsiaTheme="minorEastAsia" w:hAnsiTheme="minorHAnsi"/>
              <w:noProof/>
              <w:kern w:val="2"/>
              <w:sz w:val="22"/>
              <w:lang w:val="en-US"/>
              <w14:ligatures w14:val="standardContextual"/>
            </w:rPr>
          </w:pPr>
          <w:hyperlink w:anchor="_Toc152111908" w:history="1">
            <w:r w:rsidRPr="003968CC">
              <w:rPr>
                <w:rStyle w:val="Hyperlink"/>
                <w:noProof/>
              </w:rPr>
              <w:t>Industry example: Success of Sensodyne’s targeted marketing</w:t>
            </w:r>
            <w:r>
              <w:rPr>
                <w:noProof/>
                <w:webHidden/>
              </w:rPr>
              <w:tab/>
            </w:r>
            <w:r>
              <w:rPr>
                <w:noProof/>
                <w:webHidden/>
              </w:rPr>
              <w:fldChar w:fldCharType="begin"/>
            </w:r>
            <w:r>
              <w:rPr>
                <w:noProof/>
                <w:webHidden/>
              </w:rPr>
              <w:instrText xml:space="preserve"> PAGEREF _Toc152111908 \h </w:instrText>
            </w:r>
            <w:r>
              <w:rPr>
                <w:noProof/>
                <w:webHidden/>
              </w:rPr>
            </w:r>
            <w:r>
              <w:rPr>
                <w:noProof/>
                <w:webHidden/>
              </w:rPr>
              <w:fldChar w:fldCharType="separate"/>
            </w:r>
            <w:r>
              <w:rPr>
                <w:noProof/>
                <w:webHidden/>
              </w:rPr>
              <w:t>7</w:t>
            </w:r>
            <w:r>
              <w:rPr>
                <w:noProof/>
                <w:webHidden/>
              </w:rPr>
              <w:fldChar w:fldCharType="end"/>
            </w:r>
          </w:hyperlink>
        </w:p>
        <w:p w14:paraId="5E9F8CF1" w14:textId="5A4F2779" w:rsidR="00F51AF5" w:rsidRDefault="00F51AF5">
          <w:pPr>
            <w:pStyle w:val="TOC1"/>
            <w:tabs>
              <w:tab w:val="right" w:leader="dot" w:pos="9350"/>
            </w:tabs>
            <w:rPr>
              <w:rFonts w:asciiTheme="minorHAnsi" w:eastAsiaTheme="minorEastAsia" w:hAnsiTheme="minorHAnsi"/>
              <w:noProof/>
              <w:kern w:val="2"/>
              <w:sz w:val="22"/>
              <w:lang w:val="en-US"/>
              <w14:ligatures w14:val="standardContextual"/>
            </w:rPr>
          </w:pPr>
          <w:hyperlink w:anchor="_Toc152111909" w:history="1">
            <w:r w:rsidRPr="003968CC">
              <w:rPr>
                <w:rStyle w:val="Hyperlink"/>
                <w:noProof/>
              </w:rPr>
              <w:t>VII. Critical Analysis</w:t>
            </w:r>
            <w:r>
              <w:rPr>
                <w:noProof/>
                <w:webHidden/>
              </w:rPr>
              <w:tab/>
            </w:r>
            <w:r>
              <w:rPr>
                <w:noProof/>
                <w:webHidden/>
              </w:rPr>
              <w:fldChar w:fldCharType="begin"/>
            </w:r>
            <w:r>
              <w:rPr>
                <w:noProof/>
                <w:webHidden/>
              </w:rPr>
              <w:instrText xml:space="preserve"> PAGEREF _Toc152111909 \h </w:instrText>
            </w:r>
            <w:r>
              <w:rPr>
                <w:noProof/>
                <w:webHidden/>
              </w:rPr>
            </w:r>
            <w:r>
              <w:rPr>
                <w:noProof/>
                <w:webHidden/>
              </w:rPr>
              <w:fldChar w:fldCharType="separate"/>
            </w:r>
            <w:r>
              <w:rPr>
                <w:noProof/>
                <w:webHidden/>
              </w:rPr>
              <w:t>9</w:t>
            </w:r>
            <w:r>
              <w:rPr>
                <w:noProof/>
                <w:webHidden/>
              </w:rPr>
              <w:fldChar w:fldCharType="end"/>
            </w:r>
          </w:hyperlink>
        </w:p>
        <w:p w14:paraId="29EED617" w14:textId="3C609B3C" w:rsidR="00F51AF5" w:rsidRDefault="00F51AF5">
          <w:pPr>
            <w:pStyle w:val="TOC2"/>
            <w:tabs>
              <w:tab w:val="right" w:leader="dot" w:pos="9350"/>
            </w:tabs>
            <w:rPr>
              <w:rFonts w:asciiTheme="minorHAnsi" w:eastAsiaTheme="minorEastAsia" w:hAnsiTheme="minorHAnsi"/>
              <w:noProof/>
              <w:kern w:val="2"/>
              <w:sz w:val="22"/>
              <w:lang w:val="en-US"/>
              <w14:ligatures w14:val="standardContextual"/>
            </w:rPr>
          </w:pPr>
          <w:hyperlink w:anchor="_Toc152111910" w:history="1">
            <w:r w:rsidRPr="003968CC">
              <w:rPr>
                <w:rStyle w:val="Hyperlink"/>
                <w:noProof/>
              </w:rPr>
              <w:t>Strengths and potential areas for improvement</w:t>
            </w:r>
            <w:r>
              <w:rPr>
                <w:noProof/>
                <w:webHidden/>
              </w:rPr>
              <w:tab/>
            </w:r>
            <w:r>
              <w:rPr>
                <w:noProof/>
                <w:webHidden/>
              </w:rPr>
              <w:fldChar w:fldCharType="begin"/>
            </w:r>
            <w:r>
              <w:rPr>
                <w:noProof/>
                <w:webHidden/>
              </w:rPr>
              <w:instrText xml:space="preserve"> PAGEREF _Toc152111910 \h </w:instrText>
            </w:r>
            <w:r>
              <w:rPr>
                <w:noProof/>
                <w:webHidden/>
              </w:rPr>
            </w:r>
            <w:r>
              <w:rPr>
                <w:noProof/>
                <w:webHidden/>
              </w:rPr>
              <w:fldChar w:fldCharType="separate"/>
            </w:r>
            <w:r>
              <w:rPr>
                <w:noProof/>
                <w:webHidden/>
              </w:rPr>
              <w:t>9</w:t>
            </w:r>
            <w:r>
              <w:rPr>
                <w:noProof/>
                <w:webHidden/>
              </w:rPr>
              <w:fldChar w:fldCharType="end"/>
            </w:r>
          </w:hyperlink>
        </w:p>
        <w:p w14:paraId="4A97F058" w14:textId="11814A8D" w:rsidR="00F51AF5" w:rsidRDefault="00F51AF5">
          <w:pPr>
            <w:pStyle w:val="TOC2"/>
            <w:tabs>
              <w:tab w:val="right" w:leader="dot" w:pos="9350"/>
            </w:tabs>
            <w:rPr>
              <w:rFonts w:asciiTheme="minorHAnsi" w:eastAsiaTheme="minorEastAsia" w:hAnsiTheme="minorHAnsi"/>
              <w:noProof/>
              <w:kern w:val="2"/>
              <w:sz w:val="22"/>
              <w:lang w:val="en-US"/>
              <w14:ligatures w14:val="standardContextual"/>
            </w:rPr>
          </w:pPr>
          <w:hyperlink w:anchor="_Toc152111911" w:history="1">
            <w:r w:rsidRPr="003968CC">
              <w:rPr>
                <w:rStyle w:val="Hyperlink"/>
                <w:noProof/>
              </w:rPr>
              <w:t>Industry examples supporting the analysis</w:t>
            </w:r>
            <w:r>
              <w:rPr>
                <w:noProof/>
                <w:webHidden/>
              </w:rPr>
              <w:tab/>
            </w:r>
            <w:r>
              <w:rPr>
                <w:noProof/>
                <w:webHidden/>
              </w:rPr>
              <w:fldChar w:fldCharType="begin"/>
            </w:r>
            <w:r>
              <w:rPr>
                <w:noProof/>
                <w:webHidden/>
              </w:rPr>
              <w:instrText xml:space="preserve"> PAGEREF _Toc152111911 \h </w:instrText>
            </w:r>
            <w:r>
              <w:rPr>
                <w:noProof/>
                <w:webHidden/>
              </w:rPr>
            </w:r>
            <w:r>
              <w:rPr>
                <w:noProof/>
                <w:webHidden/>
              </w:rPr>
              <w:fldChar w:fldCharType="separate"/>
            </w:r>
            <w:r>
              <w:rPr>
                <w:noProof/>
                <w:webHidden/>
              </w:rPr>
              <w:t>9</w:t>
            </w:r>
            <w:r>
              <w:rPr>
                <w:noProof/>
                <w:webHidden/>
              </w:rPr>
              <w:fldChar w:fldCharType="end"/>
            </w:r>
          </w:hyperlink>
        </w:p>
        <w:p w14:paraId="41EC3E74" w14:textId="544BC820" w:rsidR="00F51AF5" w:rsidRDefault="00F51AF5">
          <w:pPr>
            <w:pStyle w:val="TOC1"/>
            <w:tabs>
              <w:tab w:val="right" w:leader="dot" w:pos="9350"/>
            </w:tabs>
            <w:rPr>
              <w:rFonts w:asciiTheme="minorHAnsi" w:eastAsiaTheme="minorEastAsia" w:hAnsiTheme="minorHAnsi"/>
              <w:noProof/>
              <w:kern w:val="2"/>
              <w:sz w:val="22"/>
              <w:lang w:val="en-US"/>
              <w14:ligatures w14:val="standardContextual"/>
            </w:rPr>
          </w:pPr>
          <w:hyperlink w:anchor="_Toc152111912" w:history="1">
            <w:r w:rsidRPr="003968CC">
              <w:rPr>
                <w:rStyle w:val="Hyperlink"/>
                <w:noProof/>
              </w:rPr>
              <w:t>VIII. Conclusion</w:t>
            </w:r>
            <w:r>
              <w:rPr>
                <w:noProof/>
                <w:webHidden/>
              </w:rPr>
              <w:tab/>
            </w:r>
            <w:r>
              <w:rPr>
                <w:noProof/>
                <w:webHidden/>
              </w:rPr>
              <w:fldChar w:fldCharType="begin"/>
            </w:r>
            <w:r>
              <w:rPr>
                <w:noProof/>
                <w:webHidden/>
              </w:rPr>
              <w:instrText xml:space="preserve"> PAGEREF _Toc152111912 \h </w:instrText>
            </w:r>
            <w:r>
              <w:rPr>
                <w:noProof/>
                <w:webHidden/>
              </w:rPr>
            </w:r>
            <w:r>
              <w:rPr>
                <w:noProof/>
                <w:webHidden/>
              </w:rPr>
              <w:fldChar w:fldCharType="separate"/>
            </w:r>
            <w:r>
              <w:rPr>
                <w:noProof/>
                <w:webHidden/>
              </w:rPr>
              <w:t>11</w:t>
            </w:r>
            <w:r>
              <w:rPr>
                <w:noProof/>
                <w:webHidden/>
              </w:rPr>
              <w:fldChar w:fldCharType="end"/>
            </w:r>
          </w:hyperlink>
        </w:p>
        <w:p w14:paraId="1F24C3DB" w14:textId="2FD07DC8" w:rsidR="00F51AF5" w:rsidRDefault="00F51AF5">
          <w:pPr>
            <w:pStyle w:val="TOC1"/>
            <w:tabs>
              <w:tab w:val="right" w:leader="dot" w:pos="9350"/>
            </w:tabs>
            <w:rPr>
              <w:rFonts w:asciiTheme="minorHAnsi" w:eastAsiaTheme="minorEastAsia" w:hAnsiTheme="minorHAnsi"/>
              <w:noProof/>
              <w:kern w:val="2"/>
              <w:sz w:val="22"/>
              <w:lang w:val="en-US"/>
              <w14:ligatures w14:val="standardContextual"/>
            </w:rPr>
          </w:pPr>
          <w:hyperlink w:anchor="_Toc152111913" w:history="1">
            <w:r w:rsidRPr="003968CC">
              <w:rPr>
                <w:rStyle w:val="Hyperlink"/>
                <w:noProof/>
              </w:rPr>
              <w:t>References</w:t>
            </w:r>
            <w:r>
              <w:rPr>
                <w:noProof/>
                <w:webHidden/>
              </w:rPr>
              <w:tab/>
            </w:r>
            <w:r>
              <w:rPr>
                <w:noProof/>
                <w:webHidden/>
              </w:rPr>
              <w:fldChar w:fldCharType="begin"/>
            </w:r>
            <w:r>
              <w:rPr>
                <w:noProof/>
                <w:webHidden/>
              </w:rPr>
              <w:instrText xml:space="preserve"> PAGEREF _Toc152111913 \h </w:instrText>
            </w:r>
            <w:r>
              <w:rPr>
                <w:noProof/>
                <w:webHidden/>
              </w:rPr>
            </w:r>
            <w:r>
              <w:rPr>
                <w:noProof/>
                <w:webHidden/>
              </w:rPr>
              <w:fldChar w:fldCharType="separate"/>
            </w:r>
            <w:r>
              <w:rPr>
                <w:noProof/>
                <w:webHidden/>
              </w:rPr>
              <w:t>12</w:t>
            </w:r>
            <w:r>
              <w:rPr>
                <w:noProof/>
                <w:webHidden/>
              </w:rPr>
              <w:fldChar w:fldCharType="end"/>
            </w:r>
          </w:hyperlink>
        </w:p>
        <w:p w14:paraId="6BFE1070" w14:textId="607A689F" w:rsidR="00F74B68" w:rsidRDefault="00F74B68">
          <w:r>
            <w:rPr>
              <w:b/>
              <w:bCs/>
              <w:noProof/>
            </w:rPr>
            <w:fldChar w:fldCharType="end"/>
          </w:r>
        </w:p>
      </w:sdtContent>
    </w:sdt>
    <w:p w14:paraId="68C4666A" w14:textId="77777777" w:rsidR="00D44BE4" w:rsidRPr="00D44BE4" w:rsidRDefault="00D44BE4" w:rsidP="00D44BE4"/>
    <w:p w14:paraId="1572D8CE" w14:textId="77777777" w:rsidR="00D44BE4" w:rsidRPr="00D44BE4" w:rsidRDefault="00D44BE4" w:rsidP="00D44BE4"/>
    <w:p w14:paraId="3E44624F" w14:textId="77777777" w:rsidR="00D44BE4" w:rsidRPr="00D44BE4" w:rsidRDefault="00000000">
      <w:pPr>
        <w:spacing w:before="0" w:line="259" w:lineRule="auto"/>
        <w:jc w:val="left"/>
      </w:pPr>
      <w:r w:rsidRPr="00D44BE4">
        <w:br w:type="page"/>
      </w:r>
    </w:p>
    <w:p w14:paraId="5DD3F0D6" w14:textId="77777777" w:rsidR="00F51AF5" w:rsidRDefault="00F51AF5" w:rsidP="00D44BE4">
      <w:pPr>
        <w:pStyle w:val="Heading1"/>
        <w:sectPr w:rsidR="00F51AF5">
          <w:footerReference w:type="default" r:id="rId9"/>
          <w:pgSz w:w="12240" w:h="15840"/>
          <w:pgMar w:top="1440" w:right="1440" w:bottom="1440" w:left="1440" w:header="720" w:footer="720" w:gutter="0"/>
          <w:cols w:space="720"/>
          <w:docGrid w:linePitch="360"/>
        </w:sectPr>
      </w:pPr>
    </w:p>
    <w:p w14:paraId="0B0AEA6E" w14:textId="71F42535" w:rsidR="00D44BE4" w:rsidRPr="00D44BE4" w:rsidRDefault="00000000" w:rsidP="00D44BE4">
      <w:pPr>
        <w:pStyle w:val="Heading1"/>
      </w:pPr>
      <w:bookmarkStart w:id="0" w:name="_Toc152111890"/>
      <w:r w:rsidRPr="00D44BE4">
        <w:lastRenderedPageBreak/>
        <w:t>I. Introduction</w:t>
      </w:r>
      <w:bookmarkEnd w:id="0"/>
    </w:p>
    <w:p w14:paraId="17F747D4" w14:textId="7C80BE28" w:rsidR="00D44BE4" w:rsidRPr="00D44BE4" w:rsidRDefault="00000000" w:rsidP="00D44BE4">
      <w:r w:rsidRPr="00D44BE4">
        <w:t>Mass marketing is no longer the go-to strategy in today</w:t>
      </w:r>
      <w:r w:rsidR="008F1A76">
        <w:t>’</w:t>
      </w:r>
      <w:r w:rsidRPr="00D44BE4">
        <w:t>s corporate environment. Instead, businesses are finding success by better knowing their customers. Market segmentation comes into play here. For this blog, the chosen business organisation is GlaxoSmithKline Plc (GSK). It is a large pharmaceutical company which is reacting to this transformation. It does not treat all clients the same; instead, it classifies them based on factors such as age, gender, and location</w:t>
      </w:r>
      <w:r w:rsidR="00267DEB">
        <w:t xml:space="preserve"> (</w:t>
      </w:r>
      <w:r w:rsidR="00267DEB" w:rsidRPr="00267DEB">
        <w:t>Venkatesh</w:t>
      </w:r>
      <w:r w:rsidR="00267DEB">
        <w:t>, 2016)</w:t>
      </w:r>
      <w:r w:rsidRPr="00D44BE4">
        <w:t>. GSK, for example, tailors skincare products to various age groups. The relevance of this strategy is explored in this blog, which sheds insight into how GSK is navigating the new era of personalised marketing.</w:t>
      </w:r>
    </w:p>
    <w:p w14:paraId="70F064AE" w14:textId="77777777" w:rsidR="00D44BE4" w:rsidRPr="00D44BE4" w:rsidRDefault="00D44BE4" w:rsidP="00D44BE4"/>
    <w:p w14:paraId="05857859" w14:textId="77777777" w:rsidR="00D44BE4" w:rsidRPr="00D44BE4" w:rsidRDefault="00000000">
      <w:pPr>
        <w:spacing w:before="0" w:line="259" w:lineRule="auto"/>
        <w:jc w:val="left"/>
      </w:pPr>
      <w:r w:rsidRPr="00D44BE4">
        <w:br w:type="page"/>
      </w:r>
    </w:p>
    <w:p w14:paraId="545AFB74" w14:textId="4EBA5919" w:rsidR="00D44BE4" w:rsidRPr="00D44BE4" w:rsidRDefault="00000000" w:rsidP="00D44BE4">
      <w:pPr>
        <w:pStyle w:val="Heading1"/>
      </w:pPr>
      <w:bookmarkStart w:id="1" w:name="_Toc152111891"/>
      <w:r w:rsidRPr="00D44BE4">
        <w:lastRenderedPageBreak/>
        <w:t>II. GSK</w:t>
      </w:r>
      <w:r w:rsidR="008F1A76">
        <w:t>’</w:t>
      </w:r>
      <w:r w:rsidRPr="00D44BE4">
        <w:t>s Market Segmentation</w:t>
      </w:r>
      <w:bookmarkEnd w:id="1"/>
    </w:p>
    <w:p w14:paraId="1F1540B1" w14:textId="631A1EFF" w:rsidR="00D44BE4" w:rsidRDefault="00000000" w:rsidP="00D44BE4">
      <w:pPr>
        <w:pStyle w:val="Heading2"/>
      </w:pPr>
      <w:bookmarkStart w:id="2" w:name="_Toc152111892"/>
      <w:r w:rsidRPr="00D44BE4">
        <w:t>Demographic, psychographic, and behavioural approaches</w:t>
      </w:r>
      <w:bookmarkEnd w:id="2"/>
    </w:p>
    <w:p w14:paraId="19F18DA3" w14:textId="1172810F" w:rsidR="00D44BE4" w:rsidRPr="00D44BE4" w:rsidRDefault="00000000" w:rsidP="00D44BE4">
      <w:r w:rsidRPr="00D44BE4">
        <w:t>GSK employs three primary methods to better understand its customers: demographics, psychographics, and behaviour. Demographics examine age, gender, and income. GSK tailors skincare products to particular age groups. Psychographics delve into the preferences and values of clients. Sensodyne toothpaste, for example, caters to health-conscious individuals. Finally, GSK investigates how individuals behave—what they purchase, how frequently they buy it, and how loyal they are</w:t>
      </w:r>
      <w:r w:rsidR="009D4C5A">
        <w:t xml:space="preserve"> (</w:t>
      </w:r>
      <w:r w:rsidR="009D4C5A" w:rsidRPr="009D4C5A">
        <w:t>Rizhamadze</w:t>
      </w:r>
      <w:r w:rsidR="009D4C5A">
        <w:t>, 2020)</w:t>
      </w:r>
      <w:r w:rsidRPr="00D44BE4">
        <w:t xml:space="preserve">. </w:t>
      </w:r>
      <w:r w:rsidR="008F1A76">
        <w:t>“</w:t>
      </w:r>
      <w:r w:rsidRPr="00D44BE4">
        <w:t>GSK Rewards,</w:t>
      </w:r>
      <w:r w:rsidR="008F1A76">
        <w:t>”</w:t>
      </w:r>
      <w:r w:rsidRPr="00D44BE4">
        <w:t xml:space="preserve"> </w:t>
      </w:r>
      <w:r w:rsidR="00B35470">
        <w:t>its</w:t>
      </w:r>
      <w:r w:rsidRPr="00D44BE4">
        <w:t xml:space="preserve"> loyalty programme, rewards repeat consumers, encouraging them to continue using GSK</w:t>
      </w:r>
      <w:r w:rsidR="008F1A76">
        <w:t>’</w:t>
      </w:r>
      <w:r w:rsidRPr="00D44BE4">
        <w:t>s goods. These tactics assist GSK in developing goods and messaging that truly resonate with its varied client base.</w:t>
      </w:r>
    </w:p>
    <w:p w14:paraId="0D5F8F49" w14:textId="77777777" w:rsidR="00D44BE4" w:rsidRDefault="00000000" w:rsidP="00D44BE4">
      <w:pPr>
        <w:pStyle w:val="Heading2"/>
      </w:pPr>
      <w:bookmarkStart w:id="3" w:name="_Toc152111893"/>
      <w:r w:rsidRPr="00D44BE4">
        <w:t>Product examples tailored to specific segments</w:t>
      </w:r>
      <w:bookmarkEnd w:id="3"/>
    </w:p>
    <w:p w14:paraId="65074039" w14:textId="5B6B9616" w:rsidR="00D44BE4" w:rsidRPr="00D44BE4" w:rsidRDefault="00000000" w:rsidP="00D44BE4">
      <w:r w:rsidRPr="00D44BE4">
        <w:t xml:space="preserve">GSK creates items for a variety of client segments. </w:t>
      </w:r>
      <w:r w:rsidR="00F66D83">
        <w:t>It</w:t>
      </w:r>
      <w:r w:rsidRPr="00D44BE4">
        <w:t xml:space="preserve"> adapt</w:t>
      </w:r>
      <w:r w:rsidR="00F66D83">
        <w:t>s</w:t>
      </w:r>
      <w:r w:rsidRPr="00D44BE4">
        <w:t xml:space="preserve"> skincare solutions to certain age groups. </w:t>
      </w:r>
      <w:r w:rsidR="00F66D83">
        <w:t>Its</w:t>
      </w:r>
      <w:r w:rsidRPr="00D44BE4">
        <w:t xml:space="preserve"> respiratory drugs address a variety of health demands across demographics. Sensodyne toothpaste is an excellent example of psychographic customisation since it targets health-conscious consumers looking for oral care solutions</w:t>
      </w:r>
      <w:r w:rsidR="004666E0">
        <w:t xml:space="preserve"> (</w:t>
      </w:r>
      <w:r w:rsidR="004666E0" w:rsidRPr="004666E0">
        <w:t>Savelius</w:t>
      </w:r>
      <w:r w:rsidR="004666E0">
        <w:t>, 2013)</w:t>
      </w:r>
      <w:r w:rsidRPr="00D44BE4">
        <w:t>. This strategy extends to behavioural factors, including GSK</w:t>
      </w:r>
      <w:r w:rsidR="008F1A76">
        <w:t>’</w:t>
      </w:r>
      <w:r w:rsidRPr="00D44BE4">
        <w:t>s loyalty programme, aimed at returning consumers. GSK ensures that its broad client base finds relevance and value in its offers by matching goods with the specific features of each group, encouraging brand loyalty.</w:t>
      </w:r>
    </w:p>
    <w:p w14:paraId="3868B33A" w14:textId="77777777" w:rsidR="00D44BE4" w:rsidRPr="00D44BE4" w:rsidRDefault="00D44BE4" w:rsidP="00D44BE4"/>
    <w:p w14:paraId="44B58D87" w14:textId="77777777" w:rsidR="00D44BE4" w:rsidRPr="00D44BE4" w:rsidRDefault="00D44BE4" w:rsidP="00D44BE4"/>
    <w:p w14:paraId="0E316461" w14:textId="77777777" w:rsidR="00D44BE4" w:rsidRPr="00D44BE4" w:rsidRDefault="00000000">
      <w:pPr>
        <w:spacing w:before="0" w:line="259" w:lineRule="auto"/>
        <w:jc w:val="left"/>
      </w:pPr>
      <w:r w:rsidRPr="00D44BE4">
        <w:br w:type="page"/>
      </w:r>
    </w:p>
    <w:p w14:paraId="260893DA" w14:textId="0403506F" w:rsidR="00D44BE4" w:rsidRPr="00D44BE4" w:rsidRDefault="00000000" w:rsidP="00D44BE4">
      <w:pPr>
        <w:pStyle w:val="Heading1"/>
      </w:pPr>
      <w:bookmarkStart w:id="4" w:name="_Toc152111894"/>
      <w:r w:rsidRPr="00D44BE4">
        <w:lastRenderedPageBreak/>
        <w:t>III. Targeting Strategies</w:t>
      </w:r>
      <w:bookmarkEnd w:id="4"/>
    </w:p>
    <w:p w14:paraId="15C0FEAF" w14:textId="77777777" w:rsidR="00D44BE4" w:rsidRDefault="00000000" w:rsidP="00D44BE4">
      <w:pPr>
        <w:pStyle w:val="Heading2"/>
      </w:pPr>
      <w:bookmarkStart w:id="5" w:name="_Toc152111895"/>
      <w:r w:rsidRPr="00D44BE4">
        <w:t>Differentiated targeting for unique needs</w:t>
      </w:r>
      <w:bookmarkEnd w:id="5"/>
    </w:p>
    <w:p w14:paraId="57926E15" w14:textId="7F31EEEE" w:rsidR="00D44BE4" w:rsidRPr="00D44BE4" w:rsidRDefault="00000000" w:rsidP="00D44BE4">
      <w:r w:rsidRPr="00D44BE4">
        <w:t>GSK distinguishes itself by adapting its marketing to the specific demands of diverse client segments. This diversified targeting method guarantees that each product appeals to a certain demographic. Voltaren, a pain reliever, for example, targets those who lead active lives, catering to their specific pain relief requirements</w:t>
      </w:r>
      <w:r w:rsidR="005E1CE8">
        <w:t xml:space="preserve"> (Armstrong et al., 2014)</w:t>
      </w:r>
      <w:r w:rsidRPr="00D44BE4">
        <w:t>. Sensodyne Pro Enamel, on the other hand, caters to customers who are concerned about enamel degradation. GSK builds its relationship with consumers by recognising and addressing the different needs of its audience, making its goods more relevant and compelling in a competitive market setting.</w:t>
      </w:r>
    </w:p>
    <w:p w14:paraId="27F73E11" w14:textId="77777777" w:rsidR="00D44BE4" w:rsidRDefault="00000000" w:rsidP="00D44BE4">
      <w:pPr>
        <w:pStyle w:val="Heading2"/>
      </w:pPr>
      <w:bookmarkStart w:id="6" w:name="_Toc152111896"/>
      <w:r w:rsidRPr="00D44BE4">
        <w:t>Niche targeting within broader segments</w:t>
      </w:r>
      <w:bookmarkEnd w:id="6"/>
    </w:p>
    <w:p w14:paraId="3ECBB035" w14:textId="0AFF912B" w:rsidR="00D44BE4" w:rsidRPr="00D44BE4" w:rsidRDefault="00000000" w:rsidP="00D44BE4">
      <w:r w:rsidRPr="00D44BE4">
        <w:t>GSK goes beyond broad sectors to satisfy particular requirements through niche targeting. One great example is Advair, a medicine designed specifically for asthma patients with varying degrees of severity. GSK ensures that Advair serves the special needs of asthma patients by concentrating on this niche within the larger respiratory segment, delivering customised solutions. This strategy enables GSK to effectively penetrate specialised markets, catering to the unique health problems of people within bigger sectors</w:t>
      </w:r>
      <w:r w:rsidR="00131639">
        <w:t xml:space="preserve"> (Kotler et al., 2015)</w:t>
      </w:r>
      <w:r w:rsidRPr="00D44BE4">
        <w:t>. GSK</w:t>
      </w:r>
      <w:r w:rsidR="008F1A76">
        <w:t>’</w:t>
      </w:r>
      <w:r w:rsidRPr="00D44BE4">
        <w:t>s strategic agility is demonstrated by niche targeting, which recognises possibilities to tailor its offers for more narrow consumer groups within the greater market environment.</w:t>
      </w:r>
    </w:p>
    <w:p w14:paraId="387EF7E9" w14:textId="77777777" w:rsidR="00D44BE4" w:rsidRPr="00D44BE4" w:rsidRDefault="00D44BE4" w:rsidP="00D44BE4"/>
    <w:p w14:paraId="70CDEA0C" w14:textId="77777777" w:rsidR="00D44BE4" w:rsidRPr="00D44BE4" w:rsidRDefault="00D44BE4" w:rsidP="00D44BE4"/>
    <w:p w14:paraId="4E534668" w14:textId="77777777" w:rsidR="00D44BE4" w:rsidRPr="00D44BE4" w:rsidRDefault="00000000">
      <w:pPr>
        <w:spacing w:before="0" w:line="259" w:lineRule="auto"/>
        <w:jc w:val="left"/>
      </w:pPr>
      <w:r w:rsidRPr="00D44BE4">
        <w:br w:type="page"/>
      </w:r>
    </w:p>
    <w:p w14:paraId="5314D862" w14:textId="2698C892" w:rsidR="00D44BE4" w:rsidRPr="00D44BE4" w:rsidRDefault="00000000" w:rsidP="00D44BE4">
      <w:pPr>
        <w:pStyle w:val="Heading1"/>
      </w:pPr>
      <w:bookmarkStart w:id="7" w:name="_Toc152111897"/>
      <w:r w:rsidRPr="00D44BE4">
        <w:lastRenderedPageBreak/>
        <w:t>IV. Positioning Strategies</w:t>
      </w:r>
      <w:bookmarkEnd w:id="7"/>
    </w:p>
    <w:p w14:paraId="526C70A9" w14:textId="40B19870" w:rsidR="00D44BE4" w:rsidRDefault="00000000" w:rsidP="00D44BE4">
      <w:pPr>
        <w:pStyle w:val="Heading2"/>
      </w:pPr>
      <w:bookmarkStart w:id="8" w:name="_Toc152111898"/>
      <w:r w:rsidRPr="00D44BE4">
        <w:t>Value positioning emphasi</w:t>
      </w:r>
      <w:r w:rsidR="00D81CC2">
        <w:t>s</w:t>
      </w:r>
      <w:r w:rsidRPr="00D44BE4">
        <w:t xml:space="preserve">ing </w:t>
      </w:r>
      <w:proofErr w:type="gramStart"/>
      <w:r w:rsidRPr="00D44BE4">
        <w:t>quality</w:t>
      </w:r>
      <w:bookmarkEnd w:id="8"/>
      <w:proofErr w:type="gramEnd"/>
    </w:p>
    <w:p w14:paraId="75E78636" w14:textId="750C6AB9" w:rsidR="00D44BE4" w:rsidRPr="00D44BE4" w:rsidRDefault="00000000" w:rsidP="00D44BE4">
      <w:r w:rsidRPr="00D44BE4">
        <w:t>GSK strategically markets its goods by emphasising better quality, which justifies higher costs. Lucozade, a sports drink known for its ability to improve athletic performance, is one example. GSK promotes an impression of value among consumers by concentrating on the beverage</w:t>
      </w:r>
      <w:r w:rsidR="008F1A76">
        <w:t>’</w:t>
      </w:r>
      <w:r w:rsidRPr="00D44BE4">
        <w:t>s efficacy, justifying the higher price point. This value positioning not only conveys the quality of the product but also develops a link between the brand and customer expectations</w:t>
      </w:r>
      <w:r w:rsidR="00FF35A0">
        <w:t xml:space="preserve"> (</w:t>
      </w:r>
      <w:r w:rsidR="00FF35A0" w:rsidRPr="00FF35A0">
        <w:t>Solomon</w:t>
      </w:r>
      <w:r w:rsidR="00FF35A0">
        <w:t xml:space="preserve"> et al., 2014)</w:t>
      </w:r>
      <w:r w:rsidRPr="00D44BE4">
        <w:t>. GSK</w:t>
      </w:r>
      <w:r w:rsidR="008F1A76">
        <w:t>’</w:t>
      </w:r>
      <w:r w:rsidRPr="00D44BE4">
        <w:t>s dedication to providing great goods strengthens its market reputation, adding to the overall success of its value-driven positioning approach.</w:t>
      </w:r>
    </w:p>
    <w:p w14:paraId="252AE28E" w14:textId="77777777" w:rsidR="00D44BE4" w:rsidRDefault="00000000" w:rsidP="00D44BE4">
      <w:pPr>
        <w:pStyle w:val="Heading2"/>
      </w:pPr>
      <w:bookmarkStart w:id="9" w:name="_Toc152111899"/>
      <w:r w:rsidRPr="00D44BE4">
        <w:t>Benefit positioning focusing on tangible benefits</w:t>
      </w:r>
      <w:bookmarkEnd w:id="9"/>
    </w:p>
    <w:p w14:paraId="0C8E8B48" w14:textId="055197F1" w:rsidR="00D44BE4" w:rsidRPr="00D44BE4" w:rsidRDefault="00000000" w:rsidP="00D44BE4">
      <w:r w:rsidRPr="00BC78CC">
        <w:t>GSK has a benefit positioning strategy, focusing on the concrete benefits that its products provide to consumers. Sensodyne toothpaste, marketed as a remedy for sensitive teeth, is one example. The emphasis is on delivering pain and discomfort relief while addressing a specific oral condition. GSK develops a clear and compelling value proposition for customers by emphasising the product</w:t>
      </w:r>
      <w:r w:rsidR="008F1A76">
        <w:t>’</w:t>
      </w:r>
      <w:r w:rsidRPr="00BC78CC">
        <w:t>s practical benefits</w:t>
      </w:r>
      <w:r w:rsidR="00957B88">
        <w:t xml:space="preserve"> (</w:t>
      </w:r>
      <w:r w:rsidR="00957B88" w:rsidRPr="00957B88">
        <w:t>Strauss and Frost, 2014</w:t>
      </w:r>
      <w:r w:rsidR="00957B88">
        <w:t>)</w:t>
      </w:r>
      <w:r w:rsidRPr="00BC78CC">
        <w:t>. This benefit-focused positioning strategy matches customer demands, making Sensodyne a top choice for individuals looking for effective dental sensitivity remedies, reaffirming GSK</w:t>
      </w:r>
      <w:r w:rsidR="008F1A76">
        <w:t>’</w:t>
      </w:r>
      <w:r w:rsidRPr="00BC78CC">
        <w:t>s commitment to offering products that effectively address consumer problems.</w:t>
      </w:r>
    </w:p>
    <w:p w14:paraId="5FA71E15" w14:textId="77777777" w:rsidR="00D44BE4" w:rsidRPr="00D44BE4" w:rsidRDefault="00D44BE4" w:rsidP="00D44BE4"/>
    <w:p w14:paraId="2D13BF0B" w14:textId="77777777" w:rsidR="00D44BE4" w:rsidRPr="00D44BE4" w:rsidRDefault="00D44BE4" w:rsidP="00D44BE4"/>
    <w:p w14:paraId="0DB295BB" w14:textId="77777777" w:rsidR="00D44BE4" w:rsidRPr="00D44BE4" w:rsidRDefault="00000000">
      <w:pPr>
        <w:spacing w:before="0" w:line="259" w:lineRule="auto"/>
        <w:jc w:val="left"/>
      </w:pPr>
      <w:r w:rsidRPr="00D44BE4">
        <w:br w:type="page"/>
      </w:r>
    </w:p>
    <w:p w14:paraId="79422F49" w14:textId="2FB238D1" w:rsidR="00D44BE4" w:rsidRPr="00D44BE4" w:rsidRDefault="00000000" w:rsidP="00D44BE4">
      <w:pPr>
        <w:pStyle w:val="Heading1"/>
      </w:pPr>
      <w:bookmarkStart w:id="10" w:name="_Toc152111900"/>
      <w:r w:rsidRPr="00D44BE4">
        <w:lastRenderedPageBreak/>
        <w:t>V. GSK</w:t>
      </w:r>
      <w:r w:rsidR="008F1A76">
        <w:t>’</w:t>
      </w:r>
      <w:r w:rsidRPr="00D44BE4">
        <w:t>s Marketing Mix (4Ps)</w:t>
      </w:r>
      <w:bookmarkEnd w:id="10"/>
    </w:p>
    <w:p w14:paraId="1F78AC2C" w14:textId="77777777" w:rsidR="00D44BE4" w:rsidRDefault="00000000" w:rsidP="00D44BE4">
      <w:pPr>
        <w:pStyle w:val="Heading2"/>
      </w:pPr>
      <w:bookmarkStart w:id="11" w:name="_Toc152111901"/>
      <w:r w:rsidRPr="00D44BE4">
        <w:t>Product innovation and R&amp;D</w:t>
      </w:r>
      <w:bookmarkEnd w:id="11"/>
    </w:p>
    <w:p w14:paraId="303EE75E" w14:textId="63ED30A1" w:rsidR="00BC78CC" w:rsidRPr="00BC78CC" w:rsidRDefault="00000000" w:rsidP="00BC78CC">
      <w:r w:rsidRPr="00BC78CC">
        <w:t xml:space="preserve">GSK prioritises product innovation via intensive research and development (R&amp;D) initiatives. Notably, </w:t>
      </w:r>
      <w:r w:rsidR="004B32C2">
        <w:t>its</w:t>
      </w:r>
      <w:r w:rsidRPr="00BC78CC">
        <w:t xml:space="preserve"> vaccination portfolio, which includes influenza and shingles treatments, demonstrates </w:t>
      </w:r>
      <w:r w:rsidR="00647FBE">
        <w:t>its</w:t>
      </w:r>
      <w:r w:rsidRPr="00BC78CC">
        <w:t xml:space="preserve"> dedication to preventative healthcare. GSK continuously creates novel and effective solutions that answer unmet consumer demands by spending extensively on R&amp;D. This drive to innovation not only strengthens the company</w:t>
      </w:r>
      <w:r w:rsidR="008F1A76">
        <w:t>’</w:t>
      </w:r>
      <w:r w:rsidRPr="00BC78CC">
        <w:t>s competitive advantage but also demonstrates a commitment to developing healthcare solutions</w:t>
      </w:r>
      <w:r w:rsidR="00547DC3">
        <w:t xml:space="preserve"> (</w:t>
      </w:r>
      <w:r w:rsidR="00547DC3" w:rsidRPr="00547DC3">
        <w:t>Londhe</w:t>
      </w:r>
      <w:r w:rsidR="00547DC3">
        <w:t>, 2014)</w:t>
      </w:r>
      <w:r w:rsidRPr="00BC78CC">
        <w:t>. GSK</w:t>
      </w:r>
      <w:r w:rsidR="008F1A76">
        <w:t>’</w:t>
      </w:r>
      <w:r w:rsidRPr="00BC78CC">
        <w:t>s vaccination portfolio demonstrates the company</w:t>
      </w:r>
      <w:r w:rsidR="008F1A76">
        <w:t>’</w:t>
      </w:r>
      <w:r w:rsidRPr="00BC78CC">
        <w:t>s proactive commitment to developing medicines that contribute to preventative healthcare while also meeting changing customer preferences.</w:t>
      </w:r>
    </w:p>
    <w:p w14:paraId="7371CBF4" w14:textId="77777777" w:rsidR="00D44BE4" w:rsidRDefault="00000000" w:rsidP="00D44BE4">
      <w:pPr>
        <w:pStyle w:val="Heading2"/>
      </w:pPr>
      <w:bookmarkStart w:id="12" w:name="_Toc152111902"/>
      <w:r w:rsidRPr="00D44BE4">
        <w:t>Value-based pricing balancing premium and accessibility</w:t>
      </w:r>
      <w:bookmarkEnd w:id="12"/>
    </w:p>
    <w:p w14:paraId="1AC0977C" w14:textId="23840856" w:rsidR="00BC78CC" w:rsidRPr="00BC78CC" w:rsidRDefault="00000000" w:rsidP="00BC78CC">
      <w:r w:rsidRPr="00BC78CC">
        <w:t>GSK has a value-based pricing approach that carefully balances premium price and accessibility. The price approach for Advair, a medicine that includes breakthrough technologies to address respiratory difficulties, is a perfect example. GSK deliberately portrays Advair as a high-quality solution that justifies a higher price. At the same time, the firm assures accessibility for its target audience by achieving a balance between pricing and the product</w:t>
      </w:r>
      <w:r w:rsidR="008F1A76">
        <w:t>’</w:t>
      </w:r>
      <w:r w:rsidRPr="00BC78CC">
        <w:t>s creative features</w:t>
      </w:r>
      <w:r w:rsidR="00644ACC">
        <w:t xml:space="preserve"> (Khan, 2014)</w:t>
      </w:r>
      <w:r w:rsidRPr="00BC78CC">
        <w:t>. This value-based pricing strategy corresponds with GSK</w:t>
      </w:r>
      <w:r w:rsidR="008F1A76">
        <w:t>’</w:t>
      </w:r>
      <w:r w:rsidRPr="00BC78CC">
        <w:t xml:space="preserve">s objective to offer high-quality healthcare solutions while </w:t>
      </w:r>
      <w:r w:rsidR="00E8643E" w:rsidRPr="00BC78CC">
        <w:t>considering</w:t>
      </w:r>
      <w:r w:rsidRPr="00BC78CC">
        <w:t xml:space="preserve"> the different financial capabilities of its customer base, adding to the overall effectiveness of the company</w:t>
      </w:r>
      <w:r w:rsidR="008F1A76">
        <w:t>’</w:t>
      </w:r>
      <w:r w:rsidRPr="00BC78CC">
        <w:t>s pricing strategy.</w:t>
      </w:r>
    </w:p>
    <w:p w14:paraId="6FAA43C7" w14:textId="77777777" w:rsidR="00D44BE4" w:rsidRDefault="00000000" w:rsidP="00D44BE4">
      <w:pPr>
        <w:pStyle w:val="Heading2"/>
      </w:pPr>
      <w:bookmarkStart w:id="13" w:name="_Toc152111903"/>
      <w:r w:rsidRPr="00D44BE4">
        <w:t>Diverse distribution network and retail partnerships</w:t>
      </w:r>
      <w:bookmarkEnd w:id="13"/>
    </w:p>
    <w:p w14:paraId="78746895" w14:textId="4005486A" w:rsidR="00BC78CC" w:rsidRPr="00BC78CC" w:rsidRDefault="00000000" w:rsidP="00BC78CC">
      <w:r w:rsidRPr="00BC78CC">
        <w:t>Through a wide distribution network and smart retail relationships, GSK assures product availability. Products can be found at pharmacies, supermarkets, and internet stores. Notably, GSK works with large stores such as Boots and Walgreens to broaden the accessibility of its healthcare products. This varied distribution network supports GSK</w:t>
      </w:r>
      <w:r w:rsidR="008F1A76">
        <w:t>’</w:t>
      </w:r>
      <w:r w:rsidRPr="00BC78CC">
        <w:t>s objective of making its drugs easily accessible to customers through a variety of channels</w:t>
      </w:r>
      <w:r w:rsidR="00357555">
        <w:t xml:space="preserve"> (</w:t>
      </w:r>
      <w:r w:rsidR="00357555" w:rsidRPr="00357555">
        <w:t>Morgan</w:t>
      </w:r>
      <w:r w:rsidR="00357555">
        <w:t xml:space="preserve"> et al., 2019)</w:t>
      </w:r>
      <w:r w:rsidRPr="00BC78CC">
        <w:t>. Retail collaborations with Boots and Walgreens increase the visibility and accessibility of GSK</w:t>
      </w:r>
      <w:r w:rsidR="008F1A76">
        <w:t>’</w:t>
      </w:r>
      <w:r w:rsidRPr="00BC78CC">
        <w:t>s goods, bolstering the company</w:t>
      </w:r>
      <w:r w:rsidR="008F1A76">
        <w:t>’</w:t>
      </w:r>
      <w:r w:rsidRPr="00BC78CC">
        <w:t>s market position and ensuring that customers can easily access its healthcare offers through reputable retail locations.</w:t>
      </w:r>
    </w:p>
    <w:p w14:paraId="71F7181C" w14:textId="77777777" w:rsidR="00D44BE4" w:rsidRDefault="00000000" w:rsidP="00D44BE4">
      <w:pPr>
        <w:pStyle w:val="Heading2"/>
      </w:pPr>
      <w:bookmarkStart w:id="14" w:name="_Toc152111904"/>
      <w:r w:rsidRPr="00D44BE4">
        <w:lastRenderedPageBreak/>
        <w:t>Multi-channel promotional strategy</w:t>
      </w:r>
      <w:bookmarkEnd w:id="14"/>
    </w:p>
    <w:p w14:paraId="52807005" w14:textId="1E6BF161" w:rsidR="00BC78CC" w:rsidRPr="00BC78CC" w:rsidRDefault="00000000" w:rsidP="00BC78CC">
      <w:r w:rsidRPr="00BC78CC">
        <w:t>GSK uses a multi-channel promotional approach to effectively reach its target demographic. This all-encompassing strategy incorporates conventional media, internet platforms, and social media. GSK, for example, uses traditional advertising strategies to reach a large audience, whilst digital platforms and social media channels allow for focused and interactive communication. Sensodyne</w:t>
      </w:r>
      <w:r w:rsidR="008F1A76">
        <w:t>’</w:t>
      </w:r>
      <w:r w:rsidRPr="00BC78CC">
        <w:t>s YouTube channel, for example, provides instructive videos as well as testimonials</w:t>
      </w:r>
      <w:r w:rsidR="003B01E0">
        <w:t xml:space="preserve"> (</w:t>
      </w:r>
      <w:r w:rsidR="003B01E0" w:rsidRPr="003B01E0">
        <w:t>Ling</w:t>
      </w:r>
      <w:r w:rsidR="003B01E0">
        <w:t xml:space="preserve"> et al., 2019)</w:t>
      </w:r>
      <w:r w:rsidRPr="00BC78CC">
        <w:t>. GSK maximises its reach by utilising several promotional channels, ensuring that its marketing messages resonate with the unique interests and behaviours of its customer base, leading to a robust and unified promotional strategy.</w:t>
      </w:r>
    </w:p>
    <w:p w14:paraId="49A3F3A9" w14:textId="77777777" w:rsidR="00D44BE4" w:rsidRPr="00D44BE4" w:rsidRDefault="00D44BE4" w:rsidP="00D44BE4"/>
    <w:p w14:paraId="4B21FAB6" w14:textId="77777777" w:rsidR="00D44BE4" w:rsidRPr="00D44BE4" w:rsidRDefault="00D44BE4" w:rsidP="00D44BE4"/>
    <w:p w14:paraId="06A3D56C" w14:textId="77777777" w:rsidR="00D44BE4" w:rsidRPr="00D44BE4" w:rsidRDefault="00000000">
      <w:pPr>
        <w:spacing w:before="0" w:line="259" w:lineRule="auto"/>
        <w:jc w:val="left"/>
      </w:pPr>
      <w:r w:rsidRPr="00D44BE4">
        <w:br w:type="page"/>
      </w:r>
    </w:p>
    <w:p w14:paraId="2F64DCE3" w14:textId="719BF21A" w:rsidR="00D44BE4" w:rsidRPr="00D44BE4" w:rsidRDefault="00000000" w:rsidP="00D44BE4">
      <w:pPr>
        <w:pStyle w:val="Heading1"/>
      </w:pPr>
      <w:bookmarkStart w:id="15" w:name="_Toc152111905"/>
      <w:r w:rsidRPr="00D44BE4">
        <w:lastRenderedPageBreak/>
        <w:t>VI. Academic Theory and Industry Examples</w:t>
      </w:r>
      <w:bookmarkEnd w:id="15"/>
    </w:p>
    <w:p w14:paraId="4139DDCD" w14:textId="20B61B44" w:rsidR="00D44BE4" w:rsidRDefault="00000000" w:rsidP="00D44BE4">
      <w:pPr>
        <w:pStyle w:val="Heading2"/>
      </w:pPr>
      <w:bookmarkStart w:id="16" w:name="_Toc152111906"/>
      <w:r w:rsidRPr="00D44BE4">
        <w:t>Segmentation: Application of Kotler</w:t>
      </w:r>
      <w:r w:rsidR="008F1A76">
        <w:t>’</w:t>
      </w:r>
      <w:r w:rsidRPr="00D44BE4">
        <w:t>s Market Segmentation Theory</w:t>
      </w:r>
      <w:bookmarkEnd w:id="16"/>
    </w:p>
    <w:p w14:paraId="52079A25" w14:textId="42DE7970" w:rsidR="00BC78CC" w:rsidRPr="00BC78CC" w:rsidRDefault="00000000" w:rsidP="00BC78CC">
      <w:r w:rsidRPr="00BC78CC">
        <w:t>GSK</w:t>
      </w:r>
      <w:r w:rsidR="008F1A76">
        <w:t>’</w:t>
      </w:r>
      <w:r w:rsidRPr="00BC78CC">
        <w:t>s segmentation approach is consistent with Kotler</w:t>
      </w:r>
      <w:r w:rsidR="008F1A76">
        <w:t>’</w:t>
      </w:r>
      <w:r w:rsidRPr="00BC78CC">
        <w:t>s Market Segmentation Theory, which emphasises the necessity of recognising various customer demands. Demographics, psychographics, and behaviour are important aspects of GSK</w:t>
      </w:r>
      <w:r w:rsidR="008F1A76">
        <w:t>’</w:t>
      </w:r>
      <w:r w:rsidRPr="00BC78CC">
        <w:t>s market segmentation. For example, the skincare line caters to certain age groups, displaying a refined use of demographic segmentation. Sensodyne, for example, is marketed to health-conscious people</w:t>
      </w:r>
      <w:r w:rsidR="00D23C67">
        <w:t xml:space="preserve"> (</w:t>
      </w:r>
      <w:r w:rsidR="00D23C67" w:rsidRPr="00D23C67">
        <w:t>Baker and Saren</w:t>
      </w:r>
      <w:r w:rsidR="00D23C67">
        <w:t>, 2016)</w:t>
      </w:r>
      <w:r w:rsidRPr="00BC78CC">
        <w:t>. GSK navigates market complexities by incorporating Kotler</w:t>
      </w:r>
      <w:r w:rsidR="008F1A76">
        <w:t>’</w:t>
      </w:r>
      <w:r w:rsidRPr="00BC78CC">
        <w:t>s theory and customising goods to various client attributes. This strategic strategy guarantees that GSK successfully meets its customer base</w:t>
      </w:r>
      <w:r w:rsidR="008F1A76">
        <w:t>’</w:t>
      </w:r>
      <w:r w:rsidRPr="00BC78CC">
        <w:t>s increasing expectations, displaying a deliberate implementation of market segmentation theory in its business practices.</w:t>
      </w:r>
    </w:p>
    <w:p w14:paraId="63FED4DE" w14:textId="08944E5E" w:rsidR="00D44BE4" w:rsidRDefault="00000000" w:rsidP="00D44BE4">
      <w:pPr>
        <w:pStyle w:val="Heading2"/>
      </w:pPr>
      <w:bookmarkStart w:id="17" w:name="_Toc152111907"/>
      <w:r w:rsidRPr="00D44BE4">
        <w:t>Targeting: Evaluation through Porter</w:t>
      </w:r>
      <w:r w:rsidR="008F1A76">
        <w:t>’</w:t>
      </w:r>
      <w:r w:rsidRPr="00D44BE4">
        <w:t>s Generic Strategies</w:t>
      </w:r>
      <w:bookmarkEnd w:id="17"/>
    </w:p>
    <w:p w14:paraId="14E4688C" w14:textId="04C44D99" w:rsidR="00BC78CC" w:rsidRPr="00BC78CC" w:rsidRDefault="00000000" w:rsidP="00BC78CC">
      <w:r w:rsidRPr="00BC78CC">
        <w:t>GSK</w:t>
      </w:r>
      <w:r w:rsidR="008F1A76">
        <w:t>’</w:t>
      </w:r>
      <w:r w:rsidRPr="00BC78CC">
        <w:t>s targeting approach is examined using Porter</w:t>
      </w:r>
      <w:r w:rsidR="008F1A76">
        <w:t>’</w:t>
      </w:r>
      <w:r w:rsidRPr="00BC78CC">
        <w:t>s Generic Strategies, emphasising uniqueness in the competitive landscape. GSK uses Differentiated Targeting, which is consistent with Porter</w:t>
      </w:r>
      <w:r w:rsidR="008F1A76">
        <w:t>’</w:t>
      </w:r>
      <w:r w:rsidRPr="00BC78CC">
        <w:t>s approach of supplying differentiated products for certain market niches. Voltaren, for example, targets those who lead active lives, demonstrating a targeted strategy. Furthermore, as evidenced in the instance of Advair targeting certain asthma patient categories, niche targeting coincides with Porter</w:t>
      </w:r>
      <w:r w:rsidR="008F1A76">
        <w:t>’</w:t>
      </w:r>
      <w:r w:rsidRPr="00BC78CC">
        <w:t>s approach of focusing on specialised markets</w:t>
      </w:r>
      <w:r w:rsidR="005422FC">
        <w:t xml:space="preserve"> (</w:t>
      </w:r>
      <w:r w:rsidR="005422FC" w:rsidRPr="005422FC">
        <w:t>Tanwar</w:t>
      </w:r>
      <w:r w:rsidR="005422FC">
        <w:t>, 2013)</w:t>
      </w:r>
      <w:r w:rsidRPr="00BC78CC">
        <w:t>. GSK strategically positions itself to stand out in the market by combining Porter</w:t>
      </w:r>
      <w:r w:rsidR="008F1A76">
        <w:t>’</w:t>
      </w:r>
      <w:r w:rsidRPr="00BC78CC">
        <w:t>s Generic Strategies, ensuring that its targeting strategy matches with the competitive dynamics defining the pharmaceutical business.</w:t>
      </w:r>
    </w:p>
    <w:p w14:paraId="423928DB" w14:textId="44D55759" w:rsidR="00D44BE4" w:rsidRDefault="00000000" w:rsidP="00D44BE4">
      <w:pPr>
        <w:pStyle w:val="Heading2"/>
      </w:pPr>
      <w:bookmarkStart w:id="18" w:name="_Toc152111908"/>
      <w:r w:rsidRPr="00D44BE4">
        <w:t>Industry example: Success of Sensodyne</w:t>
      </w:r>
      <w:r w:rsidR="008F1A76">
        <w:t>’</w:t>
      </w:r>
      <w:r w:rsidRPr="00D44BE4">
        <w:t>s targeted marketing</w:t>
      </w:r>
      <w:bookmarkEnd w:id="18"/>
    </w:p>
    <w:p w14:paraId="1A55443B" w14:textId="7ADBFD1D" w:rsidR="00BC78CC" w:rsidRPr="00BC78CC" w:rsidRDefault="00000000" w:rsidP="00BC78CC">
      <w:r w:rsidRPr="00BC78CC">
        <w:t>Sensodyne</w:t>
      </w:r>
      <w:r w:rsidR="008F1A76">
        <w:t>’</w:t>
      </w:r>
      <w:r w:rsidRPr="00BC78CC">
        <w:t>s focused marketing success shows GSK</w:t>
      </w:r>
      <w:r w:rsidR="008F1A76">
        <w:t>’</w:t>
      </w:r>
      <w:r w:rsidRPr="00BC78CC">
        <w:t>s skilled use of segmentation and positioning methods in the pharmaceutical business. Sensodyne, marketed as a remedy for sensitive teeth, efficiently solves a specific dental issue. GSK</w:t>
      </w:r>
      <w:r w:rsidR="008F1A76">
        <w:t>’</w:t>
      </w:r>
      <w:r w:rsidRPr="00BC78CC">
        <w:t>s segmentation approach, which considers psychographics and behavioural characteristics, ensures that the toothpaste appeals to health-conscious consumers looking for relief from dental discomfort</w:t>
      </w:r>
      <w:r w:rsidR="005D552F">
        <w:t xml:space="preserve"> (</w:t>
      </w:r>
      <w:r w:rsidR="005D552F" w:rsidRPr="005D552F">
        <w:t>Peter and Donnelly Jr, 2015</w:t>
      </w:r>
      <w:r w:rsidR="005D552F">
        <w:t>)</w:t>
      </w:r>
      <w:r w:rsidRPr="00BC78CC">
        <w:t xml:space="preserve">. GSK communicates with its audience through focused marketing platforms such as the Sensodyne YouTube channel, giving instructive videos and testimonials. This industrial example highlights </w:t>
      </w:r>
      <w:r w:rsidRPr="00BC78CC">
        <w:lastRenderedPageBreak/>
        <w:t>GSK</w:t>
      </w:r>
      <w:r w:rsidR="008F1A76">
        <w:t>’</w:t>
      </w:r>
      <w:r w:rsidRPr="00BC78CC">
        <w:t>s expertise in developing and marketing specialised goods that address the specific demands of specific consumer categories, adding to the overall effectiveness of its marketing efforts.</w:t>
      </w:r>
    </w:p>
    <w:p w14:paraId="52C7FDCA" w14:textId="77777777" w:rsidR="00D44BE4" w:rsidRPr="00D44BE4" w:rsidRDefault="00D44BE4" w:rsidP="00D44BE4"/>
    <w:p w14:paraId="4ABD66A2" w14:textId="77777777" w:rsidR="00D44BE4" w:rsidRPr="00D44BE4" w:rsidRDefault="00D44BE4" w:rsidP="00D44BE4"/>
    <w:p w14:paraId="1904FB5A" w14:textId="77777777" w:rsidR="00D44BE4" w:rsidRPr="00D44BE4" w:rsidRDefault="00000000">
      <w:pPr>
        <w:spacing w:before="0" w:line="259" w:lineRule="auto"/>
        <w:jc w:val="left"/>
      </w:pPr>
      <w:r w:rsidRPr="00D44BE4">
        <w:br w:type="page"/>
      </w:r>
    </w:p>
    <w:p w14:paraId="25E13C17" w14:textId="5F17397B" w:rsidR="00D44BE4" w:rsidRPr="00D44BE4" w:rsidRDefault="00000000" w:rsidP="00D44BE4">
      <w:pPr>
        <w:pStyle w:val="Heading1"/>
      </w:pPr>
      <w:bookmarkStart w:id="19" w:name="_Toc152111909"/>
      <w:r w:rsidRPr="00D44BE4">
        <w:lastRenderedPageBreak/>
        <w:t>VII. Critical Analysis</w:t>
      </w:r>
      <w:bookmarkEnd w:id="19"/>
    </w:p>
    <w:p w14:paraId="259A3147" w14:textId="77777777" w:rsidR="00D44BE4" w:rsidRDefault="00000000" w:rsidP="00D44BE4">
      <w:pPr>
        <w:pStyle w:val="Heading2"/>
      </w:pPr>
      <w:bookmarkStart w:id="20" w:name="_Toc152111910"/>
      <w:r w:rsidRPr="00D44BE4">
        <w:t>Strengths and potential areas for improvement</w:t>
      </w:r>
      <w:bookmarkEnd w:id="20"/>
    </w:p>
    <w:p w14:paraId="050A5C6B" w14:textId="77777777" w:rsidR="00BC78CC" w:rsidRPr="00BC78CC" w:rsidRDefault="00000000" w:rsidP="00BC78CC">
      <w:pPr>
        <w:rPr>
          <w:b/>
          <w:bCs/>
        </w:rPr>
      </w:pPr>
      <w:r w:rsidRPr="00BC78CC">
        <w:rPr>
          <w:b/>
          <w:bCs/>
        </w:rPr>
        <w:t>Strengths:</w:t>
      </w:r>
    </w:p>
    <w:p w14:paraId="79CB159E" w14:textId="77777777" w:rsidR="00BC78CC" w:rsidRDefault="00000000" w:rsidP="00BC78CC">
      <w:pPr>
        <w:pStyle w:val="ListParagraph"/>
        <w:numPr>
          <w:ilvl w:val="0"/>
          <w:numId w:val="2"/>
        </w:numPr>
      </w:pPr>
      <w:r w:rsidRPr="00BC78CC">
        <w:rPr>
          <w:b/>
          <w:bCs/>
        </w:rPr>
        <w:t>Effective Segmentation</w:t>
      </w:r>
      <w:r>
        <w:t>: GSK demonstrates market segmentation power by adapting goods to specific customer groups based on demographics, psychographics, and behaviour.</w:t>
      </w:r>
    </w:p>
    <w:p w14:paraId="7F095198" w14:textId="2A5B349D" w:rsidR="00BC78CC" w:rsidRDefault="00000000" w:rsidP="00BC78CC">
      <w:pPr>
        <w:pStyle w:val="ListParagraph"/>
        <w:numPr>
          <w:ilvl w:val="0"/>
          <w:numId w:val="2"/>
        </w:numPr>
      </w:pPr>
      <w:r w:rsidRPr="00BC78CC">
        <w:rPr>
          <w:b/>
          <w:bCs/>
        </w:rPr>
        <w:t>Innovative Product Portfolio:</w:t>
      </w:r>
      <w:r>
        <w:t xml:space="preserve"> GSK</w:t>
      </w:r>
      <w:r w:rsidR="008F1A76">
        <w:t>’</w:t>
      </w:r>
      <w:r>
        <w:t>s concentration on product innovation and R&amp;D, notably in its vaccine portfolio, indicates a dedication to remaining at the forefront of healthcare solutions</w:t>
      </w:r>
      <w:r w:rsidR="00E77342">
        <w:t xml:space="preserve"> (Dibb et al., 2019)</w:t>
      </w:r>
      <w:r>
        <w:t>.</w:t>
      </w:r>
    </w:p>
    <w:p w14:paraId="238C3685" w14:textId="25CB84D0" w:rsidR="00BC78CC" w:rsidRDefault="00000000" w:rsidP="00BC78CC">
      <w:pPr>
        <w:pStyle w:val="ListParagraph"/>
        <w:numPr>
          <w:ilvl w:val="0"/>
          <w:numId w:val="2"/>
        </w:numPr>
      </w:pPr>
      <w:r w:rsidRPr="00BC78CC">
        <w:rPr>
          <w:b/>
          <w:bCs/>
        </w:rPr>
        <w:t>Strategic Positioning</w:t>
      </w:r>
      <w:r>
        <w:t>: The organisation exhibits expertise in product positioning, utilising value, and benefit positioning to establish a distinct and engaging brand image.</w:t>
      </w:r>
    </w:p>
    <w:p w14:paraId="5514615C" w14:textId="77777777" w:rsidR="00BC78CC" w:rsidRPr="00BC78CC" w:rsidRDefault="00000000" w:rsidP="00BC78CC">
      <w:pPr>
        <w:rPr>
          <w:b/>
          <w:bCs/>
        </w:rPr>
      </w:pPr>
      <w:r w:rsidRPr="00BC78CC">
        <w:rPr>
          <w:b/>
          <w:bCs/>
        </w:rPr>
        <w:t>Areas for Development:</w:t>
      </w:r>
    </w:p>
    <w:p w14:paraId="2081D148" w14:textId="77777777" w:rsidR="00BC78CC" w:rsidRDefault="00000000" w:rsidP="00BC78CC">
      <w:pPr>
        <w:pStyle w:val="ListParagraph"/>
        <w:numPr>
          <w:ilvl w:val="0"/>
          <w:numId w:val="1"/>
        </w:numPr>
      </w:pPr>
      <w:r w:rsidRPr="00BC78CC">
        <w:rPr>
          <w:b/>
          <w:bCs/>
        </w:rPr>
        <w:t>Communication Consistency</w:t>
      </w:r>
      <w:r>
        <w:t>: GSK might improve communication consistency throughout its wide product portfolio, guaranteeing a consistent brand message.</w:t>
      </w:r>
    </w:p>
    <w:p w14:paraId="2F466D68" w14:textId="77777777" w:rsidR="00BC78CC" w:rsidRDefault="00000000" w:rsidP="00BC78CC">
      <w:pPr>
        <w:pStyle w:val="ListParagraph"/>
        <w:numPr>
          <w:ilvl w:val="0"/>
          <w:numId w:val="1"/>
        </w:numPr>
      </w:pPr>
      <w:r w:rsidRPr="00BC78CC">
        <w:rPr>
          <w:b/>
          <w:bCs/>
        </w:rPr>
        <w:t>Intensity of Market Research</w:t>
      </w:r>
      <w:r>
        <w:t>: A greater emphasis on ongoing market research might give GSK deeper insights into developing customer preferences, allowing for more flexible and adaptive tactics.</w:t>
      </w:r>
    </w:p>
    <w:p w14:paraId="414E7560" w14:textId="337B1993" w:rsidR="00BC78CC" w:rsidRPr="00BC78CC" w:rsidRDefault="00000000" w:rsidP="00BC78CC">
      <w:pPr>
        <w:pStyle w:val="ListParagraph"/>
        <w:numPr>
          <w:ilvl w:val="0"/>
          <w:numId w:val="1"/>
        </w:numPr>
      </w:pPr>
      <w:r w:rsidRPr="00BC78CC">
        <w:rPr>
          <w:b/>
          <w:bCs/>
        </w:rPr>
        <w:t>Enhanced Digital Presence</w:t>
      </w:r>
      <w:r>
        <w:t>: While GSK has a multi-channel promotional strategy in place, additional investments in digital platforms might capitalise on the rising impact of online channels in consumer decision-making</w:t>
      </w:r>
      <w:r w:rsidR="006A0AC9">
        <w:t xml:space="preserve"> (</w:t>
      </w:r>
      <w:r w:rsidR="006A0AC9" w:rsidRPr="006A0AC9">
        <w:t>Proctor</w:t>
      </w:r>
      <w:r w:rsidR="006A0AC9">
        <w:t>, 2014)</w:t>
      </w:r>
      <w:r>
        <w:t>.</w:t>
      </w:r>
    </w:p>
    <w:p w14:paraId="2761441D" w14:textId="77777777" w:rsidR="00D44BE4" w:rsidRDefault="00000000" w:rsidP="00D44BE4">
      <w:pPr>
        <w:pStyle w:val="Heading2"/>
      </w:pPr>
      <w:bookmarkStart w:id="21" w:name="_Toc152111911"/>
      <w:r w:rsidRPr="00D44BE4">
        <w:t>Industry examples supporting the analysis</w:t>
      </w:r>
      <w:bookmarkEnd w:id="21"/>
    </w:p>
    <w:p w14:paraId="7D60021B" w14:textId="539C8E3C" w:rsidR="00BC78CC" w:rsidRPr="00BC78CC" w:rsidRDefault="00000000" w:rsidP="00BC78CC">
      <w:r w:rsidRPr="00BC78CC">
        <w:t>Industry counterparts recognise GlaxoSmithKline</w:t>
      </w:r>
      <w:r w:rsidR="008F1A76">
        <w:t>’</w:t>
      </w:r>
      <w:r w:rsidRPr="00BC78CC">
        <w:t>s capabilities in successful segmentation, a unique product range, and strategic positioning. The numerous product lines of Johnson &amp; Johnson, which serve distinct customer demands in areas such as infant care and medicines, demonstrate the power of segmentation. Pfizer</w:t>
      </w:r>
      <w:r w:rsidR="008F1A76">
        <w:t>’</w:t>
      </w:r>
      <w:r w:rsidRPr="00BC78CC">
        <w:t>s constant investment in R&amp;D, as seen by ground-breaking solutions such as the COVID-19 vaccine, demonstrates the importance of innovation in maintaining a broad product portfolio. Similarly, Bayer</w:t>
      </w:r>
      <w:r w:rsidR="008F1A76">
        <w:t>’</w:t>
      </w:r>
      <w:r w:rsidRPr="00BC78CC">
        <w:t>s strategic positioning of aspirin as a multipurpose health aid emphasises the need for a clearly defined brand position in creating customer trust</w:t>
      </w:r>
      <w:r w:rsidR="008209B0">
        <w:t xml:space="preserve"> (Adams et al., 2019)</w:t>
      </w:r>
      <w:r w:rsidRPr="00BC78CC">
        <w:t>. However, warning tales from Merck</w:t>
      </w:r>
      <w:r w:rsidR="008F1A76">
        <w:t>’</w:t>
      </w:r>
      <w:r w:rsidRPr="00BC78CC">
        <w:t xml:space="preserve">s past branding </w:t>
      </w:r>
      <w:r w:rsidRPr="00BC78CC">
        <w:lastRenderedPageBreak/>
        <w:t>discrepancies serve as a reminder of the need for consistent communication. Roche</w:t>
      </w:r>
      <w:r w:rsidR="008F1A76">
        <w:t>’</w:t>
      </w:r>
      <w:r w:rsidRPr="00BC78CC">
        <w:t>s aggressive market research programmes and Novartis</w:t>
      </w:r>
      <w:r w:rsidR="008F1A76">
        <w:t>’</w:t>
      </w:r>
      <w:r w:rsidRPr="00BC78CC">
        <w:t xml:space="preserve"> effective digital presence give further industry insights, providing significant lessons for GSK</w:t>
      </w:r>
      <w:r w:rsidR="008F1A76">
        <w:t>’</w:t>
      </w:r>
      <w:r w:rsidRPr="00BC78CC">
        <w:t>s possible areas of development in research intensity and digital engagement.</w:t>
      </w:r>
    </w:p>
    <w:p w14:paraId="70EB8A41" w14:textId="77777777" w:rsidR="00D44BE4" w:rsidRPr="00D44BE4" w:rsidRDefault="00D44BE4" w:rsidP="00D44BE4"/>
    <w:p w14:paraId="52EFCD78" w14:textId="77777777" w:rsidR="00D44BE4" w:rsidRPr="00D44BE4" w:rsidRDefault="00D44BE4" w:rsidP="00D44BE4"/>
    <w:p w14:paraId="26D74FBF" w14:textId="77777777" w:rsidR="00D44BE4" w:rsidRPr="00D44BE4" w:rsidRDefault="00000000">
      <w:pPr>
        <w:spacing w:before="0" w:line="259" w:lineRule="auto"/>
        <w:jc w:val="left"/>
      </w:pPr>
      <w:r w:rsidRPr="00D44BE4">
        <w:br w:type="page"/>
      </w:r>
    </w:p>
    <w:p w14:paraId="597EE5C6" w14:textId="54AA5DA4" w:rsidR="00D44BE4" w:rsidRPr="00D44BE4" w:rsidRDefault="00000000" w:rsidP="00D44BE4">
      <w:pPr>
        <w:pStyle w:val="Heading1"/>
      </w:pPr>
      <w:bookmarkStart w:id="22" w:name="_Toc152111912"/>
      <w:r w:rsidRPr="00D44BE4">
        <w:lastRenderedPageBreak/>
        <w:t>VIII. Conclusion</w:t>
      </w:r>
      <w:bookmarkEnd w:id="22"/>
    </w:p>
    <w:p w14:paraId="01C814EF" w14:textId="62596E18" w:rsidR="00D44BE4" w:rsidRPr="00D44BE4" w:rsidRDefault="00000000" w:rsidP="00D44BE4">
      <w:r w:rsidRPr="00BC78CC">
        <w:t>Finally, an examination of GlaxoSmithKline</w:t>
      </w:r>
      <w:r w:rsidR="008F1A76">
        <w:t>’</w:t>
      </w:r>
      <w:r w:rsidRPr="00BC78CC">
        <w:t>s segmentation, targeting, and positioning techniques indicates a strong strategy that adheres to industry best practices. GSK</w:t>
      </w:r>
      <w:r w:rsidR="008F1A76">
        <w:t>’</w:t>
      </w:r>
      <w:r w:rsidRPr="00BC78CC">
        <w:t>s excellent segmentation, unique product range, and strategic positioning all contribute to the company</w:t>
      </w:r>
      <w:r w:rsidR="008F1A76">
        <w:t>’</w:t>
      </w:r>
      <w:r w:rsidRPr="00BC78CC">
        <w:t>s competitive advantage. Industry examples from Johnson &amp; Johnson, Pfizer, and Bayer illustrate the company</w:t>
      </w:r>
      <w:r w:rsidR="008F1A76">
        <w:t>’</w:t>
      </w:r>
      <w:r w:rsidRPr="00BC78CC">
        <w:t>s capabilities in these areas. However, the investigation of possibilities for development emphasises the need for consistency in communication as well as a greater emphasis on market research and digital presence</w:t>
      </w:r>
      <w:r w:rsidR="00935C36">
        <w:t xml:space="preserve"> (</w:t>
      </w:r>
      <w:r w:rsidR="00935C36" w:rsidRPr="00935C36">
        <w:t>Todorova</w:t>
      </w:r>
      <w:r w:rsidR="00935C36">
        <w:t>, 2015)</w:t>
      </w:r>
      <w:r w:rsidRPr="00BC78CC">
        <w:t>. In the volatile pharmaceutical market, GSK</w:t>
      </w:r>
      <w:r w:rsidR="008F1A76">
        <w:t>’</w:t>
      </w:r>
      <w:r w:rsidRPr="00BC78CC">
        <w:t>s strategies are critical in navigating changing consumer preferences and industry developments, emphasising their importance in maintaining market leadership and relevance.</w:t>
      </w:r>
    </w:p>
    <w:p w14:paraId="382923C7" w14:textId="1D4E5772" w:rsidR="00D44BE4" w:rsidRPr="00D44BE4" w:rsidRDefault="00000000">
      <w:pPr>
        <w:spacing w:before="0" w:line="259" w:lineRule="auto"/>
        <w:jc w:val="left"/>
      </w:pPr>
      <w:r w:rsidRPr="00D44BE4">
        <w:br w:type="page"/>
      </w:r>
    </w:p>
    <w:p w14:paraId="617D7532" w14:textId="11EE6EAB" w:rsidR="00D44BE4" w:rsidRPr="00D44BE4" w:rsidRDefault="00000000" w:rsidP="00BC78CC">
      <w:pPr>
        <w:pStyle w:val="Heading1"/>
      </w:pPr>
      <w:bookmarkStart w:id="23" w:name="_Toc152111913"/>
      <w:r w:rsidRPr="00D44BE4">
        <w:lastRenderedPageBreak/>
        <w:t>References</w:t>
      </w:r>
      <w:bookmarkEnd w:id="23"/>
    </w:p>
    <w:p w14:paraId="42BDB002" w14:textId="77777777" w:rsidR="00935861" w:rsidRPr="00CA2F52" w:rsidRDefault="00935861" w:rsidP="00935861">
      <w:pPr>
        <w:rPr>
          <w:rFonts w:cs="Arial"/>
          <w:color w:val="222222"/>
          <w:szCs w:val="20"/>
          <w:shd w:val="clear" w:color="auto" w:fill="FFFFFF"/>
        </w:rPr>
      </w:pPr>
      <w:r w:rsidRPr="00CA2F52">
        <w:rPr>
          <w:rFonts w:cs="Arial"/>
          <w:color w:val="222222"/>
          <w:szCs w:val="20"/>
          <w:shd w:val="clear" w:color="auto" w:fill="FFFFFF"/>
        </w:rPr>
        <w:t>Adams, P., Freitas, I.M.B. and Fontana, R., 2019. Strategic orientation, innovation performance and the moderating influence of marketing management. </w:t>
      </w:r>
      <w:r w:rsidRPr="00CA2F52">
        <w:rPr>
          <w:rFonts w:cs="Arial"/>
          <w:i/>
          <w:iCs/>
          <w:color w:val="222222"/>
          <w:szCs w:val="20"/>
          <w:shd w:val="clear" w:color="auto" w:fill="FFFFFF"/>
        </w:rPr>
        <w:t>Journal of Business Research</w:t>
      </w:r>
      <w:r w:rsidRPr="00CA2F52">
        <w:rPr>
          <w:rFonts w:cs="Arial"/>
          <w:color w:val="222222"/>
          <w:szCs w:val="20"/>
          <w:shd w:val="clear" w:color="auto" w:fill="FFFFFF"/>
        </w:rPr>
        <w:t>, </w:t>
      </w:r>
      <w:r w:rsidRPr="00CA2F52">
        <w:rPr>
          <w:rFonts w:cs="Arial"/>
          <w:i/>
          <w:iCs/>
          <w:color w:val="222222"/>
          <w:szCs w:val="20"/>
          <w:shd w:val="clear" w:color="auto" w:fill="FFFFFF"/>
        </w:rPr>
        <w:t>97</w:t>
      </w:r>
      <w:r w:rsidRPr="00CA2F52">
        <w:rPr>
          <w:rFonts w:cs="Arial"/>
          <w:color w:val="222222"/>
          <w:szCs w:val="20"/>
          <w:shd w:val="clear" w:color="auto" w:fill="FFFFFF"/>
        </w:rPr>
        <w:t>, pp.129-140.</w:t>
      </w:r>
    </w:p>
    <w:p w14:paraId="02161EA9" w14:textId="77777777" w:rsidR="00935861" w:rsidRPr="00CA2F52" w:rsidRDefault="00935861" w:rsidP="00935861">
      <w:pPr>
        <w:rPr>
          <w:rFonts w:cs="Arial"/>
          <w:color w:val="222222"/>
          <w:szCs w:val="20"/>
          <w:shd w:val="clear" w:color="auto" w:fill="FFFFFF"/>
        </w:rPr>
      </w:pPr>
      <w:r w:rsidRPr="00CA2F52">
        <w:rPr>
          <w:rFonts w:cs="Arial"/>
          <w:color w:val="222222"/>
          <w:szCs w:val="20"/>
          <w:shd w:val="clear" w:color="auto" w:fill="FFFFFF"/>
        </w:rPr>
        <w:t>Armstrong, G., Adam, S., Denize, S. and Kotler, P., 2014. </w:t>
      </w:r>
      <w:r w:rsidRPr="00CA2F52">
        <w:rPr>
          <w:rFonts w:cs="Arial"/>
          <w:i/>
          <w:iCs/>
          <w:color w:val="222222"/>
          <w:szCs w:val="20"/>
          <w:shd w:val="clear" w:color="auto" w:fill="FFFFFF"/>
        </w:rPr>
        <w:t>Principles of marketing</w:t>
      </w:r>
      <w:r w:rsidRPr="00CA2F52">
        <w:rPr>
          <w:rFonts w:cs="Arial"/>
          <w:color w:val="222222"/>
          <w:szCs w:val="20"/>
          <w:shd w:val="clear" w:color="auto" w:fill="FFFFFF"/>
        </w:rPr>
        <w:t>. Pearson Australia.</w:t>
      </w:r>
    </w:p>
    <w:p w14:paraId="25A2FC62" w14:textId="77777777" w:rsidR="00935861" w:rsidRPr="00CA2F52" w:rsidRDefault="00935861" w:rsidP="00935861">
      <w:pPr>
        <w:rPr>
          <w:rFonts w:cs="Arial"/>
          <w:color w:val="222222"/>
          <w:szCs w:val="20"/>
          <w:shd w:val="clear" w:color="auto" w:fill="FFFFFF"/>
        </w:rPr>
      </w:pPr>
      <w:r w:rsidRPr="00CA2F52">
        <w:rPr>
          <w:rFonts w:cs="Arial"/>
          <w:color w:val="222222"/>
          <w:szCs w:val="20"/>
          <w:shd w:val="clear" w:color="auto" w:fill="FFFFFF"/>
        </w:rPr>
        <w:t>Baker, M.J. and Saren, M. eds., 2016. </w:t>
      </w:r>
      <w:r w:rsidRPr="00CA2F52">
        <w:rPr>
          <w:rFonts w:cs="Arial"/>
          <w:i/>
          <w:iCs/>
          <w:color w:val="222222"/>
          <w:szCs w:val="20"/>
          <w:shd w:val="clear" w:color="auto" w:fill="FFFFFF"/>
        </w:rPr>
        <w:t>Marketing theory: a student text</w:t>
      </w:r>
      <w:r w:rsidRPr="00CA2F52">
        <w:rPr>
          <w:rFonts w:cs="Arial"/>
          <w:color w:val="222222"/>
          <w:szCs w:val="20"/>
          <w:shd w:val="clear" w:color="auto" w:fill="FFFFFF"/>
        </w:rPr>
        <w:t>. Sage.</w:t>
      </w:r>
    </w:p>
    <w:p w14:paraId="78B8FDEA" w14:textId="77777777" w:rsidR="00935861" w:rsidRPr="00CA2F52" w:rsidRDefault="00935861" w:rsidP="00935861">
      <w:pPr>
        <w:rPr>
          <w:rFonts w:cs="Arial"/>
          <w:color w:val="222222"/>
          <w:szCs w:val="20"/>
          <w:shd w:val="clear" w:color="auto" w:fill="FFFFFF"/>
        </w:rPr>
      </w:pPr>
      <w:r w:rsidRPr="00CA2F52">
        <w:rPr>
          <w:rFonts w:cs="Arial"/>
          <w:color w:val="222222"/>
          <w:szCs w:val="20"/>
          <w:shd w:val="clear" w:color="auto" w:fill="FFFFFF"/>
        </w:rPr>
        <w:t>Dibb, S., Simkin, L., Pride, W.M. and Ferrell, O.C., 2019. </w:t>
      </w:r>
      <w:r w:rsidRPr="00CA2F52">
        <w:rPr>
          <w:rFonts w:cs="Arial"/>
          <w:i/>
          <w:iCs/>
          <w:color w:val="222222"/>
          <w:szCs w:val="20"/>
          <w:shd w:val="clear" w:color="auto" w:fill="FFFFFF"/>
        </w:rPr>
        <w:t>Marketing: Concepts and strategies</w:t>
      </w:r>
      <w:r w:rsidRPr="00CA2F52">
        <w:rPr>
          <w:rFonts w:cs="Arial"/>
          <w:color w:val="222222"/>
          <w:szCs w:val="20"/>
          <w:shd w:val="clear" w:color="auto" w:fill="FFFFFF"/>
        </w:rPr>
        <w:t>. Cengage Learning EMEA.</w:t>
      </w:r>
    </w:p>
    <w:p w14:paraId="6BF1E155" w14:textId="77777777" w:rsidR="00935861" w:rsidRPr="00CA2F52" w:rsidRDefault="00935861" w:rsidP="00935861">
      <w:pPr>
        <w:rPr>
          <w:rFonts w:cs="Arial"/>
          <w:color w:val="222222"/>
          <w:szCs w:val="20"/>
          <w:shd w:val="clear" w:color="auto" w:fill="FFFFFF"/>
        </w:rPr>
      </w:pPr>
      <w:r w:rsidRPr="00CA2F52">
        <w:rPr>
          <w:rFonts w:cs="Arial"/>
          <w:color w:val="222222"/>
          <w:szCs w:val="20"/>
          <w:shd w:val="clear" w:color="auto" w:fill="FFFFFF"/>
        </w:rPr>
        <w:t xml:space="preserve">Khan, M.T., 2014. The concept of ‘marketing </w:t>
      </w:r>
      <w:proofErr w:type="spellStart"/>
      <w:r w:rsidRPr="00CA2F52">
        <w:rPr>
          <w:rFonts w:cs="Arial"/>
          <w:color w:val="222222"/>
          <w:szCs w:val="20"/>
          <w:shd w:val="clear" w:color="auto" w:fill="FFFFFF"/>
        </w:rPr>
        <w:t>mix’and</w:t>
      </w:r>
      <w:proofErr w:type="spellEnd"/>
      <w:r w:rsidRPr="00CA2F52">
        <w:rPr>
          <w:rFonts w:cs="Arial"/>
          <w:color w:val="222222"/>
          <w:szCs w:val="20"/>
          <w:shd w:val="clear" w:color="auto" w:fill="FFFFFF"/>
        </w:rPr>
        <w:t xml:space="preserve"> its elements. </w:t>
      </w:r>
      <w:r w:rsidRPr="00CA2F52">
        <w:rPr>
          <w:rFonts w:cs="Arial"/>
          <w:i/>
          <w:iCs/>
          <w:color w:val="222222"/>
          <w:szCs w:val="20"/>
          <w:shd w:val="clear" w:color="auto" w:fill="FFFFFF"/>
        </w:rPr>
        <w:t xml:space="preserve">International journal of information, </w:t>
      </w:r>
      <w:proofErr w:type="gramStart"/>
      <w:r w:rsidRPr="00CA2F52">
        <w:rPr>
          <w:rFonts w:cs="Arial"/>
          <w:i/>
          <w:iCs/>
          <w:color w:val="222222"/>
          <w:szCs w:val="20"/>
          <w:shd w:val="clear" w:color="auto" w:fill="FFFFFF"/>
        </w:rPr>
        <w:t>business</w:t>
      </w:r>
      <w:proofErr w:type="gramEnd"/>
      <w:r w:rsidRPr="00CA2F52">
        <w:rPr>
          <w:rFonts w:cs="Arial"/>
          <w:i/>
          <w:iCs/>
          <w:color w:val="222222"/>
          <w:szCs w:val="20"/>
          <w:shd w:val="clear" w:color="auto" w:fill="FFFFFF"/>
        </w:rPr>
        <w:t xml:space="preserve"> and management</w:t>
      </w:r>
      <w:r w:rsidRPr="00CA2F52">
        <w:rPr>
          <w:rFonts w:cs="Arial"/>
          <w:color w:val="222222"/>
          <w:szCs w:val="20"/>
          <w:shd w:val="clear" w:color="auto" w:fill="FFFFFF"/>
        </w:rPr>
        <w:t>, </w:t>
      </w:r>
      <w:r w:rsidRPr="00CA2F52">
        <w:rPr>
          <w:rFonts w:cs="Arial"/>
          <w:i/>
          <w:iCs/>
          <w:color w:val="222222"/>
          <w:szCs w:val="20"/>
          <w:shd w:val="clear" w:color="auto" w:fill="FFFFFF"/>
        </w:rPr>
        <w:t>6</w:t>
      </w:r>
      <w:r w:rsidRPr="00CA2F52">
        <w:rPr>
          <w:rFonts w:cs="Arial"/>
          <w:color w:val="222222"/>
          <w:szCs w:val="20"/>
          <w:shd w:val="clear" w:color="auto" w:fill="FFFFFF"/>
        </w:rPr>
        <w:t>(2), pp.95-107.</w:t>
      </w:r>
    </w:p>
    <w:p w14:paraId="395E664D" w14:textId="77777777" w:rsidR="00935861" w:rsidRPr="00CA2F52" w:rsidRDefault="00935861" w:rsidP="00935861">
      <w:pPr>
        <w:rPr>
          <w:rFonts w:cs="Arial"/>
          <w:color w:val="222222"/>
          <w:szCs w:val="20"/>
          <w:shd w:val="clear" w:color="auto" w:fill="FFFFFF"/>
        </w:rPr>
      </w:pPr>
      <w:r w:rsidRPr="00CA2F52">
        <w:rPr>
          <w:rFonts w:cs="Arial"/>
          <w:color w:val="222222"/>
          <w:szCs w:val="20"/>
          <w:shd w:val="clear" w:color="auto" w:fill="FFFFFF"/>
        </w:rPr>
        <w:t>Kotler, P., Burton, S., Deans, K., Brown, L. and Armstrong, G., 2015. </w:t>
      </w:r>
      <w:r w:rsidRPr="00CA2F52">
        <w:rPr>
          <w:rFonts w:cs="Arial"/>
          <w:i/>
          <w:iCs/>
          <w:color w:val="222222"/>
          <w:szCs w:val="20"/>
          <w:shd w:val="clear" w:color="auto" w:fill="FFFFFF"/>
        </w:rPr>
        <w:t>Marketing</w:t>
      </w:r>
      <w:r w:rsidRPr="00CA2F52">
        <w:rPr>
          <w:rFonts w:cs="Arial"/>
          <w:color w:val="222222"/>
          <w:szCs w:val="20"/>
          <w:shd w:val="clear" w:color="auto" w:fill="FFFFFF"/>
        </w:rPr>
        <w:t>. Pearson Higher Education AU.</w:t>
      </w:r>
    </w:p>
    <w:p w14:paraId="75876B84" w14:textId="77777777" w:rsidR="00935861" w:rsidRPr="00CA2F52" w:rsidRDefault="00935861" w:rsidP="00935861">
      <w:pPr>
        <w:rPr>
          <w:rFonts w:cs="Arial"/>
          <w:color w:val="222222"/>
          <w:szCs w:val="20"/>
          <w:shd w:val="clear" w:color="auto" w:fill="FFFFFF"/>
        </w:rPr>
      </w:pPr>
      <w:r w:rsidRPr="00CA2F52">
        <w:rPr>
          <w:rFonts w:cs="Arial"/>
          <w:color w:val="222222"/>
          <w:szCs w:val="20"/>
          <w:shd w:val="clear" w:color="auto" w:fill="FFFFFF"/>
        </w:rPr>
        <w:t>Ling, C., Zhang, T. and Chen, Y., 2019. Customer purchase intent prediction under online multi-channel promotion: A feature-combined deep learning framework. </w:t>
      </w:r>
      <w:r w:rsidRPr="00CA2F52">
        <w:rPr>
          <w:rFonts w:cs="Arial"/>
          <w:i/>
          <w:iCs/>
          <w:color w:val="222222"/>
          <w:szCs w:val="20"/>
          <w:shd w:val="clear" w:color="auto" w:fill="FFFFFF"/>
        </w:rPr>
        <w:t>IEEE Access</w:t>
      </w:r>
      <w:r w:rsidRPr="00CA2F52">
        <w:rPr>
          <w:rFonts w:cs="Arial"/>
          <w:color w:val="222222"/>
          <w:szCs w:val="20"/>
          <w:shd w:val="clear" w:color="auto" w:fill="FFFFFF"/>
        </w:rPr>
        <w:t>, </w:t>
      </w:r>
      <w:r w:rsidRPr="00CA2F52">
        <w:rPr>
          <w:rFonts w:cs="Arial"/>
          <w:i/>
          <w:iCs/>
          <w:color w:val="222222"/>
          <w:szCs w:val="20"/>
          <w:shd w:val="clear" w:color="auto" w:fill="FFFFFF"/>
        </w:rPr>
        <w:t>7</w:t>
      </w:r>
      <w:r w:rsidRPr="00CA2F52">
        <w:rPr>
          <w:rFonts w:cs="Arial"/>
          <w:color w:val="222222"/>
          <w:szCs w:val="20"/>
          <w:shd w:val="clear" w:color="auto" w:fill="FFFFFF"/>
        </w:rPr>
        <w:t>, pp.112963-112976.</w:t>
      </w:r>
    </w:p>
    <w:p w14:paraId="67349518" w14:textId="77777777" w:rsidR="00935861" w:rsidRPr="00CA2F52" w:rsidRDefault="00935861" w:rsidP="00935861">
      <w:pPr>
        <w:rPr>
          <w:rFonts w:cs="Arial"/>
          <w:color w:val="222222"/>
          <w:szCs w:val="20"/>
          <w:shd w:val="clear" w:color="auto" w:fill="FFFFFF"/>
        </w:rPr>
      </w:pPr>
      <w:r w:rsidRPr="00CA2F52">
        <w:rPr>
          <w:rFonts w:cs="Arial"/>
          <w:color w:val="222222"/>
          <w:szCs w:val="20"/>
          <w:shd w:val="clear" w:color="auto" w:fill="FFFFFF"/>
        </w:rPr>
        <w:t>Londhe, B.R., 2014. Marketing mix for next generation marketing. </w:t>
      </w:r>
      <w:r w:rsidRPr="00CA2F52">
        <w:rPr>
          <w:rFonts w:cs="Arial"/>
          <w:i/>
          <w:iCs/>
          <w:color w:val="222222"/>
          <w:szCs w:val="20"/>
          <w:shd w:val="clear" w:color="auto" w:fill="FFFFFF"/>
        </w:rPr>
        <w:t>Procedia Economics and Finance</w:t>
      </w:r>
      <w:r w:rsidRPr="00CA2F52">
        <w:rPr>
          <w:rFonts w:cs="Arial"/>
          <w:color w:val="222222"/>
          <w:szCs w:val="20"/>
          <w:shd w:val="clear" w:color="auto" w:fill="FFFFFF"/>
        </w:rPr>
        <w:t>, </w:t>
      </w:r>
      <w:r w:rsidRPr="00CA2F52">
        <w:rPr>
          <w:rFonts w:cs="Arial"/>
          <w:i/>
          <w:iCs/>
          <w:color w:val="222222"/>
          <w:szCs w:val="20"/>
          <w:shd w:val="clear" w:color="auto" w:fill="FFFFFF"/>
        </w:rPr>
        <w:t>11</w:t>
      </w:r>
      <w:r w:rsidRPr="00CA2F52">
        <w:rPr>
          <w:rFonts w:cs="Arial"/>
          <w:color w:val="222222"/>
          <w:szCs w:val="20"/>
          <w:shd w:val="clear" w:color="auto" w:fill="FFFFFF"/>
        </w:rPr>
        <w:t>, pp.335-340.</w:t>
      </w:r>
    </w:p>
    <w:p w14:paraId="6748BA85" w14:textId="77777777" w:rsidR="00935861" w:rsidRPr="00CA2F52" w:rsidRDefault="00935861" w:rsidP="00935861">
      <w:pPr>
        <w:rPr>
          <w:rFonts w:cs="Arial"/>
          <w:color w:val="222222"/>
          <w:szCs w:val="20"/>
          <w:shd w:val="clear" w:color="auto" w:fill="FFFFFF"/>
        </w:rPr>
      </w:pPr>
      <w:r w:rsidRPr="00CA2F52">
        <w:rPr>
          <w:rFonts w:cs="Arial"/>
          <w:color w:val="222222"/>
          <w:szCs w:val="20"/>
          <w:shd w:val="clear" w:color="auto" w:fill="FFFFFF"/>
        </w:rPr>
        <w:t>Morgan, N.A., Whitler, K.A., Feng, H. and Chari, S., 2019. Research in marketing strategy. </w:t>
      </w:r>
      <w:r w:rsidRPr="00CA2F52">
        <w:rPr>
          <w:rFonts w:cs="Arial"/>
          <w:i/>
          <w:iCs/>
          <w:color w:val="222222"/>
          <w:szCs w:val="20"/>
          <w:shd w:val="clear" w:color="auto" w:fill="FFFFFF"/>
        </w:rPr>
        <w:t>Journal of the Academy of Marketing Science</w:t>
      </w:r>
      <w:r w:rsidRPr="00CA2F52">
        <w:rPr>
          <w:rFonts w:cs="Arial"/>
          <w:color w:val="222222"/>
          <w:szCs w:val="20"/>
          <w:shd w:val="clear" w:color="auto" w:fill="FFFFFF"/>
        </w:rPr>
        <w:t>, </w:t>
      </w:r>
      <w:r w:rsidRPr="00CA2F52">
        <w:rPr>
          <w:rFonts w:cs="Arial"/>
          <w:i/>
          <w:iCs/>
          <w:color w:val="222222"/>
          <w:szCs w:val="20"/>
          <w:shd w:val="clear" w:color="auto" w:fill="FFFFFF"/>
        </w:rPr>
        <w:t>47</w:t>
      </w:r>
      <w:r w:rsidRPr="00CA2F52">
        <w:rPr>
          <w:rFonts w:cs="Arial"/>
          <w:color w:val="222222"/>
          <w:szCs w:val="20"/>
          <w:shd w:val="clear" w:color="auto" w:fill="FFFFFF"/>
        </w:rPr>
        <w:t>, pp.4-29.</w:t>
      </w:r>
    </w:p>
    <w:p w14:paraId="6C28635F" w14:textId="77777777" w:rsidR="00935861" w:rsidRPr="00CA2F52" w:rsidRDefault="00935861" w:rsidP="00935861">
      <w:pPr>
        <w:rPr>
          <w:rFonts w:cs="Arial"/>
          <w:color w:val="222222"/>
          <w:szCs w:val="20"/>
          <w:shd w:val="clear" w:color="auto" w:fill="FFFFFF"/>
        </w:rPr>
      </w:pPr>
      <w:r w:rsidRPr="00CA2F52">
        <w:rPr>
          <w:rFonts w:cs="Arial"/>
          <w:color w:val="222222"/>
          <w:szCs w:val="20"/>
          <w:shd w:val="clear" w:color="auto" w:fill="FFFFFF"/>
        </w:rPr>
        <w:t xml:space="preserve">Peter, </w:t>
      </w:r>
      <w:proofErr w:type="gramStart"/>
      <w:r w:rsidRPr="00CA2F52">
        <w:rPr>
          <w:rFonts w:cs="Arial"/>
          <w:color w:val="222222"/>
          <w:szCs w:val="20"/>
          <w:shd w:val="clear" w:color="auto" w:fill="FFFFFF"/>
        </w:rPr>
        <w:t>J.P.</w:t>
      </w:r>
      <w:proofErr w:type="gramEnd"/>
      <w:r w:rsidRPr="00CA2F52">
        <w:rPr>
          <w:rFonts w:cs="Arial"/>
          <w:color w:val="222222"/>
          <w:szCs w:val="20"/>
          <w:shd w:val="clear" w:color="auto" w:fill="FFFFFF"/>
        </w:rPr>
        <w:t xml:space="preserve"> and Donnelly Jr, J.H., 2015. </w:t>
      </w:r>
      <w:r w:rsidRPr="00CA2F52">
        <w:rPr>
          <w:rFonts w:cs="Arial"/>
          <w:i/>
          <w:iCs/>
          <w:color w:val="222222"/>
          <w:szCs w:val="20"/>
          <w:shd w:val="clear" w:color="auto" w:fill="FFFFFF"/>
        </w:rPr>
        <w:t>A preface to marketing management</w:t>
      </w:r>
      <w:r w:rsidRPr="00CA2F52">
        <w:rPr>
          <w:rFonts w:cs="Arial"/>
          <w:color w:val="222222"/>
          <w:szCs w:val="20"/>
          <w:shd w:val="clear" w:color="auto" w:fill="FFFFFF"/>
        </w:rPr>
        <w:t>. McGraw-Hill.</w:t>
      </w:r>
    </w:p>
    <w:p w14:paraId="6479124B" w14:textId="77777777" w:rsidR="00935861" w:rsidRPr="00CA2F52" w:rsidRDefault="00935861" w:rsidP="00935861">
      <w:r w:rsidRPr="00CA2F52">
        <w:rPr>
          <w:rFonts w:cs="Arial"/>
          <w:color w:val="222222"/>
          <w:szCs w:val="20"/>
          <w:shd w:val="clear" w:color="auto" w:fill="FFFFFF"/>
        </w:rPr>
        <w:t>Proctor, T., 2014. </w:t>
      </w:r>
      <w:r w:rsidRPr="00CA2F52">
        <w:rPr>
          <w:rFonts w:cs="Arial"/>
          <w:i/>
          <w:iCs/>
          <w:color w:val="222222"/>
          <w:szCs w:val="20"/>
          <w:shd w:val="clear" w:color="auto" w:fill="FFFFFF"/>
        </w:rPr>
        <w:t>Strategic marketing: an introduction</w:t>
      </w:r>
      <w:r w:rsidRPr="00CA2F52">
        <w:rPr>
          <w:rFonts w:cs="Arial"/>
          <w:color w:val="222222"/>
          <w:szCs w:val="20"/>
          <w:shd w:val="clear" w:color="auto" w:fill="FFFFFF"/>
        </w:rPr>
        <w:t>. Routledge.</w:t>
      </w:r>
    </w:p>
    <w:p w14:paraId="13BFBEE9" w14:textId="77777777" w:rsidR="00935861" w:rsidRPr="00CA2F52" w:rsidRDefault="00935861" w:rsidP="00935861">
      <w:r w:rsidRPr="00CA2F52">
        <w:rPr>
          <w:rFonts w:cs="Arial"/>
          <w:color w:val="222222"/>
          <w:szCs w:val="20"/>
          <w:shd w:val="clear" w:color="auto" w:fill="FFFFFF"/>
        </w:rPr>
        <w:t xml:space="preserve">Rizhamadze, K., 2020. </w:t>
      </w:r>
      <w:proofErr w:type="spellStart"/>
      <w:r w:rsidRPr="00CA2F52">
        <w:rPr>
          <w:rFonts w:cs="Arial"/>
          <w:color w:val="222222"/>
          <w:szCs w:val="20"/>
          <w:shd w:val="clear" w:color="auto" w:fill="FFFFFF"/>
        </w:rPr>
        <w:t>Analyzing</w:t>
      </w:r>
      <w:proofErr w:type="spellEnd"/>
      <w:r w:rsidRPr="00CA2F52">
        <w:rPr>
          <w:rFonts w:cs="Arial"/>
          <w:color w:val="222222"/>
          <w:szCs w:val="20"/>
          <w:shd w:val="clear" w:color="auto" w:fill="FFFFFF"/>
        </w:rPr>
        <w:t xml:space="preserve"> Business Model, Narrative and Numbers of GSK (</w:t>
      </w:r>
      <w:proofErr w:type="spellStart"/>
      <w:r w:rsidRPr="00CA2F52">
        <w:rPr>
          <w:rFonts w:cs="Arial"/>
          <w:color w:val="222222"/>
          <w:szCs w:val="20"/>
          <w:shd w:val="clear" w:color="auto" w:fill="FFFFFF"/>
        </w:rPr>
        <w:t>Glaxosmithkline</w:t>
      </w:r>
      <w:proofErr w:type="spellEnd"/>
      <w:r w:rsidRPr="00CA2F52">
        <w:rPr>
          <w:rFonts w:cs="Arial"/>
          <w:color w:val="222222"/>
          <w:szCs w:val="20"/>
          <w:shd w:val="clear" w:color="auto" w:fill="FFFFFF"/>
        </w:rPr>
        <w:t>). </w:t>
      </w:r>
      <w:r w:rsidRPr="00CA2F52">
        <w:rPr>
          <w:rFonts w:cs="Arial"/>
          <w:i/>
          <w:iCs/>
          <w:color w:val="222222"/>
          <w:szCs w:val="20"/>
          <w:shd w:val="clear" w:color="auto" w:fill="FFFFFF"/>
        </w:rPr>
        <w:t>Eurasian Journal of Social Sciences</w:t>
      </w:r>
      <w:r w:rsidRPr="00CA2F52">
        <w:rPr>
          <w:rFonts w:cs="Arial"/>
          <w:color w:val="222222"/>
          <w:szCs w:val="20"/>
          <w:shd w:val="clear" w:color="auto" w:fill="FFFFFF"/>
        </w:rPr>
        <w:t>, </w:t>
      </w:r>
      <w:r w:rsidRPr="00CA2F52">
        <w:rPr>
          <w:rFonts w:cs="Arial"/>
          <w:i/>
          <w:iCs/>
          <w:color w:val="222222"/>
          <w:szCs w:val="20"/>
          <w:shd w:val="clear" w:color="auto" w:fill="FFFFFF"/>
        </w:rPr>
        <w:t>8</w:t>
      </w:r>
      <w:r w:rsidRPr="00CA2F52">
        <w:rPr>
          <w:rFonts w:cs="Arial"/>
          <w:color w:val="222222"/>
          <w:szCs w:val="20"/>
          <w:shd w:val="clear" w:color="auto" w:fill="FFFFFF"/>
        </w:rPr>
        <w:t>(1), pp.35-41.</w:t>
      </w:r>
    </w:p>
    <w:p w14:paraId="3E0BA731" w14:textId="77777777" w:rsidR="00935861" w:rsidRPr="00CA2F52" w:rsidRDefault="00935861" w:rsidP="00935861">
      <w:pPr>
        <w:rPr>
          <w:rFonts w:cs="Arial"/>
          <w:color w:val="222222"/>
          <w:szCs w:val="20"/>
          <w:shd w:val="clear" w:color="auto" w:fill="FFFFFF"/>
        </w:rPr>
      </w:pPr>
      <w:r w:rsidRPr="00CA2F52">
        <w:rPr>
          <w:rFonts w:cs="Arial"/>
          <w:color w:val="222222"/>
          <w:szCs w:val="20"/>
          <w:shd w:val="clear" w:color="auto" w:fill="FFFFFF"/>
        </w:rPr>
        <w:t>Savelius, S., 2013. Integrated Marketing Communication plan for GSK Nordic.</w:t>
      </w:r>
    </w:p>
    <w:p w14:paraId="6019E5A1" w14:textId="77777777" w:rsidR="00935861" w:rsidRPr="00CA2F52" w:rsidRDefault="00935861" w:rsidP="00935861">
      <w:pPr>
        <w:rPr>
          <w:rFonts w:cs="Arial"/>
          <w:color w:val="222222"/>
          <w:szCs w:val="20"/>
          <w:shd w:val="clear" w:color="auto" w:fill="FFFFFF"/>
        </w:rPr>
      </w:pPr>
      <w:r w:rsidRPr="00CA2F52">
        <w:rPr>
          <w:rFonts w:cs="Arial"/>
          <w:color w:val="222222"/>
          <w:szCs w:val="20"/>
          <w:shd w:val="clear" w:color="auto" w:fill="FFFFFF"/>
        </w:rPr>
        <w:lastRenderedPageBreak/>
        <w:t xml:space="preserve">Solomon, M.R., Dahl, D.W., White, K., </w:t>
      </w:r>
      <w:proofErr w:type="spellStart"/>
      <w:r w:rsidRPr="00CA2F52">
        <w:rPr>
          <w:rFonts w:cs="Arial"/>
          <w:color w:val="222222"/>
          <w:szCs w:val="20"/>
          <w:shd w:val="clear" w:color="auto" w:fill="FFFFFF"/>
        </w:rPr>
        <w:t>Zaichkowsky</w:t>
      </w:r>
      <w:proofErr w:type="spellEnd"/>
      <w:r w:rsidRPr="00CA2F52">
        <w:rPr>
          <w:rFonts w:cs="Arial"/>
          <w:color w:val="222222"/>
          <w:szCs w:val="20"/>
          <w:shd w:val="clear" w:color="auto" w:fill="FFFFFF"/>
        </w:rPr>
        <w:t xml:space="preserve">, J.L. and </w:t>
      </w:r>
      <w:proofErr w:type="spellStart"/>
      <w:r w:rsidRPr="00CA2F52">
        <w:rPr>
          <w:rFonts w:cs="Arial"/>
          <w:color w:val="222222"/>
          <w:szCs w:val="20"/>
          <w:shd w:val="clear" w:color="auto" w:fill="FFFFFF"/>
        </w:rPr>
        <w:t>Polegato</w:t>
      </w:r>
      <w:proofErr w:type="spellEnd"/>
      <w:r w:rsidRPr="00CA2F52">
        <w:rPr>
          <w:rFonts w:cs="Arial"/>
          <w:color w:val="222222"/>
          <w:szCs w:val="20"/>
          <w:shd w:val="clear" w:color="auto" w:fill="FFFFFF"/>
        </w:rPr>
        <w:t>, R., 2014. </w:t>
      </w:r>
      <w:r w:rsidRPr="00CA2F52">
        <w:rPr>
          <w:rFonts w:cs="Arial"/>
          <w:i/>
          <w:iCs/>
          <w:color w:val="222222"/>
          <w:szCs w:val="20"/>
          <w:shd w:val="clear" w:color="auto" w:fill="FFFFFF"/>
        </w:rPr>
        <w:t xml:space="preserve">Consumer </w:t>
      </w:r>
      <w:proofErr w:type="spellStart"/>
      <w:r w:rsidRPr="00CA2F52">
        <w:rPr>
          <w:rFonts w:cs="Arial"/>
          <w:i/>
          <w:iCs/>
          <w:color w:val="222222"/>
          <w:szCs w:val="20"/>
          <w:shd w:val="clear" w:color="auto" w:fill="FFFFFF"/>
        </w:rPr>
        <w:t>behavior</w:t>
      </w:r>
      <w:proofErr w:type="spellEnd"/>
      <w:r w:rsidRPr="00CA2F52">
        <w:rPr>
          <w:rFonts w:cs="Arial"/>
          <w:i/>
          <w:iCs/>
          <w:color w:val="222222"/>
          <w:szCs w:val="20"/>
          <w:shd w:val="clear" w:color="auto" w:fill="FFFFFF"/>
        </w:rPr>
        <w:t>: Buying, having, and being</w:t>
      </w:r>
      <w:r w:rsidRPr="00CA2F52">
        <w:rPr>
          <w:rFonts w:cs="Arial"/>
          <w:color w:val="222222"/>
          <w:szCs w:val="20"/>
          <w:shd w:val="clear" w:color="auto" w:fill="FFFFFF"/>
        </w:rPr>
        <w:t> (Vol. 10). London: Pearson.</w:t>
      </w:r>
    </w:p>
    <w:p w14:paraId="5C8B41BB" w14:textId="77777777" w:rsidR="00935861" w:rsidRPr="00CA2F52" w:rsidRDefault="00935861" w:rsidP="00935861">
      <w:pPr>
        <w:rPr>
          <w:rFonts w:cs="Arial"/>
          <w:color w:val="222222"/>
          <w:szCs w:val="20"/>
          <w:shd w:val="clear" w:color="auto" w:fill="FFFFFF"/>
        </w:rPr>
      </w:pPr>
      <w:r w:rsidRPr="00CA2F52">
        <w:rPr>
          <w:rFonts w:cs="Arial"/>
          <w:color w:val="222222"/>
          <w:szCs w:val="20"/>
          <w:shd w:val="clear" w:color="auto" w:fill="FFFFFF"/>
        </w:rPr>
        <w:t>Strauss, J. and Frost, R., 2014. </w:t>
      </w:r>
      <w:r w:rsidRPr="00CA2F52">
        <w:rPr>
          <w:rFonts w:cs="Arial"/>
          <w:i/>
          <w:iCs/>
          <w:color w:val="222222"/>
          <w:szCs w:val="20"/>
          <w:shd w:val="clear" w:color="auto" w:fill="FFFFFF"/>
        </w:rPr>
        <w:t>E-marketing</w:t>
      </w:r>
      <w:r w:rsidRPr="00CA2F52">
        <w:rPr>
          <w:rFonts w:cs="Arial"/>
          <w:color w:val="222222"/>
          <w:szCs w:val="20"/>
          <w:shd w:val="clear" w:color="auto" w:fill="FFFFFF"/>
        </w:rPr>
        <w:t>. Pearson.</w:t>
      </w:r>
    </w:p>
    <w:p w14:paraId="65658084" w14:textId="77777777" w:rsidR="00935861" w:rsidRPr="00CA2F52" w:rsidRDefault="00935861" w:rsidP="00935861">
      <w:pPr>
        <w:rPr>
          <w:rFonts w:cs="Arial"/>
          <w:color w:val="222222"/>
          <w:szCs w:val="20"/>
          <w:shd w:val="clear" w:color="auto" w:fill="FFFFFF"/>
        </w:rPr>
      </w:pPr>
      <w:r w:rsidRPr="00CA2F52">
        <w:rPr>
          <w:rFonts w:cs="Arial"/>
          <w:color w:val="222222"/>
          <w:szCs w:val="20"/>
          <w:shd w:val="clear" w:color="auto" w:fill="FFFFFF"/>
        </w:rPr>
        <w:t>Tanwar, R., 2013. Porter’s generic competitive strategies. </w:t>
      </w:r>
      <w:r w:rsidRPr="00CA2F52">
        <w:rPr>
          <w:rFonts w:cs="Arial"/>
          <w:i/>
          <w:iCs/>
          <w:color w:val="222222"/>
          <w:szCs w:val="20"/>
          <w:shd w:val="clear" w:color="auto" w:fill="FFFFFF"/>
        </w:rPr>
        <w:t>Journal of business and management</w:t>
      </w:r>
      <w:r w:rsidRPr="00CA2F52">
        <w:rPr>
          <w:rFonts w:cs="Arial"/>
          <w:color w:val="222222"/>
          <w:szCs w:val="20"/>
          <w:shd w:val="clear" w:color="auto" w:fill="FFFFFF"/>
        </w:rPr>
        <w:t>, </w:t>
      </w:r>
      <w:r w:rsidRPr="00CA2F52">
        <w:rPr>
          <w:rFonts w:cs="Arial"/>
          <w:i/>
          <w:iCs/>
          <w:color w:val="222222"/>
          <w:szCs w:val="20"/>
          <w:shd w:val="clear" w:color="auto" w:fill="FFFFFF"/>
        </w:rPr>
        <w:t>15</w:t>
      </w:r>
      <w:r w:rsidRPr="00CA2F52">
        <w:rPr>
          <w:rFonts w:cs="Arial"/>
          <w:color w:val="222222"/>
          <w:szCs w:val="20"/>
          <w:shd w:val="clear" w:color="auto" w:fill="FFFFFF"/>
        </w:rPr>
        <w:t>(1), pp.11-17.</w:t>
      </w:r>
    </w:p>
    <w:p w14:paraId="02004324" w14:textId="77777777" w:rsidR="00935861" w:rsidRPr="00CA2F52" w:rsidRDefault="00935861" w:rsidP="00935861">
      <w:r w:rsidRPr="00CA2F52">
        <w:rPr>
          <w:rFonts w:cs="Arial"/>
          <w:color w:val="222222"/>
          <w:szCs w:val="20"/>
          <w:shd w:val="clear" w:color="auto" w:fill="FFFFFF"/>
        </w:rPr>
        <w:t>Todorova, G., 2015. Marketing communication mix. </w:t>
      </w:r>
      <w:r w:rsidRPr="00CA2F52">
        <w:rPr>
          <w:rFonts w:cs="Arial"/>
          <w:i/>
          <w:iCs/>
          <w:color w:val="222222"/>
          <w:szCs w:val="20"/>
          <w:shd w:val="clear" w:color="auto" w:fill="FFFFFF"/>
        </w:rPr>
        <w:t>Trakia Journal of sciences</w:t>
      </w:r>
      <w:r w:rsidRPr="00CA2F52">
        <w:rPr>
          <w:rFonts w:cs="Arial"/>
          <w:color w:val="222222"/>
          <w:szCs w:val="20"/>
          <w:shd w:val="clear" w:color="auto" w:fill="FFFFFF"/>
        </w:rPr>
        <w:t>, </w:t>
      </w:r>
      <w:r w:rsidRPr="00CA2F52">
        <w:rPr>
          <w:rFonts w:cs="Arial"/>
          <w:i/>
          <w:iCs/>
          <w:color w:val="222222"/>
          <w:szCs w:val="20"/>
          <w:shd w:val="clear" w:color="auto" w:fill="FFFFFF"/>
        </w:rPr>
        <w:t>13</w:t>
      </w:r>
      <w:r w:rsidRPr="00CA2F52">
        <w:rPr>
          <w:rFonts w:cs="Arial"/>
          <w:color w:val="222222"/>
          <w:szCs w:val="20"/>
          <w:shd w:val="clear" w:color="auto" w:fill="FFFFFF"/>
        </w:rPr>
        <w:t>(1), pp.368-374.</w:t>
      </w:r>
    </w:p>
    <w:p w14:paraId="5F1C60DE" w14:textId="77777777" w:rsidR="00935861" w:rsidRPr="00CA2F52" w:rsidRDefault="00935861" w:rsidP="00935861">
      <w:pPr>
        <w:rPr>
          <w:rFonts w:cs="Arial"/>
          <w:color w:val="222222"/>
          <w:szCs w:val="20"/>
          <w:shd w:val="clear" w:color="auto" w:fill="FFFFFF"/>
        </w:rPr>
      </w:pPr>
      <w:r w:rsidRPr="00CA2F52">
        <w:rPr>
          <w:rFonts w:cs="Arial"/>
          <w:color w:val="222222"/>
          <w:szCs w:val="20"/>
          <w:shd w:val="clear" w:color="auto" w:fill="FFFFFF"/>
        </w:rPr>
        <w:t>Venkatesh, K.G., 2016. Case: Analysis of Marketing Strategy of Glaxo Smith KlineHorlicks. </w:t>
      </w:r>
      <w:r w:rsidRPr="00CA2F52">
        <w:rPr>
          <w:rFonts w:cs="Arial"/>
          <w:i/>
          <w:iCs/>
          <w:color w:val="222222"/>
          <w:szCs w:val="20"/>
          <w:shd w:val="clear" w:color="auto" w:fill="FFFFFF"/>
        </w:rPr>
        <w:t>IIMS Journal of Management Science</w:t>
      </w:r>
      <w:r w:rsidRPr="00CA2F52">
        <w:rPr>
          <w:rFonts w:cs="Arial"/>
          <w:color w:val="222222"/>
          <w:szCs w:val="20"/>
          <w:shd w:val="clear" w:color="auto" w:fill="FFFFFF"/>
        </w:rPr>
        <w:t>, </w:t>
      </w:r>
      <w:r w:rsidRPr="00CA2F52">
        <w:rPr>
          <w:rFonts w:cs="Arial"/>
          <w:i/>
          <w:iCs/>
          <w:color w:val="222222"/>
          <w:szCs w:val="20"/>
          <w:shd w:val="clear" w:color="auto" w:fill="FFFFFF"/>
        </w:rPr>
        <w:t>7</w:t>
      </w:r>
      <w:r w:rsidRPr="00CA2F52">
        <w:rPr>
          <w:rFonts w:cs="Arial"/>
          <w:color w:val="222222"/>
          <w:szCs w:val="20"/>
          <w:shd w:val="clear" w:color="auto" w:fill="FFFFFF"/>
        </w:rPr>
        <w:t>(2), pp.195-200.</w:t>
      </w:r>
    </w:p>
    <w:p w14:paraId="54B570CC" w14:textId="77777777" w:rsidR="00D44BE4" w:rsidRPr="00D44BE4" w:rsidRDefault="00D44BE4" w:rsidP="00D44BE4"/>
    <w:sectPr w:rsidR="00D44BE4" w:rsidRPr="00D44BE4" w:rsidSect="00F51AF5">
      <w:footerReference w:type="default" r:id="rId10"/>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8F6BE0" w14:textId="77777777" w:rsidR="002E7B97" w:rsidRDefault="002E7B97" w:rsidP="00F51AF5">
      <w:pPr>
        <w:spacing w:before="0" w:after="0" w:line="240" w:lineRule="auto"/>
      </w:pPr>
      <w:r>
        <w:separator/>
      </w:r>
    </w:p>
  </w:endnote>
  <w:endnote w:type="continuationSeparator" w:id="0">
    <w:p w14:paraId="55B43303" w14:textId="77777777" w:rsidR="002E7B97" w:rsidRDefault="002E7B97" w:rsidP="00F51AF5">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9922BC" w14:textId="566A3E20" w:rsidR="00F51AF5" w:rsidRDefault="00F51AF5">
    <w:pPr>
      <w:pStyle w:val="Footer"/>
      <w:jc w:val="center"/>
    </w:pPr>
  </w:p>
  <w:p w14:paraId="5385C930" w14:textId="77777777" w:rsidR="00F51AF5" w:rsidRDefault="00F51AF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12394489"/>
      <w:docPartObj>
        <w:docPartGallery w:val="Page Numbers (Bottom of Page)"/>
        <w:docPartUnique/>
      </w:docPartObj>
    </w:sdtPr>
    <w:sdtEndPr>
      <w:rPr>
        <w:noProof/>
      </w:rPr>
    </w:sdtEndPr>
    <w:sdtContent>
      <w:p w14:paraId="225486F0" w14:textId="77777777" w:rsidR="00F51AF5" w:rsidRDefault="00F51AF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FC964F4" w14:textId="77777777" w:rsidR="00F51AF5" w:rsidRDefault="00F51A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DC431C" w14:textId="77777777" w:rsidR="002E7B97" w:rsidRDefault="002E7B97" w:rsidP="00F51AF5">
      <w:pPr>
        <w:spacing w:before="0" w:after="0" w:line="240" w:lineRule="auto"/>
      </w:pPr>
      <w:r>
        <w:separator/>
      </w:r>
    </w:p>
  </w:footnote>
  <w:footnote w:type="continuationSeparator" w:id="0">
    <w:p w14:paraId="009FF31E" w14:textId="77777777" w:rsidR="002E7B97" w:rsidRDefault="002E7B97" w:rsidP="00F51AF5">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CF2EE2"/>
    <w:multiLevelType w:val="hybridMultilevel"/>
    <w:tmpl w:val="B04A9BC2"/>
    <w:lvl w:ilvl="0" w:tplc="4EAED490">
      <w:start w:val="1"/>
      <w:numFmt w:val="bullet"/>
      <w:lvlText w:val=""/>
      <w:lvlJc w:val="left"/>
      <w:pPr>
        <w:ind w:left="720" w:hanging="360"/>
      </w:pPr>
      <w:rPr>
        <w:rFonts w:ascii="Symbol" w:hAnsi="Symbol" w:hint="default"/>
      </w:rPr>
    </w:lvl>
    <w:lvl w:ilvl="1" w:tplc="471C5AAE" w:tentative="1">
      <w:start w:val="1"/>
      <w:numFmt w:val="bullet"/>
      <w:lvlText w:val="o"/>
      <w:lvlJc w:val="left"/>
      <w:pPr>
        <w:ind w:left="1440" w:hanging="360"/>
      </w:pPr>
      <w:rPr>
        <w:rFonts w:ascii="Courier New" w:hAnsi="Courier New" w:cs="Courier New" w:hint="default"/>
      </w:rPr>
    </w:lvl>
    <w:lvl w:ilvl="2" w:tplc="1DD01DC8" w:tentative="1">
      <w:start w:val="1"/>
      <w:numFmt w:val="bullet"/>
      <w:lvlText w:val=""/>
      <w:lvlJc w:val="left"/>
      <w:pPr>
        <w:ind w:left="2160" w:hanging="360"/>
      </w:pPr>
      <w:rPr>
        <w:rFonts w:ascii="Wingdings" w:hAnsi="Wingdings" w:hint="default"/>
      </w:rPr>
    </w:lvl>
    <w:lvl w:ilvl="3" w:tplc="F864BB50" w:tentative="1">
      <w:start w:val="1"/>
      <w:numFmt w:val="bullet"/>
      <w:lvlText w:val=""/>
      <w:lvlJc w:val="left"/>
      <w:pPr>
        <w:ind w:left="2880" w:hanging="360"/>
      </w:pPr>
      <w:rPr>
        <w:rFonts w:ascii="Symbol" w:hAnsi="Symbol" w:hint="default"/>
      </w:rPr>
    </w:lvl>
    <w:lvl w:ilvl="4" w:tplc="71E27A74" w:tentative="1">
      <w:start w:val="1"/>
      <w:numFmt w:val="bullet"/>
      <w:lvlText w:val="o"/>
      <w:lvlJc w:val="left"/>
      <w:pPr>
        <w:ind w:left="3600" w:hanging="360"/>
      </w:pPr>
      <w:rPr>
        <w:rFonts w:ascii="Courier New" w:hAnsi="Courier New" w:cs="Courier New" w:hint="default"/>
      </w:rPr>
    </w:lvl>
    <w:lvl w:ilvl="5" w:tplc="4DE25810" w:tentative="1">
      <w:start w:val="1"/>
      <w:numFmt w:val="bullet"/>
      <w:lvlText w:val=""/>
      <w:lvlJc w:val="left"/>
      <w:pPr>
        <w:ind w:left="4320" w:hanging="360"/>
      </w:pPr>
      <w:rPr>
        <w:rFonts w:ascii="Wingdings" w:hAnsi="Wingdings" w:hint="default"/>
      </w:rPr>
    </w:lvl>
    <w:lvl w:ilvl="6" w:tplc="E71CBD12" w:tentative="1">
      <w:start w:val="1"/>
      <w:numFmt w:val="bullet"/>
      <w:lvlText w:val=""/>
      <w:lvlJc w:val="left"/>
      <w:pPr>
        <w:ind w:left="5040" w:hanging="360"/>
      </w:pPr>
      <w:rPr>
        <w:rFonts w:ascii="Symbol" w:hAnsi="Symbol" w:hint="default"/>
      </w:rPr>
    </w:lvl>
    <w:lvl w:ilvl="7" w:tplc="F9DE7348" w:tentative="1">
      <w:start w:val="1"/>
      <w:numFmt w:val="bullet"/>
      <w:lvlText w:val="o"/>
      <w:lvlJc w:val="left"/>
      <w:pPr>
        <w:ind w:left="5760" w:hanging="360"/>
      </w:pPr>
      <w:rPr>
        <w:rFonts w:ascii="Courier New" w:hAnsi="Courier New" w:cs="Courier New" w:hint="default"/>
      </w:rPr>
    </w:lvl>
    <w:lvl w:ilvl="8" w:tplc="1F845F6C" w:tentative="1">
      <w:start w:val="1"/>
      <w:numFmt w:val="bullet"/>
      <w:lvlText w:val=""/>
      <w:lvlJc w:val="left"/>
      <w:pPr>
        <w:ind w:left="6480" w:hanging="360"/>
      </w:pPr>
      <w:rPr>
        <w:rFonts w:ascii="Wingdings" w:hAnsi="Wingdings" w:hint="default"/>
      </w:rPr>
    </w:lvl>
  </w:abstractNum>
  <w:abstractNum w:abstractNumId="1" w15:restartNumberingAfterBreak="0">
    <w:nsid w:val="488011E2"/>
    <w:multiLevelType w:val="hybridMultilevel"/>
    <w:tmpl w:val="9216C414"/>
    <w:lvl w:ilvl="0" w:tplc="59EE6E7E">
      <w:start w:val="1"/>
      <w:numFmt w:val="bullet"/>
      <w:lvlText w:val=""/>
      <w:lvlJc w:val="left"/>
      <w:pPr>
        <w:ind w:left="720" w:hanging="360"/>
      </w:pPr>
      <w:rPr>
        <w:rFonts w:ascii="Symbol" w:hAnsi="Symbol" w:hint="default"/>
      </w:rPr>
    </w:lvl>
    <w:lvl w:ilvl="1" w:tplc="45FC62B2" w:tentative="1">
      <w:start w:val="1"/>
      <w:numFmt w:val="bullet"/>
      <w:lvlText w:val="o"/>
      <w:lvlJc w:val="left"/>
      <w:pPr>
        <w:ind w:left="1440" w:hanging="360"/>
      </w:pPr>
      <w:rPr>
        <w:rFonts w:ascii="Courier New" w:hAnsi="Courier New" w:cs="Courier New" w:hint="default"/>
      </w:rPr>
    </w:lvl>
    <w:lvl w:ilvl="2" w:tplc="B8E49288" w:tentative="1">
      <w:start w:val="1"/>
      <w:numFmt w:val="bullet"/>
      <w:lvlText w:val=""/>
      <w:lvlJc w:val="left"/>
      <w:pPr>
        <w:ind w:left="2160" w:hanging="360"/>
      </w:pPr>
      <w:rPr>
        <w:rFonts w:ascii="Wingdings" w:hAnsi="Wingdings" w:hint="default"/>
      </w:rPr>
    </w:lvl>
    <w:lvl w:ilvl="3" w:tplc="0818DC64" w:tentative="1">
      <w:start w:val="1"/>
      <w:numFmt w:val="bullet"/>
      <w:lvlText w:val=""/>
      <w:lvlJc w:val="left"/>
      <w:pPr>
        <w:ind w:left="2880" w:hanging="360"/>
      </w:pPr>
      <w:rPr>
        <w:rFonts w:ascii="Symbol" w:hAnsi="Symbol" w:hint="default"/>
      </w:rPr>
    </w:lvl>
    <w:lvl w:ilvl="4" w:tplc="8F7048CC" w:tentative="1">
      <w:start w:val="1"/>
      <w:numFmt w:val="bullet"/>
      <w:lvlText w:val="o"/>
      <w:lvlJc w:val="left"/>
      <w:pPr>
        <w:ind w:left="3600" w:hanging="360"/>
      </w:pPr>
      <w:rPr>
        <w:rFonts w:ascii="Courier New" w:hAnsi="Courier New" w:cs="Courier New" w:hint="default"/>
      </w:rPr>
    </w:lvl>
    <w:lvl w:ilvl="5" w:tplc="20D056CA" w:tentative="1">
      <w:start w:val="1"/>
      <w:numFmt w:val="bullet"/>
      <w:lvlText w:val=""/>
      <w:lvlJc w:val="left"/>
      <w:pPr>
        <w:ind w:left="4320" w:hanging="360"/>
      </w:pPr>
      <w:rPr>
        <w:rFonts w:ascii="Wingdings" w:hAnsi="Wingdings" w:hint="default"/>
      </w:rPr>
    </w:lvl>
    <w:lvl w:ilvl="6" w:tplc="FEFCA78C" w:tentative="1">
      <w:start w:val="1"/>
      <w:numFmt w:val="bullet"/>
      <w:lvlText w:val=""/>
      <w:lvlJc w:val="left"/>
      <w:pPr>
        <w:ind w:left="5040" w:hanging="360"/>
      </w:pPr>
      <w:rPr>
        <w:rFonts w:ascii="Symbol" w:hAnsi="Symbol" w:hint="default"/>
      </w:rPr>
    </w:lvl>
    <w:lvl w:ilvl="7" w:tplc="37BA603A" w:tentative="1">
      <w:start w:val="1"/>
      <w:numFmt w:val="bullet"/>
      <w:lvlText w:val="o"/>
      <w:lvlJc w:val="left"/>
      <w:pPr>
        <w:ind w:left="5760" w:hanging="360"/>
      </w:pPr>
      <w:rPr>
        <w:rFonts w:ascii="Courier New" w:hAnsi="Courier New" w:cs="Courier New" w:hint="default"/>
      </w:rPr>
    </w:lvl>
    <w:lvl w:ilvl="8" w:tplc="298AD9B4" w:tentative="1">
      <w:start w:val="1"/>
      <w:numFmt w:val="bullet"/>
      <w:lvlText w:val=""/>
      <w:lvlJc w:val="left"/>
      <w:pPr>
        <w:ind w:left="6480" w:hanging="360"/>
      </w:pPr>
      <w:rPr>
        <w:rFonts w:ascii="Wingdings" w:hAnsi="Wingdings" w:hint="default"/>
      </w:rPr>
    </w:lvl>
  </w:abstractNum>
  <w:num w:numId="1" w16cid:durableId="1479961278">
    <w:abstractNumId w:val="1"/>
  </w:num>
  <w:num w:numId="2" w16cid:durableId="17845689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4BE4"/>
    <w:rsid w:val="00003701"/>
    <w:rsid w:val="000F4E5F"/>
    <w:rsid w:val="00131639"/>
    <w:rsid w:val="00167FF3"/>
    <w:rsid w:val="00267DEB"/>
    <w:rsid w:val="002D2845"/>
    <w:rsid w:val="002E7B97"/>
    <w:rsid w:val="003258BD"/>
    <w:rsid w:val="00357555"/>
    <w:rsid w:val="00367A74"/>
    <w:rsid w:val="003B01E0"/>
    <w:rsid w:val="004666E0"/>
    <w:rsid w:val="004A334E"/>
    <w:rsid w:val="004B32C2"/>
    <w:rsid w:val="005422FC"/>
    <w:rsid w:val="00547DC3"/>
    <w:rsid w:val="005D552F"/>
    <w:rsid w:val="005E1CE8"/>
    <w:rsid w:val="00644ACC"/>
    <w:rsid w:val="00647FBE"/>
    <w:rsid w:val="006A0AC9"/>
    <w:rsid w:val="008209B0"/>
    <w:rsid w:val="00866D98"/>
    <w:rsid w:val="008A4C5F"/>
    <w:rsid w:val="008F1A76"/>
    <w:rsid w:val="008F76D2"/>
    <w:rsid w:val="00935861"/>
    <w:rsid w:val="00935C36"/>
    <w:rsid w:val="00957B88"/>
    <w:rsid w:val="009D4C5A"/>
    <w:rsid w:val="00A72072"/>
    <w:rsid w:val="00AA686C"/>
    <w:rsid w:val="00B35470"/>
    <w:rsid w:val="00BC78CC"/>
    <w:rsid w:val="00C21A3C"/>
    <w:rsid w:val="00D23C67"/>
    <w:rsid w:val="00D44BE4"/>
    <w:rsid w:val="00D62990"/>
    <w:rsid w:val="00D81CC2"/>
    <w:rsid w:val="00DA7135"/>
    <w:rsid w:val="00E77342"/>
    <w:rsid w:val="00E8643E"/>
    <w:rsid w:val="00EB34A7"/>
    <w:rsid w:val="00F51AF5"/>
    <w:rsid w:val="00F66D83"/>
    <w:rsid w:val="00F74B68"/>
    <w:rsid w:val="00FF35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341A5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1A3C"/>
    <w:pPr>
      <w:spacing w:before="160" w:line="360" w:lineRule="auto"/>
      <w:jc w:val="both"/>
    </w:pPr>
    <w:rPr>
      <w:rFonts w:ascii="Times New Roman" w:hAnsi="Times New Roman"/>
      <w:kern w:val="0"/>
      <w:sz w:val="24"/>
      <w:lang w:val="en-GB"/>
      <w14:ligatures w14:val="none"/>
    </w:rPr>
  </w:style>
  <w:style w:type="paragraph" w:styleId="Heading1">
    <w:name w:val="heading 1"/>
    <w:basedOn w:val="Normal"/>
    <w:next w:val="Normal"/>
    <w:link w:val="Heading1Char"/>
    <w:uiPriority w:val="9"/>
    <w:qFormat/>
    <w:rsid w:val="00EB34A7"/>
    <w:pPr>
      <w:keepNext/>
      <w:keepLines/>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EB34A7"/>
    <w:pPr>
      <w:keepNext/>
      <w:keepLines/>
      <w:outlineLvl w:val="1"/>
    </w:pPr>
    <w:rPr>
      <w:rFonts w:eastAsiaTheme="majorEastAsia" w:cstheme="majorBidi"/>
      <w:b/>
      <w:sz w:val="28"/>
      <w:szCs w:val="26"/>
    </w:rPr>
  </w:style>
  <w:style w:type="paragraph" w:styleId="Heading3">
    <w:name w:val="heading 3"/>
    <w:basedOn w:val="Normal"/>
    <w:next w:val="Normal"/>
    <w:link w:val="Heading3Char"/>
    <w:uiPriority w:val="9"/>
    <w:semiHidden/>
    <w:unhideWhenUsed/>
    <w:qFormat/>
    <w:rsid w:val="008A4C5F"/>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34A7"/>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EB34A7"/>
    <w:rPr>
      <w:rFonts w:ascii="Times New Roman" w:eastAsiaTheme="majorEastAsia" w:hAnsi="Times New Roman" w:cstheme="majorBidi"/>
      <w:b/>
      <w:sz w:val="28"/>
      <w:szCs w:val="26"/>
    </w:rPr>
  </w:style>
  <w:style w:type="character" w:customStyle="1" w:styleId="Heading3Char">
    <w:name w:val="Heading 3 Char"/>
    <w:basedOn w:val="DefaultParagraphFont"/>
    <w:link w:val="Heading3"/>
    <w:uiPriority w:val="9"/>
    <w:semiHidden/>
    <w:rsid w:val="008A4C5F"/>
    <w:rPr>
      <w:rFonts w:ascii="Times New Roman" w:eastAsiaTheme="majorEastAsia" w:hAnsi="Times New Roman" w:cstheme="majorBidi"/>
      <w:b/>
      <w:sz w:val="24"/>
      <w:szCs w:val="24"/>
    </w:rPr>
  </w:style>
  <w:style w:type="paragraph" w:styleId="ListParagraph">
    <w:name w:val="List Paragraph"/>
    <w:basedOn w:val="Normal"/>
    <w:uiPriority w:val="34"/>
    <w:qFormat/>
    <w:rsid w:val="00BC78CC"/>
    <w:pPr>
      <w:ind w:left="720"/>
      <w:contextualSpacing/>
    </w:pPr>
  </w:style>
  <w:style w:type="paragraph" w:styleId="TOCHeading">
    <w:name w:val="TOC Heading"/>
    <w:basedOn w:val="Heading1"/>
    <w:next w:val="Normal"/>
    <w:uiPriority w:val="39"/>
    <w:unhideWhenUsed/>
    <w:qFormat/>
    <w:rsid w:val="00F74B68"/>
    <w:pPr>
      <w:spacing w:before="240" w:after="0" w:line="259" w:lineRule="auto"/>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F74B68"/>
    <w:pPr>
      <w:spacing w:after="100"/>
    </w:pPr>
  </w:style>
  <w:style w:type="paragraph" w:styleId="TOC2">
    <w:name w:val="toc 2"/>
    <w:basedOn w:val="Normal"/>
    <w:next w:val="Normal"/>
    <w:autoRedefine/>
    <w:uiPriority w:val="39"/>
    <w:unhideWhenUsed/>
    <w:rsid w:val="00F74B68"/>
    <w:pPr>
      <w:spacing w:after="100"/>
      <w:ind w:left="240"/>
    </w:pPr>
  </w:style>
  <w:style w:type="character" w:styleId="Hyperlink">
    <w:name w:val="Hyperlink"/>
    <w:basedOn w:val="DefaultParagraphFont"/>
    <w:uiPriority w:val="99"/>
    <w:unhideWhenUsed/>
    <w:rsid w:val="00F74B68"/>
    <w:rPr>
      <w:color w:val="0563C1" w:themeColor="hyperlink"/>
      <w:u w:val="single"/>
    </w:rPr>
  </w:style>
  <w:style w:type="paragraph" w:styleId="Header">
    <w:name w:val="header"/>
    <w:basedOn w:val="Normal"/>
    <w:link w:val="HeaderChar"/>
    <w:uiPriority w:val="99"/>
    <w:unhideWhenUsed/>
    <w:rsid w:val="00F51AF5"/>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F51AF5"/>
    <w:rPr>
      <w:rFonts w:ascii="Times New Roman" w:hAnsi="Times New Roman"/>
      <w:kern w:val="0"/>
      <w:sz w:val="24"/>
      <w:lang w:val="en-GB"/>
      <w14:ligatures w14:val="none"/>
    </w:rPr>
  </w:style>
  <w:style w:type="paragraph" w:styleId="Footer">
    <w:name w:val="footer"/>
    <w:basedOn w:val="Normal"/>
    <w:link w:val="FooterChar"/>
    <w:uiPriority w:val="99"/>
    <w:unhideWhenUsed/>
    <w:rsid w:val="00F51AF5"/>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F51AF5"/>
    <w:rPr>
      <w:rFonts w:ascii="Times New Roman" w:hAnsi="Times New Roman"/>
      <w:kern w:val="0"/>
      <w:sz w:val="24"/>
      <w:lang w:val="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3C9A80-3945-42F2-BA30-EA08C4B022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2838</Words>
  <Characters>16180</Characters>
  <Application>Microsoft Office Word</Application>
  <DocSecurity>0</DocSecurity>
  <Lines>134</Lines>
  <Paragraphs>37</Paragraphs>
  <ScaleCrop>false</ScaleCrop>
  <Company/>
  <LinksUpToDate>false</LinksUpToDate>
  <CharactersWithSpaces>18981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2023-11-28T19:00:00Z</dcterms:created>
  <dcterms:modified xsi:type="dcterms:W3CDTF">2023-11-28T19:00:00Z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2023-11-28T19:00:05Z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d741ec5d-d74d-4c3f-8667-ef92a835f24c</vt:lpwstr>
  </property>
  <property fmtid="{D5CDD505-2E9C-101B-9397-08002B2CF9AE}" pid="7" name="MSIP_Label_defa4170-0d19-0005-0004-bc88714345d2_ActionId">
    <vt:lpwstr>290bcf92-b4a3-464f-97a2-8a77f735599c</vt:lpwstr>
  </property>
  <property fmtid="{D5CDD505-2E9C-101B-9397-08002B2CF9AE}" pid="8" name="MSIP_Label_defa4170-0d19-0005-0004-bc88714345d2_ContentBits">
    <vt:lpwstr>0</vt:lpwstr>
  </property>
</Properties>
</file>