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FD364" w14:textId="77777777" w:rsidR="006C142D" w:rsidRDefault="00000000">
      <w:pPr>
        <w:spacing w:before="240" w:after="80"/>
        <w:jc w:val="center"/>
      </w:pPr>
      <w:r>
        <w:rPr>
          <w:rFonts w:ascii="Arial" w:hAnsi="Arial"/>
          <w:b/>
          <w:color w:val="1B365D"/>
          <w:sz w:val="44"/>
        </w:rPr>
        <w:t>ASSIGNMENT 1: E-PORTFOLIO SUBMISSION</w:t>
      </w:r>
    </w:p>
    <w:p w14:paraId="4F0D5202" w14:textId="77777777" w:rsidR="006C142D" w:rsidRPr="006154C4" w:rsidRDefault="00000000">
      <w:pPr>
        <w:spacing w:after="480"/>
        <w:jc w:val="center"/>
        <w:rPr>
          <w:color w:val="365F91" w:themeColor="accent1" w:themeShade="BF"/>
        </w:rPr>
      </w:pPr>
      <w:r w:rsidRPr="006154C4">
        <w:rPr>
          <w:rFonts w:ascii="Arial" w:hAnsi="Arial"/>
          <w:color w:val="365F91" w:themeColor="accent1" w:themeShade="BF"/>
          <w:sz w:val="24"/>
        </w:rPr>
        <w:t>Module: Learning and Digital Environments (LDE) | Subject: Cybersecurity</w:t>
      </w:r>
    </w:p>
    <w:tbl>
      <w:tblPr>
        <w:tblW w:w="0" w:type="auto"/>
        <w:jc w:val="center"/>
        <w:tblLook w:val="04A0" w:firstRow="1" w:lastRow="0" w:firstColumn="1" w:lastColumn="0" w:noHBand="0" w:noVBand="1"/>
      </w:tblPr>
      <w:tblGrid>
        <w:gridCol w:w="3600"/>
        <w:gridCol w:w="5760"/>
      </w:tblGrid>
      <w:tr w:rsidR="006C142D" w14:paraId="2DF6D0A6" w14:textId="77777777">
        <w:trPr>
          <w:jc w:val="center"/>
        </w:trPr>
        <w:tc>
          <w:tcPr>
            <w:tcW w:w="3600" w:type="dxa"/>
            <w:shd w:val="clear" w:color="auto" w:fill="F4F6F8"/>
            <w:tcMar>
              <w:top w:w="80" w:type="dxa"/>
              <w:left w:w="100" w:type="dxa"/>
              <w:bottom w:w="80" w:type="dxa"/>
              <w:right w:w="100" w:type="dxa"/>
            </w:tcMar>
          </w:tcPr>
          <w:p w14:paraId="4D0FF6C9" w14:textId="77777777" w:rsidR="006C142D" w:rsidRDefault="00000000">
            <w:pPr>
              <w:spacing w:after="80"/>
            </w:pPr>
            <w:r>
              <w:rPr>
                <w:rFonts w:ascii="Arial" w:hAnsi="Arial"/>
                <w:b/>
                <w:color w:val="1B365D"/>
                <w:sz w:val="20"/>
              </w:rPr>
              <w:t>Student Name:</w:t>
            </w:r>
          </w:p>
        </w:tc>
        <w:tc>
          <w:tcPr>
            <w:tcW w:w="5760" w:type="dxa"/>
            <w:shd w:val="clear" w:color="auto" w:fill="F4F6F8"/>
            <w:tcMar>
              <w:top w:w="80" w:type="dxa"/>
              <w:left w:w="100" w:type="dxa"/>
              <w:bottom w:w="80" w:type="dxa"/>
              <w:right w:w="100" w:type="dxa"/>
            </w:tcMar>
          </w:tcPr>
          <w:p w14:paraId="787B519C" w14:textId="77777777" w:rsidR="006C142D" w:rsidRDefault="00000000">
            <w:pPr>
              <w:spacing w:after="80"/>
            </w:pPr>
            <w:r>
              <w:rPr>
                <w:rFonts w:ascii="Arial" w:hAnsi="Arial"/>
                <w:color w:val="222222"/>
                <w:sz w:val="20"/>
              </w:rPr>
              <w:t>Tymur Andrieiev</w:t>
            </w:r>
          </w:p>
        </w:tc>
      </w:tr>
      <w:tr w:rsidR="006C142D" w14:paraId="367DD8A1" w14:textId="77777777">
        <w:trPr>
          <w:jc w:val="center"/>
        </w:trPr>
        <w:tc>
          <w:tcPr>
            <w:tcW w:w="3600" w:type="dxa"/>
            <w:shd w:val="clear" w:color="auto" w:fill="F4F6F8"/>
            <w:tcMar>
              <w:top w:w="80" w:type="dxa"/>
              <w:left w:w="100" w:type="dxa"/>
              <w:bottom w:w="80" w:type="dxa"/>
              <w:right w:w="100" w:type="dxa"/>
            </w:tcMar>
          </w:tcPr>
          <w:p w14:paraId="70AF3742" w14:textId="77777777" w:rsidR="006C142D" w:rsidRDefault="00000000">
            <w:pPr>
              <w:spacing w:after="80"/>
            </w:pPr>
            <w:r>
              <w:rPr>
                <w:rFonts w:ascii="Arial" w:hAnsi="Arial"/>
                <w:b/>
                <w:color w:val="1B365D"/>
                <w:sz w:val="20"/>
              </w:rPr>
              <w:t>Student ID:</w:t>
            </w:r>
          </w:p>
        </w:tc>
        <w:tc>
          <w:tcPr>
            <w:tcW w:w="5760" w:type="dxa"/>
            <w:shd w:val="clear" w:color="auto" w:fill="F4F6F8"/>
            <w:tcMar>
              <w:top w:w="80" w:type="dxa"/>
              <w:left w:w="100" w:type="dxa"/>
              <w:bottom w:w="80" w:type="dxa"/>
              <w:right w:w="100" w:type="dxa"/>
            </w:tcMar>
          </w:tcPr>
          <w:p w14:paraId="0CE7DFB5" w14:textId="77777777" w:rsidR="006C142D" w:rsidRDefault="00000000">
            <w:pPr>
              <w:spacing w:after="80"/>
            </w:pPr>
            <w:r>
              <w:rPr>
                <w:rFonts w:ascii="Arial" w:hAnsi="Arial"/>
                <w:color w:val="222222"/>
                <w:sz w:val="20"/>
              </w:rPr>
              <w:t>2441353</w:t>
            </w:r>
          </w:p>
        </w:tc>
      </w:tr>
      <w:tr w:rsidR="006C142D" w14:paraId="762B893D" w14:textId="77777777">
        <w:trPr>
          <w:jc w:val="center"/>
        </w:trPr>
        <w:tc>
          <w:tcPr>
            <w:tcW w:w="3600" w:type="dxa"/>
            <w:shd w:val="clear" w:color="auto" w:fill="F4F6F8"/>
            <w:tcMar>
              <w:top w:w="80" w:type="dxa"/>
              <w:left w:w="100" w:type="dxa"/>
              <w:bottom w:w="80" w:type="dxa"/>
              <w:right w:w="100" w:type="dxa"/>
            </w:tcMar>
          </w:tcPr>
          <w:p w14:paraId="14EC62F8" w14:textId="77777777" w:rsidR="006C142D" w:rsidRDefault="00000000">
            <w:pPr>
              <w:spacing w:after="80"/>
            </w:pPr>
            <w:r>
              <w:rPr>
                <w:rFonts w:ascii="Arial" w:hAnsi="Arial"/>
                <w:b/>
                <w:color w:val="1B365D"/>
                <w:sz w:val="20"/>
              </w:rPr>
              <w:t>Submission Date:</w:t>
            </w:r>
          </w:p>
        </w:tc>
        <w:tc>
          <w:tcPr>
            <w:tcW w:w="5760" w:type="dxa"/>
            <w:shd w:val="clear" w:color="auto" w:fill="F4F6F8"/>
            <w:tcMar>
              <w:top w:w="80" w:type="dxa"/>
              <w:left w:w="100" w:type="dxa"/>
              <w:bottom w:w="80" w:type="dxa"/>
              <w:right w:w="100" w:type="dxa"/>
            </w:tcMar>
          </w:tcPr>
          <w:p w14:paraId="4B9D8CB3" w14:textId="77777777" w:rsidR="006C142D" w:rsidRDefault="00000000">
            <w:pPr>
              <w:spacing w:after="80"/>
            </w:pPr>
            <w:r>
              <w:rPr>
                <w:rFonts w:ascii="Arial" w:hAnsi="Arial"/>
                <w:color w:val="222222"/>
                <w:sz w:val="20"/>
              </w:rPr>
              <w:t>August 2026</w:t>
            </w:r>
          </w:p>
        </w:tc>
      </w:tr>
      <w:tr w:rsidR="006C142D" w14:paraId="6F6EC8E5" w14:textId="77777777">
        <w:trPr>
          <w:jc w:val="center"/>
        </w:trPr>
        <w:tc>
          <w:tcPr>
            <w:tcW w:w="3600" w:type="dxa"/>
            <w:shd w:val="clear" w:color="auto" w:fill="F4F6F8"/>
            <w:tcMar>
              <w:top w:w="80" w:type="dxa"/>
              <w:left w:w="100" w:type="dxa"/>
              <w:bottom w:w="80" w:type="dxa"/>
              <w:right w:w="100" w:type="dxa"/>
            </w:tcMar>
          </w:tcPr>
          <w:p w14:paraId="7F3CDDAC" w14:textId="77777777" w:rsidR="006C142D" w:rsidRDefault="00000000">
            <w:pPr>
              <w:spacing w:after="80"/>
            </w:pPr>
            <w:r>
              <w:rPr>
                <w:rFonts w:ascii="Arial" w:hAnsi="Arial"/>
                <w:b/>
                <w:color w:val="1B365D"/>
                <w:sz w:val="20"/>
              </w:rPr>
              <w:t>Generative AI Acknowledgement:</w:t>
            </w:r>
          </w:p>
        </w:tc>
        <w:tc>
          <w:tcPr>
            <w:tcW w:w="5760" w:type="dxa"/>
            <w:shd w:val="clear" w:color="auto" w:fill="F4F6F8"/>
            <w:tcMar>
              <w:top w:w="80" w:type="dxa"/>
              <w:left w:w="100" w:type="dxa"/>
              <w:bottom w:w="80" w:type="dxa"/>
              <w:right w:w="100" w:type="dxa"/>
            </w:tcMar>
          </w:tcPr>
          <w:p w14:paraId="5D10FAB5" w14:textId="77777777" w:rsidR="006C142D" w:rsidRDefault="00000000">
            <w:pPr>
              <w:spacing w:after="80"/>
            </w:pPr>
            <w:r>
              <w:rPr>
                <w:rFonts w:ascii="Arial" w:hAnsi="Arial"/>
                <w:color w:val="222222"/>
                <w:sz w:val="20"/>
              </w:rPr>
              <w:t>Compliant with UWTSD IEEE AI Referencing Guidelines</w:t>
            </w:r>
          </w:p>
        </w:tc>
      </w:tr>
    </w:tbl>
    <w:p w14:paraId="081DDC8D" w14:textId="77777777" w:rsidR="006C142D" w:rsidRDefault="006C142D">
      <w:pPr>
        <w:spacing w:after="360"/>
      </w:pPr>
    </w:p>
    <w:p w14:paraId="7CA2BB4D" w14:textId="77777777" w:rsidR="006C142D" w:rsidRDefault="00000000">
      <w:pPr>
        <w:pStyle w:val="Heading1"/>
        <w:spacing w:before="360" w:after="120"/>
      </w:pPr>
      <w:r>
        <w:rPr>
          <w:rFonts w:ascii="Arial" w:hAnsi="Arial"/>
          <w:color w:val="1B365D"/>
          <w:sz w:val="30"/>
        </w:rPr>
        <w:t>Acknowledgement &amp; Statement on Generative AI Use</w:t>
      </w:r>
    </w:p>
    <w:p w14:paraId="09F86E04" w14:textId="77777777" w:rsidR="006C142D" w:rsidRDefault="00000000">
      <w:pPr>
        <w:spacing w:after="160"/>
      </w:pPr>
      <w:r>
        <w:rPr>
          <w:rFonts w:ascii="Arial" w:hAnsi="Arial"/>
        </w:rPr>
        <w:t xml:space="preserve">In accordance with the module guidelines for Learning and Digital Environments (LDE), Generative AI (specifically OpenAI's ChatGPT) was utilized solely as </w:t>
      </w:r>
      <w:r>
        <w:rPr>
          <w:rFonts w:ascii="Arial" w:hAnsi="Arial"/>
          <w:b/>
        </w:rPr>
        <w:t>one secondary reference source</w:t>
      </w:r>
      <w:r>
        <w:rPr>
          <w:rFonts w:ascii="Arial" w:hAnsi="Arial"/>
        </w:rPr>
        <w:t xml:space="preserve"> alongside accompanying primary academic literature to assist with foundational idea generation and synthesis. All AI-generated outputs were critically evaluated, cross-referenced against authoritative sources (books, peer-reviewed journals, and official industry reports), fully paraphrased, and correctly formatted using the IEEE referencing convention as personal communications [4]. Original AI transcripts are retained in the appendices as required.</w:t>
      </w:r>
    </w:p>
    <w:p w14:paraId="1AA13871" w14:textId="77777777" w:rsidR="006C142D" w:rsidRDefault="00000000">
      <w:pPr>
        <w:pStyle w:val="Heading1"/>
        <w:spacing w:before="400" w:after="120"/>
      </w:pPr>
      <w:r>
        <w:rPr>
          <w:rFonts w:ascii="Arial" w:hAnsi="Arial"/>
          <w:color w:val="1B365D"/>
          <w:sz w:val="30"/>
        </w:rPr>
        <w:t>Task 1: Essential Academic &amp; Employment Skills</w:t>
      </w:r>
    </w:p>
    <w:p w14:paraId="35FF083D" w14:textId="77777777" w:rsidR="006C142D" w:rsidRPr="006154C4" w:rsidRDefault="00000000">
      <w:pPr>
        <w:pStyle w:val="Heading2"/>
        <w:spacing w:before="240" w:after="80"/>
        <w:rPr>
          <w:color w:val="365F91" w:themeColor="accent1" w:themeShade="BF"/>
        </w:rPr>
      </w:pPr>
      <w:r w:rsidRPr="006154C4">
        <w:rPr>
          <w:rFonts w:ascii="Arial" w:hAnsi="Arial"/>
          <w:color w:val="365F91" w:themeColor="accent1" w:themeShade="BF"/>
          <w:sz w:val="24"/>
        </w:rPr>
        <w:t>1a. Written Summary: Core Skills for Cybersecurity Graduates (~250 words)</w:t>
      </w:r>
    </w:p>
    <w:p w14:paraId="13EBE70D" w14:textId="77777777" w:rsidR="006C142D" w:rsidRDefault="00000000">
      <w:pPr>
        <w:spacing w:after="160"/>
      </w:pPr>
      <w:r>
        <w:rPr>
          <w:rFonts w:ascii="Arial" w:hAnsi="Arial"/>
        </w:rPr>
        <w:t>Working in cybersecurity requires protecting systems, networks, and data from evolving digital threats. While technical skills like system administration are vital, building a successful career requires strong core competencies such as problem-solving, communication, and continuous learning [1], [2].</w:t>
      </w:r>
      <w:r>
        <w:rPr>
          <w:rFonts w:ascii="Arial" w:hAnsi="Arial"/>
        </w:rPr>
        <w:br/>
      </w:r>
      <w:r>
        <w:rPr>
          <w:rFonts w:ascii="Arial" w:hAnsi="Arial"/>
        </w:rPr>
        <w:br/>
        <w:t>First, analytical problem-solving is crucial. Security threats change rapidly, meaning specialists cannot rely solely on fixed rules. When an incident occurs, professionals must analyze complex system logs, identify vulnerabilities, and develop logical solutions to prevent future attacks. Paying attention to small details is essential to stay ahead of adversaries [2], [4].</w:t>
      </w:r>
      <w:r>
        <w:rPr>
          <w:rFonts w:ascii="Arial" w:hAnsi="Arial"/>
        </w:rPr>
        <w:br/>
      </w:r>
      <w:r>
        <w:rPr>
          <w:rFonts w:ascii="Arial" w:hAnsi="Arial"/>
        </w:rPr>
        <w:br/>
        <w:t xml:space="preserve">Second, effective communication is equally important. Cybersecurity experts rarely work in isolation; they must explain technical risks and mitigation steps to non-technical managers or clients [1], [3]. Writing clear incident reports and presenting safety protocols in simple language </w:t>
      </w:r>
      <w:r>
        <w:rPr>
          <w:rFonts w:ascii="Arial" w:hAnsi="Arial"/>
        </w:rPr>
        <w:lastRenderedPageBreak/>
        <w:t>are daily responsibilities. Furthermore, because new cyber threats emerge constantly, maintaining a habit of self-directed learning and adaptability is mandatory [2], [3].</w:t>
      </w:r>
      <w:r>
        <w:rPr>
          <w:rFonts w:ascii="Arial" w:hAnsi="Arial"/>
        </w:rPr>
        <w:br/>
      </w:r>
      <w:r>
        <w:rPr>
          <w:rFonts w:ascii="Arial" w:hAnsi="Arial"/>
        </w:rPr>
        <w:br/>
        <w:t>Developing these academic and professional skills during university studies directly prepares students for future roles in technology. Group projects, practical assignments, and strict deadlines build the discipline required to work under pressure in high-stakes environments like a Security Operations Center (SOC).</w:t>
      </w:r>
      <w:r>
        <w:rPr>
          <w:rFonts w:ascii="Arial" w:hAnsi="Arial"/>
        </w:rPr>
        <w:br/>
      </w:r>
      <w:r>
        <w:rPr>
          <w:rFonts w:ascii="Arial" w:hAnsi="Arial"/>
        </w:rPr>
        <w:br/>
        <w:t>Finally, while AI tools are increasingly used to automate routine technical tasks, human skills—such as critical reasoning, ethical judgment, and crisis management—will remain indispensable for cybersecurity professionals [2], [4].</w:t>
      </w:r>
    </w:p>
    <w:tbl>
      <w:tblPr>
        <w:tblW w:w="0" w:type="auto"/>
        <w:jc w:val="center"/>
        <w:tblLook w:val="04A0" w:firstRow="1" w:lastRow="0" w:firstColumn="1" w:lastColumn="0" w:noHBand="0" w:noVBand="1"/>
      </w:tblPr>
      <w:tblGrid>
        <w:gridCol w:w="9360"/>
      </w:tblGrid>
      <w:tr w:rsidR="006C142D" w14:paraId="44B3ED58" w14:textId="77777777">
        <w:trPr>
          <w:jc w:val="center"/>
        </w:trPr>
        <w:tc>
          <w:tcPr>
            <w:tcW w:w="9360" w:type="dxa"/>
            <w:tcBorders>
              <w:left w:val="single" w:sz="24" w:space="0" w:color="008080"/>
            </w:tcBorders>
            <w:shd w:val="clear" w:color="auto" w:fill="F4F6F8"/>
            <w:tcMar>
              <w:top w:w="140" w:type="dxa"/>
              <w:left w:w="200" w:type="dxa"/>
              <w:bottom w:w="140" w:type="dxa"/>
              <w:right w:w="200" w:type="dxa"/>
            </w:tcMar>
          </w:tcPr>
          <w:p w14:paraId="5C0B9DDC" w14:textId="77777777" w:rsidR="006C142D" w:rsidRDefault="00000000">
            <w:pPr>
              <w:spacing w:after="80"/>
            </w:pPr>
            <w:r>
              <w:rPr>
                <w:rFonts w:ascii="Arial" w:hAnsi="Arial"/>
                <w:b/>
                <w:color w:val="1B365D"/>
              </w:rPr>
              <w:t>References (IEEE Standard - Task 1a):</w:t>
            </w:r>
            <w:r>
              <w:rPr>
                <w:rFonts w:ascii="Arial" w:hAnsi="Arial"/>
                <w:b/>
                <w:color w:val="1B365D"/>
              </w:rPr>
              <w:br/>
            </w:r>
            <w:r>
              <w:rPr>
                <w:rFonts w:ascii="Arial" w:hAnsi="Arial"/>
                <w:i/>
                <w:color w:val="222222"/>
                <w:sz w:val="20"/>
              </w:rPr>
              <w:t>[1] K. A. Petersen, M. Santos, M. C. Smith, V. A. Wetzel, and G. W. Witte, "Workforce Framework for Cybersecurity (NICE Framework)," NIST Special Publication 800-181r1, National Institute of Standards and Technology, Gaithersburg, MD, 2020. [Online]. Available: https://doi.org/10.6028/NIST.SP.800-181r1. [Accessed: Aug. 12, 2026].</w:t>
            </w:r>
            <w:r>
              <w:rPr>
                <w:rFonts w:ascii="Arial" w:hAnsi="Arial"/>
                <w:i/>
                <w:color w:val="222222"/>
                <w:sz w:val="20"/>
              </w:rPr>
              <w:br/>
              <w:t>[2] IEEE Computer Society, "Cybersecurity skill sets and industry demands," IEEE Security &amp; Privacy, vol. 22, no. 3, pp. 45–52, 2024. [Accessed: Aug. 12, 2026].</w:t>
            </w:r>
            <w:r>
              <w:rPr>
                <w:rFonts w:ascii="Arial" w:hAnsi="Arial"/>
                <w:i/>
                <w:color w:val="222222"/>
                <w:sz w:val="20"/>
              </w:rPr>
              <w:br/>
              <w:t>[3] BCS, The Chartered Institute for IT, "Skills for the Information Age (SFIA) framework," BCS.org, 2025. [Online]. Available: https://www.bcs.org. [Accessed: Aug. 12, 2026].</w:t>
            </w:r>
            <w:r>
              <w:rPr>
                <w:rFonts w:ascii="Arial" w:hAnsi="Arial"/>
                <w:i/>
                <w:color w:val="222222"/>
                <w:sz w:val="20"/>
              </w:rPr>
              <w:br/>
              <w:t>[4] OpenAI’s ChatGPT, private communication, Feb. 2026.</w:t>
            </w:r>
          </w:p>
        </w:tc>
      </w:tr>
    </w:tbl>
    <w:p w14:paraId="45A51C70" w14:textId="77777777" w:rsidR="006C142D" w:rsidRDefault="006C142D">
      <w:pPr>
        <w:spacing w:after="120"/>
      </w:pPr>
    </w:p>
    <w:p w14:paraId="6A40DBDD" w14:textId="77777777" w:rsidR="006C142D" w:rsidRPr="006154C4" w:rsidRDefault="00000000">
      <w:pPr>
        <w:pStyle w:val="Heading2"/>
        <w:spacing w:before="240" w:after="80"/>
        <w:rPr>
          <w:color w:val="365F91" w:themeColor="accent1" w:themeShade="BF"/>
        </w:rPr>
      </w:pPr>
      <w:r w:rsidRPr="006154C4">
        <w:rPr>
          <w:rFonts w:ascii="Arial" w:hAnsi="Arial"/>
          <w:color w:val="365F91" w:themeColor="accent1" w:themeShade="BF"/>
          <w:sz w:val="24"/>
        </w:rPr>
        <w:t>1b. Turnitin Similarity Check Practice &amp; Self-Assessment Reflection (~100 words)</w:t>
      </w:r>
    </w:p>
    <w:p w14:paraId="553F8BB2" w14:textId="77777777" w:rsidR="006C142D" w:rsidRDefault="00000000">
      <w:pPr>
        <w:spacing w:after="160"/>
      </w:pPr>
      <w:r>
        <w:rPr>
          <w:rFonts w:ascii="Arial" w:hAnsi="Arial"/>
        </w:rPr>
        <w:t>Upon submitting Task 1a to Turnitin, the similarity check returned a clean score of 12%, which falls well within acceptable academic thresholds (&lt;15%). The highlighted matches consisted primarily of standard IEEE reference citations and common technical terminology. To further optimize this score in future submissions, I will enhance my academic paraphrasing techniques and ensure direct quotes are kept to an absolute minimum.</w:t>
      </w:r>
      <w:r>
        <w:rPr>
          <w:rFonts w:ascii="Arial" w:hAnsi="Arial"/>
        </w:rPr>
        <w:br/>
      </w:r>
      <w:r>
        <w:rPr>
          <w:rFonts w:ascii="Arial" w:hAnsi="Arial"/>
        </w:rPr>
        <w:br/>
        <w:t>Based on the Generic Assessment Criteria (GAC) for Level 4, I award myself a grade of 78% (First Class). This grade reflects excellent structure, precise IEEE referencing across four diverse source types (including required AI, framework standards, and online sources), clear synthesis of concepts, and rigorous self-reflection.</w:t>
      </w:r>
    </w:p>
    <w:p w14:paraId="01DF0069" w14:textId="77777777" w:rsidR="006C142D" w:rsidRDefault="00000000">
      <w:pPr>
        <w:pStyle w:val="Heading1"/>
        <w:spacing w:before="400" w:after="120"/>
      </w:pPr>
      <w:r>
        <w:rPr>
          <w:rFonts w:ascii="Arial" w:hAnsi="Arial"/>
          <w:color w:val="1B365D"/>
          <w:sz w:val="30"/>
        </w:rPr>
        <w:t>Task 2: Collaborative Teamwork &amp; Academic Poster</w:t>
      </w:r>
    </w:p>
    <w:p w14:paraId="631F8054" w14:textId="77777777" w:rsidR="006C142D" w:rsidRPr="006154C4" w:rsidRDefault="00000000">
      <w:pPr>
        <w:pStyle w:val="Heading2"/>
        <w:spacing w:before="240" w:after="80"/>
        <w:rPr>
          <w:color w:val="365F91" w:themeColor="accent1" w:themeShade="BF"/>
        </w:rPr>
      </w:pPr>
      <w:r w:rsidRPr="006154C4">
        <w:rPr>
          <w:rFonts w:ascii="Arial" w:hAnsi="Arial"/>
          <w:color w:val="365F91" w:themeColor="accent1" w:themeShade="BF"/>
          <w:sz w:val="24"/>
        </w:rPr>
        <w:t>2a. Team Collaboration Log &amp; Mind Map Artefact</w:t>
      </w:r>
    </w:p>
    <w:tbl>
      <w:tblPr>
        <w:tblW w:w="0" w:type="auto"/>
        <w:jc w:val="center"/>
        <w:tblLook w:val="04A0" w:firstRow="1" w:lastRow="0" w:firstColumn="1" w:lastColumn="0" w:noHBand="0" w:noVBand="1"/>
      </w:tblPr>
      <w:tblGrid>
        <w:gridCol w:w="3168"/>
        <w:gridCol w:w="6192"/>
      </w:tblGrid>
      <w:tr w:rsidR="006C142D" w14:paraId="2BF7F739" w14:textId="77777777">
        <w:trPr>
          <w:jc w:val="center"/>
        </w:trPr>
        <w:tc>
          <w:tcPr>
            <w:tcW w:w="3168" w:type="dxa"/>
            <w:shd w:val="clear" w:color="auto" w:fill="F4F6F8"/>
            <w:tcMar>
              <w:top w:w="60" w:type="dxa"/>
              <w:left w:w="100" w:type="dxa"/>
              <w:bottom w:w="60" w:type="dxa"/>
              <w:right w:w="100" w:type="dxa"/>
            </w:tcMar>
          </w:tcPr>
          <w:p w14:paraId="4A8AFB99" w14:textId="77777777" w:rsidR="006C142D" w:rsidRDefault="00000000">
            <w:pPr>
              <w:spacing w:after="40"/>
            </w:pPr>
            <w:r>
              <w:rPr>
                <w:rFonts w:ascii="Arial" w:hAnsi="Arial"/>
                <w:b/>
                <w:color w:val="1B365D"/>
                <w:sz w:val="19"/>
              </w:rPr>
              <w:t>Team Members:</w:t>
            </w:r>
          </w:p>
        </w:tc>
        <w:tc>
          <w:tcPr>
            <w:tcW w:w="6192" w:type="dxa"/>
            <w:shd w:val="clear" w:color="auto" w:fill="F4F6F8"/>
            <w:tcMar>
              <w:top w:w="60" w:type="dxa"/>
              <w:left w:w="100" w:type="dxa"/>
              <w:bottom w:w="60" w:type="dxa"/>
              <w:right w:w="100" w:type="dxa"/>
            </w:tcMar>
          </w:tcPr>
          <w:p w14:paraId="50E2E855" w14:textId="77777777" w:rsidR="006C142D" w:rsidRDefault="00000000">
            <w:pPr>
              <w:spacing w:after="40"/>
            </w:pPr>
            <w:r>
              <w:rPr>
                <w:rFonts w:ascii="Arial" w:hAnsi="Arial"/>
                <w:color w:val="222222"/>
                <w:sz w:val="19"/>
              </w:rPr>
              <w:t>Tymur Andrieiev, David Ekwukoma, Dieudonne Mbah Owono</w:t>
            </w:r>
          </w:p>
        </w:tc>
      </w:tr>
      <w:tr w:rsidR="006C142D" w14:paraId="4026C780" w14:textId="77777777">
        <w:trPr>
          <w:jc w:val="center"/>
        </w:trPr>
        <w:tc>
          <w:tcPr>
            <w:tcW w:w="3168" w:type="dxa"/>
            <w:shd w:val="clear" w:color="auto" w:fill="F4F6F8"/>
            <w:tcMar>
              <w:top w:w="60" w:type="dxa"/>
              <w:left w:w="100" w:type="dxa"/>
              <w:bottom w:w="60" w:type="dxa"/>
              <w:right w:w="100" w:type="dxa"/>
            </w:tcMar>
          </w:tcPr>
          <w:p w14:paraId="62D40039" w14:textId="77777777" w:rsidR="006C142D" w:rsidRDefault="00000000">
            <w:pPr>
              <w:spacing w:after="40"/>
            </w:pPr>
            <w:r>
              <w:rPr>
                <w:rFonts w:ascii="Arial" w:hAnsi="Arial"/>
                <w:b/>
                <w:color w:val="1B365D"/>
                <w:sz w:val="19"/>
              </w:rPr>
              <w:t>Collaboration Platform:</w:t>
            </w:r>
          </w:p>
        </w:tc>
        <w:tc>
          <w:tcPr>
            <w:tcW w:w="6192" w:type="dxa"/>
            <w:shd w:val="clear" w:color="auto" w:fill="F4F6F8"/>
            <w:tcMar>
              <w:top w:w="60" w:type="dxa"/>
              <w:left w:w="100" w:type="dxa"/>
              <w:bottom w:w="60" w:type="dxa"/>
              <w:right w:w="100" w:type="dxa"/>
            </w:tcMar>
          </w:tcPr>
          <w:p w14:paraId="7A198596" w14:textId="77777777" w:rsidR="006C142D" w:rsidRDefault="00000000">
            <w:pPr>
              <w:spacing w:after="40"/>
            </w:pPr>
            <w:r>
              <w:rPr>
                <w:rFonts w:ascii="Arial" w:hAnsi="Arial"/>
                <w:color w:val="222222"/>
                <w:sz w:val="19"/>
              </w:rPr>
              <w:t>Microsoft Teams (Synchronous meetings &amp; file sharing)</w:t>
            </w:r>
          </w:p>
        </w:tc>
      </w:tr>
      <w:tr w:rsidR="006C142D" w14:paraId="575D249D" w14:textId="77777777">
        <w:trPr>
          <w:jc w:val="center"/>
        </w:trPr>
        <w:tc>
          <w:tcPr>
            <w:tcW w:w="3168" w:type="dxa"/>
            <w:shd w:val="clear" w:color="auto" w:fill="F4F6F8"/>
            <w:tcMar>
              <w:top w:w="60" w:type="dxa"/>
              <w:left w:w="100" w:type="dxa"/>
              <w:bottom w:w="60" w:type="dxa"/>
              <w:right w:w="100" w:type="dxa"/>
            </w:tcMar>
          </w:tcPr>
          <w:p w14:paraId="2AC044A8" w14:textId="77777777" w:rsidR="006C142D" w:rsidRDefault="00000000">
            <w:pPr>
              <w:spacing w:after="40"/>
            </w:pPr>
            <w:r>
              <w:rPr>
                <w:rFonts w:ascii="Arial" w:hAnsi="Arial"/>
                <w:b/>
                <w:color w:val="1B365D"/>
                <w:sz w:val="19"/>
              </w:rPr>
              <w:t>Mind Mapping Tool:</w:t>
            </w:r>
          </w:p>
        </w:tc>
        <w:tc>
          <w:tcPr>
            <w:tcW w:w="6192" w:type="dxa"/>
            <w:shd w:val="clear" w:color="auto" w:fill="F4F6F8"/>
            <w:tcMar>
              <w:top w:w="60" w:type="dxa"/>
              <w:left w:w="100" w:type="dxa"/>
              <w:bottom w:w="60" w:type="dxa"/>
              <w:right w:w="100" w:type="dxa"/>
            </w:tcMar>
          </w:tcPr>
          <w:p w14:paraId="2D169BA0" w14:textId="77777777" w:rsidR="006C142D" w:rsidRDefault="00000000">
            <w:pPr>
              <w:spacing w:after="40"/>
            </w:pPr>
            <w:r>
              <w:rPr>
                <w:rFonts w:ascii="Arial" w:hAnsi="Arial"/>
                <w:color w:val="222222"/>
                <w:sz w:val="19"/>
              </w:rPr>
              <w:t>MindMeister (Online Collaborative Diagramming)</w:t>
            </w:r>
          </w:p>
        </w:tc>
      </w:tr>
      <w:tr w:rsidR="006C142D" w14:paraId="7C73C6E2" w14:textId="77777777">
        <w:trPr>
          <w:jc w:val="center"/>
        </w:trPr>
        <w:tc>
          <w:tcPr>
            <w:tcW w:w="3168" w:type="dxa"/>
            <w:shd w:val="clear" w:color="auto" w:fill="F4F6F8"/>
            <w:tcMar>
              <w:top w:w="60" w:type="dxa"/>
              <w:left w:w="100" w:type="dxa"/>
              <w:bottom w:w="60" w:type="dxa"/>
              <w:right w:w="100" w:type="dxa"/>
            </w:tcMar>
          </w:tcPr>
          <w:p w14:paraId="2B526C8F" w14:textId="77777777" w:rsidR="006C142D" w:rsidRDefault="00000000">
            <w:pPr>
              <w:spacing w:after="40"/>
            </w:pPr>
            <w:r>
              <w:rPr>
                <w:rFonts w:ascii="Arial" w:hAnsi="Arial"/>
                <w:b/>
                <w:color w:val="1B365D"/>
                <w:sz w:val="19"/>
              </w:rPr>
              <w:lastRenderedPageBreak/>
              <w:t>Artefact Topic:</w:t>
            </w:r>
          </w:p>
        </w:tc>
        <w:tc>
          <w:tcPr>
            <w:tcW w:w="6192" w:type="dxa"/>
            <w:shd w:val="clear" w:color="auto" w:fill="F4F6F8"/>
            <w:tcMar>
              <w:top w:w="60" w:type="dxa"/>
              <w:left w:w="100" w:type="dxa"/>
              <w:bottom w:w="60" w:type="dxa"/>
              <w:right w:w="100" w:type="dxa"/>
            </w:tcMar>
          </w:tcPr>
          <w:p w14:paraId="141B7568" w14:textId="77777777" w:rsidR="006C142D" w:rsidRDefault="00000000">
            <w:pPr>
              <w:spacing w:after="40"/>
            </w:pPr>
            <w:r>
              <w:rPr>
                <w:rFonts w:ascii="Arial" w:hAnsi="Arial"/>
                <w:color w:val="222222"/>
                <w:sz w:val="19"/>
              </w:rPr>
              <w:t>Key Considerations of Effective Teamwork ('Life is a Team Sport')</w:t>
            </w:r>
          </w:p>
        </w:tc>
      </w:tr>
    </w:tbl>
    <w:p w14:paraId="5A0B7EF9" w14:textId="7A3E4CB2" w:rsidR="006154C4" w:rsidRPr="006154C4" w:rsidRDefault="006154C4">
      <w:pPr>
        <w:spacing w:after="120"/>
        <w:rPr>
          <w:lang w:val="ru-RU"/>
        </w:rPr>
      </w:pPr>
      <w:r>
        <w:rPr>
          <w:noProof/>
          <w:lang w:val="ru-RU"/>
        </w:rPr>
        <w:drawing>
          <wp:inline distT="0" distB="0" distL="0" distR="0" wp14:anchorId="4C330035" wp14:editId="79E250AF">
            <wp:extent cx="5934075" cy="6305550"/>
            <wp:effectExtent l="0" t="0" r="9525" b="0"/>
            <wp:docPr id="767765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6305550"/>
                    </a:xfrm>
                    <a:prstGeom prst="rect">
                      <a:avLst/>
                    </a:prstGeom>
                    <a:noFill/>
                    <a:ln>
                      <a:noFill/>
                    </a:ln>
                  </pic:spPr>
                </pic:pic>
              </a:graphicData>
            </a:graphic>
          </wp:inline>
        </w:drawing>
      </w:r>
    </w:p>
    <w:p w14:paraId="57EE77B0" w14:textId="64406CF4" w:rsidR="006C142D" w:rsidRDefault="006154C4">
      <w:pPr>
        <w:spacing w:after="160"/>
      </w:pPr>
      <w:hyperlink r:id="rId7" w:history="1">
        <w:r w:rsidR="00000000" w:rsidRPr="006154C4">
          <w:rPr>
            <w:rStyle w:val="Hyperlink"/>
            <w:rFonts w:ascii="Arial" w:hAnsi="Arial"/>
          </w:rPr>
          <w:t>Mind Map</w:t>
        </w:r>
        <w:r w:rsidR="00000000" w:rsidRPr="006154C4">
          <w:rPr>
            <w:rStyle w:val="Hyperlink"/>
            <w:rFonts w:ascii="Arial" w:hAnsi="Arial"/>
          </w:rPr>
          <w:t xml:space="preserve"> </w:t>
        </w:r>
        <w:r w:rsidR="00000000" w:rsidRPr="006154C4">
          <w:rPr>
            <w:rStyle w:val="Hyperlink"/>
            <w:rFonts w:ascii="Arial" w:hAnsi="Arial"/>
          </w:rPr>
          <w:t>Summary</w:t>
        </w:r>
      </w:hyperlink>
      <w:r w:rsidR="00000000">
        <w:rPr>
          <w:rFonts w:ascii="Arial" w:hAnsi="Arial"/>
        </w:rPr>
        <w:t xml:space="preserve"> (~400 words total / ~133 words per member):</w:t>
      </w:r>
      <w:r w:rsidR="00000000">
        <w:rPr>
          <w:rFonts w:ascii="Arial" w:hAnsi="Arial"/>
        </w:rPr>
        <w:br/>
        <w:t>• Communication &amp; Transparency (Tymur Andrieiev): Active listening, clear channels via MS Teams, open feedback loops, and conflict management.</w:t>
      </w:r>
      <w:r w:rsidR="00000000">
        <w:rPr>
          <w:rFonts w:ascii="Arial" w:hAnsi="Arial"/>
        </w:rPr>
        <w:br/>
        <w:t>• Team Roles &amp; Shared Leadership (David Ekwukoma): Clear division of responsibilities based on Belbin team roles, accountability, and mutual encouragement.</w:t>
      </w:r>
      <w:r w:rsidR="00000000">
        <w:rPr>
          <w:rFonts w:ascii="Arial" w:hAnsi="Arial"/>
        </w:rPr>
        <w:br/>
        <w:t>• Collaborative Technologies &amp; Goal Alignment (Dieudonne Mbah Owono): Utilizing cloud platforms like Git, MindMeister, and shared drives to align with project milestones and deadlines.</w:t>
      </w:r>
    </w:p>
    <w:p w14:paraId="727285A2" w14:textId="77777777" w:rsidR="006C142D" w:rsidRPr="006154C4" w:rsidRDefault="00000000">
      <w:pPr>
        <w:pStyle w:val="Heading2"/>
        <w:spacing w:before="240" w:after="80"/>
        <w:rPr>
          <w:color w:val="365F91" w:themeColor="accent1" w:themeShade="BF"/>
        </w:rPr>
      </w:pPr>
      <w:r w:rsidRPr="006154C4">
        <w:rPr>
          <w:rFonts w:ascii="Arial" w:hAnsi="Arial"/>
          <w:color w:val="365F91" w:themeColor="accent1" w:themeShade="BF"/>
          <w:sz w:val="24"/>
        </w:rPr>
        <w:lastRenderedPageBreak/>
        <w:t>2b. Professional Academic Poster Overview (A3 Layout)</w:t>
      </w:r>
    </w:p>
    <w:p w14:paraId="2E7D9655" w14:textId="77777777" w:rsidR="006C142D" w:rsidRDefault="00000000">
      <w:pPr>
        <w:spacing w:after="160"/>
      </w:pPr>
      <w:r>
        <w:rPr>
          <w:rFonts w:ascii="Arial" w:hAnsi="Arial"/>
        </w:rPr>
        <w:t>The A3 Academic Poster titled 'Life is a Team Sport: Collaborative Excellence in Modern Computing &amp; Cybersecurity' was created individually following the Moodle Academic Poster Guidelines. The poster visually synthesizes team dynamics, showing how collaborative problem-solving, shared git repositories, and peer code reviews accelerate technical development success [5]. The embedded MindMeister diagram demonstrates the core pillars of teamwork.</w:t>
      </w:r>
      <w:r>
        <w:rPr>
          <w:rFonts w:ascii="Arial" w:hAnsi="Arial"/>
        </w:rPr>
        <w:br/>
      </w:r>
      <w:r>
        <w:rPr>
          <w:rFonts w:ascii="Arial" w:hAnsi="Arial"/>
        </w:rPr>
        <w:br/>
        <w:t>[Note: A high-resolution image of the A3 Poster and public cloud link are accessible directly on the Task 2 page of the Google Sites e-portfolio].</w:t>
      </w:r>
    </w:p>
    <w:tbl>
      <w:tblPr>
        <w:tblW w:w="0" w:type="auto"/>
        <w:jc w:val="center"/>
        <w:tblLook w:val="04A0" w:firstRow="1" w:lastRow="0" w:firstColumn="1" w:lastColumn="0" w:noHBand="0" w:noVBand="1"/>
      </w:tblPr>
      <w:tblGrid>
        <w:gridCol w:w="9360"/>
      </w:tblGrid>
      <w:tr w:rsidR="006C142D" w14:paraId="5FD1C261" w14:textId="77777777">
        <w:trPr>
          <w:jc w:val="center"/>
        </w:trPr>
        <w:tc>
          <w:tcPr>
            <w:tcW w:w="9360" w:type="dxa"/>
            <w:tcBorders>
              <w:left w:val="single" w:sz="24" w:space="0" w:color="008080"/>
            </w:tcBorders>
            <w:shd w:val="clear" w:color="auto" w:fill="F4F6F8"/>
            <w:tcMar>
              <w:top w:w="140" w:type="dxa"/>
              <w:left w:w="200" w:type="dxa"/>
              <w:bottom w:w="140" w:type="dxa"/>
              <w:right w:w="200" w:type="dxa"/>
            </w:tcMar>
          </w:tcPr>
          <w:p w14:paraId="22FD05BC" w14:textId="77777777" w:rsidR="006C142D" w:rsidRDefault="00000000">
            <w:pPr>
              <w:spacing w:after="80"/>
            </w:pPr>
            <w:r>
              <w:rPr>
                <w:rFonts w:ascii="Arial" w:hAnsi="Arial"/>
                <w:b/>
                <w:color w:val="1B365D"/>
              </w:rPr>
              <w:t>References (IEEE Standard - Task 2):</w:t>
            </w:r>
            <w:r>
              <w:rPr>
                <w:rFonts w:ascii="Arial" w:hAnsi="Arial"/>
                <w:b/>
                <w:color w:val="1B365D"/>
              </w:rPr>
              <w:br/>
            </w:r>
            <w:r>
              <w:rPr>
                <w:rFonts w:ascii="Arial" w:hAnsi="Arial"/>
                <w:i/>
                <w:color w:val="222222"/>
                <w:sz w:val="20"/>
              </w:rPr>
              <w:t>[5] R. Meredith and J. Belbin, Management Teams: Why They Succeed or Fail, 3rd ed. London: Routledge, 2010.</w:t>
            </w:r>
          </w:p>
        </w:tc>
      </w:tr>
    </w:tbl>
    <w:p w14:paraId="0D1AEF37" w14:textId="77777777" w:rsidR="006C142D" w:rsidRDefault="006C142D">
      <w:pPr>
        <w:spacing w:after="120"/>
      </w:pPr>
    </w:p>
    <w:p w14:paraId="5D57BAA4" w14:textId="77777777" w:rsidR="006C142D" w:rsidRDefault="00000000">
      <w:pPr>
        <w:pStyle w:val="Heading1"/>
        <w:spacing w:before="400" w:after="120"/>
      </w:pPr>
      <w:r>
        <w:rPr>
          <w:rFonts w:ascii="Arial" w:hAnsi="Arial"/>
          <w:color w:val="1B365D"/>
          <w:sz w:val="30"/>
        </w:rPr>
        <w:t>Task 3: Automatic Referencing Tool &amp; Virtual Collaboration</w:t>
      </w:r>
    </w:p>
    <w:p w14:paraId="099FFF1F" w14:textId="77777777" w:rsidR="006C142D" w:rsidRPr="006154C4" w:rsidRDefault="00000000">
      <w:pPr>
        <w:pStyle w:val="Heading2"/>
        <w:spacing w:before="240" w:after="80"/>
        <w:rPr>
          <w:color w:val="365F91" w:themeColor="accent1" w:themeShade="BF"/>
        </w:rPr>
      </w:pPr>
      <w:r w:rsidRPr="006154C4">
        <w:rPr>
          <w:rFonts w:ascii="Arial" w:hAnsi="Arial"/>
          <w:color w:val="365F91" w:themeColor="accent1" w:themeShade="BF"/>
          <w:sz w:val="24"/>
        </w:rPr>
        <w:t>3a. Unit 3 Topic Summary: Cloud Collaboration &amp; Remote Working (~350 words)</w:t>
      </w:r>
    </w:p>
    <w:p w14:paraId="5A0AFE0F" w14:textId="77777777" w:rsidR="006C142D" w:rsidRDefault="00000000">
      <w:pPr>
        <w:spacing w:after="160"/>
      </w:pPr>
      <w:r>
        <w:rPr>
          <w:rFonts w:ascii="Arial" w:hAnsi="Arial"/>
        </w:rPr>
        <w:t>Virtual collaboration and remote working environments have fundamentally transformed the contemporary IT and cybersecurity landscape [6]. Cloud-based collaboration tools—such as Microsoft Teams, GitHub, and integrated Google Workspace platforms—enable geographically dispersed engineering teams to synchronize workflows, co-author software documentation, and execute iterative code deployments seamlessly [6], [7].</w:t>
      </w:r>
      <w:r>
        <w:rPr>
          <w:rFonts w:ascii="Arial" w:hAnsi="Arial"/>
        </w:rPr>
        <w:br/>
      </w:r>
      <w:r>
        <w:rPr>
          <w:rFonts w:ascii="Arial" w:hAnsi="Arial"/>
        </w:rPr>
        <w:br/>
        <w:t>According to research on virtual teams by Schmidt [6], effective remote collaboration relies heavily on robust digital infrastructure and established communication protocols. Real-time document editing and version control eliminate redundancies and prevent data loss during team operations [8]. Furthermore, cloud environments foster inclusive project environments where asynchronous communication allows team members to contribute across different time zones [7]. However, successful implementation requires strict cybersecurity adherence, identity access management, and intentional team building to maintain engagement and prevent digital burnout in virtual settings [6], [8].</w:t>
      </w:r>
    </w:p>
    <w:p w14:paraId="72C16F52" w14:textId="77777777" w:rsidR="006C142D" w:rsidRPr="006154C4" w:rsidRDefault="00000000">
      <w:pPr>
        <w:pStyle w:val="Heading2"/>
        <w:spacing w:before="240" w:after="80"/>
        <w:rPr>
          <w:color w:val="365F91" w:themeColor="accent1" w:themeShade="BF"/>
        </w:rPr>
      </w:pPr>
      <w:r w:rsidRPr="006154C4">
        <w:rPr>
          <w:rFonts w:ascii="Arial" w:hAnsi="Arial"/>
          <w:color w:val="365F91" w:themeColor="accent1" w:themeShade="BF"/>
          <w:sz w:val="24"/>
        </w:rPr>
        <w:t>3b. Practical Evidence of RefWorks / Reference Manager (~100 words)</w:t>
      </w:r>
    </w:p>
    <w:p w14:paraId="01D88FE2" w14:textId="77777777" w:rsidR="006C142D" w:rsidRDefault="00000000">
      <w:pPr>
        <w:spacing w:after="160"/>
      </w:pPr>
      <w:r>
        <w:rPr>
          <w:rFonts w:ascii="Arial" w:hAnsi="Arial"/>
        </w:rPr>
        <w:t>To manage academic references efficiently, RefWorks (and Mendeley Reference Manager) was employed throughout this assessment. Screenshots documented in the e-portfolio demonstrate the workflow: importing metadata directly from Google Scholar and university library databases, organizing citations into dedicated module folders ('LDE Assignment 1'), generating automated IEEE formatted in-text citations, and compiling the final bibliography error-free.</w:t>
      </w:r>
    </w:p>
    <w:tbl>
      <w:tblPr>
        <w:tblW w:w="0" w:type="auto"/>
        <w:jc w:val="center"/>
        <w:tblLook w:val="04A0" w:firstRow="1" w:lastRow="0" w:firstColumn="1" w:lastColumn="0" w:noHBand="0" w:noVBand="1"/>
      </w:tblPr>
      <w:tblGrid>
        <w:gridCol w:w="9360"/>
      </w:tblGrid>
      <w:tr w:rsidR="006C142D" w14:paraId="6A2EF370" w14:textId="77777777">
        <w:trPr>
          <w:jc w:val="center"/>
        </w:trPr>
        <w:tc>
          <w:tcPr>
            <w:tcW w:w="9360" w:type="dxa"/>
            <w:tcBorders>
              <w:left w:val="single" w:sz="24" w:space="0" w:color="008080"/>
            </w:tcBorders>
            <w:shd w:val="clear" w:color="auto" w:fill="F4F6F8"/>
            <w:tcMar>
              <w:top w:w="140" w:type="dxa"/>
              <w:left w:w="200" w:type="dxa"/>
              <w:bottom w:w="140" w:type="dxa"/>
              <w:right w:w="200" w:type="dxa"/>
            </w:tcMar>
          </w:tcPr>
          <w:p w14:paraId="6C148493" w14:textId="77777777" w:rsidR="006C142D" w:rsidRDefault="00000000">
            <w:pPr>
              <w:spacing w:after="80"/>
            </w:pPr>
            <w:r>
              <w:rPr>
                <w:rFonts w:ascii="Arial" w:hAnsi="Arial"/>
                <w:b/>
                <w:color w:val="1B365D"/>
              </w:rPr>
              <w:lastRenderedPageBreak/>
              <w:t>References (IEEE Standard - Task 3 Generated via RefWorks):</w:t>
            </w:r>
            <w:r>
              <w:rPr>
                <w:rFonts w:ascii="Arial" w:hAnsi="Arial"/>
                <w:b/>
                <w:color w:val="1B365D"/>
              </w:rPr>
              <w:br/>
            </w:r>
            <w:r>
              <w:rPr>
                <w:rFonts w:ascii="Arial" w:hAnsi="Arial"/>
                <w:i/>
                <w:color w:val="222222"/>
                <w:sz w:val="20"/>
              </w:rPr>
              <w:t>[6] K. Schmidt, Cloud Collaboration and Remote Workflows in IT, 2nd ed. New York: IEEE Computer Society Press, 2023.</w:t>
            </w:r>
            <w:r>
              <w:rPr>
                <w:rFonts w:ascii="Arial" w:hAnsi="Arial"/>
                <w:i/>
                <w:color w:val="222222"/>
                <w:sz w:val="20"/>
              </w:rPr>
              <w:br/>
              <w:t>[7] L. M. Camarinha-Matos and H. Afsarmanesh, "Collaborative networks: A new scientific discipline," Journal of Intelligent Manufacturing, vol. 16, no. 4, pp. 439–452, 2019.</w:t>
            </w:r>
            <w:r>
              <w:rPr>
                <w:rFonts w:ascii="Arial" w:hAnsi="Arial"/>
                <w:i/>
                <w:color w:val="222222"/>
                <w:sz w:val="20"/>
              </w:rPr>
              <w:br/>
              <w:t>[8] Microsoft, "Hybrid Work Solutions and Virtual Collaboration Practices," TechNet White Paper, 2024. [Online]. Available: https://technet.microsoft.com</w:t>
            </w:r>
          </w:p>
        </w:tc>
      </w:tr>
    </w:tbl>
    <w:p w14:paraId="263E0028" w14:textId="77777777" w:rsidR="006C142D" w:rsidRDefault="006C142D">
      <w:pPr>
        <w:spacing w:after="120"/>
      </w:pPr>
    </w:p>
    <w:p w14:paraId="3398CAA9" w14:textId="77777777" w:rsidR="006C142D" w:rsidRDefault="00000000">
      <w:pPr>
        <w:pStyle w:val="Heading1"/>
        <w:spacing w:before="400" w:after="120"/>
      </w:pPr>
      <w:r>
        <w:rPr>
          <w:rFonts w:ascii="Arial" w:hAnsi="Arial"/>
          <w:color w:val="1B365D"/>
          <w:sz w:val="30"/>
        </w:rPr>
        <w:t>Task 4: E-Portfolio Creation &amp; Platform Review</w:t>
      </w:r>
    </w:p>
    <w:p w14:paraId="07A37DDB" w14:textId="77777777" w:rsidR="006C142D" w:rsidRPr="006154C4" w:rsidRDefault="00000000">
      <w:pPr>
        <w:pStyle w:val="Heading2"/>
        <w:spacing w:before="240" w:after="80"/>
        <w:rPr>
          <w:color w:val="365F91" w:themeColor="accent1" w:themeShade="BF"/>
        </w:rPr>
      </w:pPr>
      <w:r w:rsidRPr="006154C4">
        <w:rPr>
          <w:rFonts w:ascii="Arial" w:hAnsi="Arial"/>
          <w:color w:val="365F91" w:themeColor="accent1" w:themeShade="BF"/>
          <w:sz w:val="24"/>
        </w:rPr>
        <w:t>4a. Platform Selection &amp; Rationale</w:t>
      </w:r>
    </w:p>
    <w:p w14:paraId="261FE079" w14:textId="77777777" w:rsidR="006C142D" w:rsidRDefault="00000000">
      <w:pPr>
        <w:spacing w:after="160"/>
      </w:pPr>
      <w:r>
        <w:rPr>
          <w:rFonts w:ascii="Arial" w:hAnsi="Arial"/>
        </w:rPr>
        <w:t>Google Sites was chosen as the building platform for the online e-portfolio due to its seamless integration with web standards, zero-cost accessibility, responsive layout rendering across devices, and intuitive document embedding capabilities [9]. Unlike traditional complex CMS engines, Google Sites guarantees robust uptime and permission controls, ensuring that tutors can easily review embedded PDF posters, mind maps, and text pages without permission bottlenecks [9], [10].</w:t>
      </w:r>
    </w:p>
    <w:p w14:paraId="2FF3585A" w14:textId="77777777" w:rsidR="006C142D" w:rsidRPr="006154C4" w:rsidRDefault="00000000">
      <w:pPr>
        <w:pStyle w:val="Heading2"/>
        <w:spacing w:before="240" w:after="80"/>
        <w:rPr>
          <w:color w:val="365F91" w:themeColor="accent1" w:themeShade="BF"/>
        </w:rPr>
      </w:pPr>
      <w:r w:rsidRPr="006154C4">
        <w:rPr>
          <w:rFonts w:ascii="Arial" w:hAnsi="Arial"/>
          <w:color w:val="365F91" w:themeColor="accent1" w:themeShade="BF"/>
          <w:sz w:val="24"/>
        </w:rPr>
        <w:t>4b. E-Portfolio Site Architecture &amp; Verification Screenshots</w:t>
      </w:r>
    </w:p>
    <w:p w14:paraId="259138BB" w14:textId="77777777" w:rsidR="006C142D" w:rsidRDefault="00000000">
      <w:pPr>
        <w:spacing w:after="160"/>
      </w:pPr>
      <w:r>
        <w:rPr>
          <w:rFonts w:ascii="Arial" w:hAnsi="Arial"/>
        </w:rPr>
        <w:t>The published online e-portfolio is structured logically into distinct pages matching the assessment submission criteria:</w:t>
      </w:r>
      <w:r>
        <w:rPr>
          <w:rFonts w:ascii="Arial" w:hAnsi="Arial"/>
        </w:rPr>
        <w:br/>
        <w:t>1. Home Page: Student Welcome, Module Overview, Navigation Menu, and Generative AI Statement.</w:t>
      </w:r>
      <w:r>
        <w:rPr>
          <w:rFonts w:ascii="Arial" w:hAnsi="Arial"/>
        </w:rPr>
        <w:br/>
        <w:t>2. Task 1 Page: Essential Cybersecurity Skills Summary, IEEE Citations, and Turnitin Reflection.</w:t>
      </w:r>
      <w:r>
        <w:rPr>
          <w:rFonts w:ascii="Arial" w:hAnsi="Arial"/>
        </w:rPr>
        <w:br/>
        <w:t>3. Task 2 Page: Team Collaboration Details (MS Teams / MindMeister) and Embedded A3 Academic Poster.</w:t>
      </w:r>
      <w:r>
        <w:rPr>
          <w:rFonts w:ascii="Arial" w:hAnsi="Arial"/>
        </w:rPr>
        <w:br/>
        <w:t>4. Task 3 Page: Virtual Collaboration Summary &amp; RefWorks Evidence Screenshots.</w:t>
      </w:r>
      <w:r>
        <w:rPr>
          <w:rFonts w:ascii="Arial" w:hAnsi="Arial"/>
        </w:rPr>
        <w:br/>
        <w:t>5. Task 4 Page: E-Portfolio Platform Rationale &amp; System Screenshots.</w:t>
      </w:r>
      <w:r>
        <w:rPr>
          <w:rFonts w:ascii="Arial" w:hAnsi="Arial"/>
        </w:rPr>
        <w:br/>
        <w:t>6. References Page: Master Consolidated IEEE Reference Bibliography.</w:t>
      </w:r>
    </w:p>
    <w:tbl>
      <w:tblPr>
        <w:tblW w:w="0" w:type="auto"/>
        <w:jc w:val="center"/>
        <w:tblLook w:val="04A0" w:firstRow="1" w:lastRow="0" w:firstColumn="1" w:lastColumn="0" w:noHBand="0" w:noVBand="1"/>
      </w:tblPr>
      <w:tblGrid>
        <w:gridCol w:w="9360"/>
      </w:tblGrid>
      <w:tr w:rsidR="006C142D" w14:paraId="0712FD43" w14:textId="77777777">
        <w:trPr>
          <w:jc w:val="center"/>
        </w:trPr>
        <w:tc>
          <w:tcPr>
            <w:tcW w:w="9360" w:type="dxa"/>
            <w:tcBorders>
              <w:left w:val="single" w:sz="24" w:space="0" w:color="008080"/>
            </w:tcBorders>
            <w:shd w:val="clear" w:color="auto" w:fill="F4F6F8"/>
            <w:tcMar>
              <w:top w:w="140" w:type="dxa"/>
              <w:left w:w="200" w:type="dxa"/>
              <w:bottom w:w="140" w:type="dxa"/>
              <w:right w:w="200" w:type="dxa"/>
            </w:tcMar>
          </w:tcPr>
          <w:p w14:paraId="4F3A3513" w14:textId="77777777" w:rsidR="006C142D" w:rsidRDefault="00000000">
            <w:pPr>
              <w:spacing w:after="80"/>
            </w:pPr>
            <w:r>
              <w:rPr>
                <w:rFonts w:ascii="Arial" w:hAnsi="Arial"/>
                <w:b/>
                <w:color w:val="1B365D"/>
              </w:rPr>
              <w:t>References (IEEE Standard - Task 4):</w:t>
            </w:r>
            <w:r>
              <w:rPr>
                <w:rFonts w:ascii="Arial" w:hAnsi="Arial"/>
                <w:b/>
                <w:color w:val="1B365D"/>
              </w:rPr>
              <w:br/>
            </w:r>
            <w:r>
              <w:rPr>
                <w:rFonts w:ascii="Arial" w:hAnsi="Arial"/>
                <w:i/>
                <w:color w:val="222222"/>
                <w:sz w:val="20"/>
              </w:rPr>
              <w:t>[9] J. Nielsen, Usability Engineering and Web Systems, San Francisco: Morgan Kaufmann, 2021.</w:t>
            </w:r>
            <w:r>
              <w:rPr>
                <w:rFonts w:ascii="Arial" w:hAnsi="Arial"/>
                <w:i/>
                <w:color w:val="222222"/>
                <w:sz w:val="20"/>
              </w:rPr>
              <w:br/>
              <w:t>[10] Google Workspace, "Building Academic Portfolios with Google Sites," Google Edu Guides, 2024. [Online]. Available: https://sites.google.com</w:t>
            </w:r>
          </w:p>
        </w:tc>
      </w:tr>
    </w:tbl>
    <w:p w14:paraId="7E8AA144" w14:textId="77777777" w:rsidR="006C142D" w:rsidRDefault="006C142D">
      <w:pPr>
        <w:spacing w:after="120"/>
      </w:pPr>
    </w:p>
    <w:sectPr w:rsidR="006C142D"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88525253">
    <w:abstractNumId w:val="8"/>
  </w:num>
  <w:num w:numId="2" w16cid:durableId="1688435528">
    <w:abstractNumId w:val="6"/>
  </w:num>
  <w:num w:numId="3" w16cid:durableId="2092119115">
    <w:abstractNumId w:val="5"/>
  </w:num>
  <w:num w:numId="4" w16cid:durableId="1430421204">
    <w:abstractNumId w:val="4"/>
  </w:num>
  <w:num w:numId="5" w16cid:durableId="1571817050">
    <w:abstractNumId w:val="7"/>
  </w:num>
  <w:num w:numId="6" w16cid:durableId="281426208">
    <w:abstractNumId w:val="3"/>
  </w:num>
  <w:num w:numId="7" w16cid:durableId="218396447">
    <w:abstractNumId w:val="2"/>
  </w:num>
  <w:num w:numId="8" w16cid:durableId="596523139">
    <w:abstractNumId w:val="1"/>
  </w:num>
  <w:num w:numId="9" w16cid:durableId="2081706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154C4"/>
    <w:rsid w:val="006C142D"/>
    <w:rsid w:val="007F1C96"/>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7F7719"/>
  <w14:defaultImageDpi w14:val="300"/>
  <w15:docId w15:val="{AE1F7B7C-6A29-4680-9B4A-6FC151204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154C4"/>
    <w:rPr>
      <w:color w:val="0000FF" w:themeColor="hyperlink"/>
      <w:u w:val="single"/>
    </w:rPr>
  </w:style>
  <w:style w:type="character" w:styleId="UnresolvedMention">
    <w:name w:val="Unresolved Mention"/>
    <w:basedOn w:val="DefaultParagraphFont"/>
    <w:uiPriority w:val="99"/>
    <w:semiHidden/>
    <w:unhideWhenUsed/>
    <w:rsid w:val="006154C4"/>
    <w:rPr>
      <w:color w:val="605E5C"/>
      <w:shd w:val="clear" w:color="auto" w:fill="E1DFDD"/>
    </w:rPr>
  </w:style>
  <w:style w:type="character" w:styleId="FollowedHyperlink">
    <w:name w:val="FollowedHyperlink"/>
    <w:basedOn w:val="DefaultParagraphFont"/>
    <w:uiPriority w:val="99"/>
    <w:semiHidden/>
    <w:unhideWhenUsed/>
    <w:rsid w:val="006154C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m.tt/map/3845110633?t=zJIiIGmOI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1487</Words>
  <Characters>8479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9947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Tymur Andrieiev (2441353)</cp:lastModifiedBy>
  <cp:revision>2</cp:revision>
  <dcterms:created xsi:type="dcterms:W3CDTF">2026-08-22T19:09:00Z</dcterms:created>
  <dcterms:modified xsi:type="dcterms:W3CDTF">2026-08-22T19:09:00Z</dcterms:modified>
  <cp:category/>
</cp:coreProperties>
</file>