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C4F8A" w14:textId="77777777" w:rsidR="00824E75" w:rsidRDefault="00824E75"/>
    <w:p w14:paraId="5C74428A" w14:textId="77777777" w:rsidR="000D6D21" w:rsidRDefault="000D6D21"/>
    <w:p w14:paraId="73298710" w14:textId="77777777" w:rsidR="000D6D21" w:rsidRDefault="000D6D21"/>
    <w:p w14:paraId="1B2F7656" w14:textId="77777777" w:rsidR="000D6D21" w:rsidRDefault="000D6D21"/>
    <w:p w14:paraId="06DB8F19" w14:textId="77777777" w:rsidR="000D6D21" w:rsidRDefault="000D6D21"/>
    <w:p w14:paraId="300D5AFF" w14:textId="77777777" w:rsidR="000D6D21" w:rsidRDefault="000D6D21"/>
    <w:p w14:paraId="0B68A2DC" w14:textId="77777777" w:rsidR="004916BC" w:rsidRDefault="004916BC" w:rsidP="004916BC">
      <w:pPr>
        <w:spacing w:line="259" w:lineRule="auto"/>
        <w:jc w:val="center"/>
        <w:rPr>
          <w:b/>
          <w:bCs/>
          <w:sz w:val="40"/>
          <w:szCs w:val="36"/>
        </w:rPr>
      </w:pPr>
      <w:r w:rsidRPr="004916BC">
        <w:rPr>
          <w:b/>
          <w:bCs/>
          <w:sz w:val="40"/>
          <w:szCs w:val="36"/>
        </w:rPr>
        <w:t>BMIH5003 Cultural Awareness</w:t>
      </w:r>
    </w:p>
    <w:p w14:paraId="483C8A91" w14:textId="77777777" w:rsidR="004916BC" w:rsidRPr="004916BC" w:rsidRDefault="004916BC" w:rsidP="004916BC">
      <w:pPr>
        <w:spacing w:line="259" w:lineRule="auto"/>
        <w:jc w:val="center"/>
        <w:rPr>
          <w:b/>
          <w:bCs/>
          <w:sz w:val="40"/>
          <w:szCs w:val="36"/>
        </w:rPr>
      </w:pPr>
    </w:p>
    <w:p w14:paraId="559CC2CD" w14:textId="77777777" w:rsidR="004916BC" w:rsidRPr="004916BC" w:rsidRDefault="004916BC" w:rsidP="004916BC">
      <w:pPr>
        <w:spacing w:line="259" w:lineRule="auto"/>
        <w:jc w:val="center"/>
        <w:rPr>
          <w:sz w:val="32"/>
          <w:szCs w:val="28"/>
        </w:rPr>
      </w:pPr>
      <w:r w:rsidRPr="004916BC">
        <w:rPr>
          <w:sz w:val="32"/>
          <w:szCs w:val="28"/>
        </w:rPr>
        <w:t>Assignment 1: Hotel Handbook for Intercultural Competence</w:t>
      </w:r>
    </w:p>
    <w:p w14:paraId="6913C456" w14:textId="7A8303B6" w:rsidR="00F64D24" w:rsidRDefault="00F64D24" w:rsidP="004916BC">
      <w:pPr>
        <w:spacing w:line="259" w:lineRule="auto"/>
        <w:jc w:val="center"/>
        <w:rPr>
          <w:sz w:val="32"/>
          <w:szCs w:val="28"/>
        </w:rPr>
      </w:pPr>
      <w:r>
        <w:rPr>
          <w:sz w:val="32"/>
          <w:szCs w:val="28"/>
        </w:rPr>
        <w:t>2017483</w:t>
      </w:r>
    </w:p>
    <w:p w14:paraId="79EA226A" w14:textId="029DAEBA" w:rsidR="000D6D21" w:rsidRPr="004916BC" w:rsidRDefault="00F64D24" w:rsidP="004916BC">
      <w:pPr>
        <w:spacing w:line="259" w:lineRule="auto"/>
        <w:jc w:val="center"/>
        <w:rPr>
          <w:sz w:val="32"/>
          <w:szCs w:val="28"/>
        </w:rPr>
      </w:pPr>
      <w:r>
        <w:rPr>
          <w:sz w:val="32"/>
          <w:szCs w:val="28"/>
        </w:rPr>
        <w:t>Shazzad Miah</w:t>
      </w:r>
      <w:r w:rsidR="00845838" w:rsidRPr="004916BC">
        <w:rPr>
          <w:sz w:val="32"/>
          <w:szCs w:val="28"/>
        </w:rPr>
        <w:br w:type="page"/>
      </w:r>
    </w:p>
    <w:sdt>
      <w:sdtPr>
        <w:rPr>
          <w:rFonts w:ascii="Times New Roman" w:eastAsiaTheme="minorHAnsi" w:hAnsi="Times New Roman" w:cstheme="minorBidi"/>
          <w:color w:val="auto"/>
          <w:sz w:val="24"/>
          <w:szCs w:val="22"/>
          <w:lang w:val="en-GB"/>
        </w:rPr>
        <w:id w:val="-690063081"/>
        <w:docPartObj>
          <w:docPartGallery w:val="Table of Contents"/>
          <w:docPartUnique/>
        </w:docPartObj>
      </w:sdtPr>
      <w:sdtEndPr>
        <w:rPr>
          <w:b/>
          <w:bCs/>
          <w:noProof/>
        </w:rPr>
      </w:sdtEndPr>
      <w:sdtContent>
        <w:p w14:paraId="26372496" w14:textId="77777777" w:rsidR="000D6D21" w:rsidRPr="000E7BCF" w:rsidRDefault="00845838">
          <w:pPr>
            <w:pStyle w:val="TOCHeading"/>
            <w:rPr>
              <w:rFonts w:asciiTheme="majorBidi" w:hAnsiTheme="majorBidi"/>
            </w:rPr>
          </w:pPr>
          <w:r w:rsidRPr="000E7BCF">
            <w:rPr>
              <w:rFonts w:asciiTheme="majorBidi" w:hAnsiTheme="majorBidi"/>
            </w:rPr>
            <w:t>Table of Contents</w:t>
          </w:r>
        </w:p>
        <w:p w14:paraId="2C834D82" w14:textId="77777777" w:rsidR="004916BC" w:rsidRDefault="00845838">
          <w:pPr>
            <w:pStyle w:val="TOC1"/>
            <w:tabs>
              <w:tab w:val="right" w:leader="dot" w:pos="9350"/>
            </w:tabs>
            <w:rPr>
              <w:rFonts w:asciiTheme="minorHAnsi" w:eastAsiaTheme="minorEastAsia" w:hAnsiTheme="minorHAnsi" w:cs="Vrinda"/>
              <w:noProof/>
              <w:sz w:val="22"/>
              <w:szCs w:val="28"/>
              <w:lang w:val="en-US" w:bidi="bn-BD"/>
            </w:rPr>
          </w:pPr>
          <w:r>
            <w:fldChar w:fldCharType="begin"/>
          </w:r>
          <w:r>
            <w:instrText xml:space="preserve"> TOC \o "1-3" \h \z \u </w:instrText>
          </w:r>
          <w:r>
            <w:fldChar w:fldCharType="separate"/>
          </w:r>
          <w:hyperlink w:anchor="_Toc97769585" w:history="1">
            <w:r w:rsidR="004916BC" w:rsidRPr="00B52D9E">
              <w:rPr>
                <w:rStyle w:val="Hyperlink"/>
                <w:noProof/>
              </w:rPr>
              <w:t>Introduction</w:t>
            </w:r>
            <w:r w:rsidR="004916BC">
              <w:rPr>
                <w:noProof/>
                <w:webHidden/>
              </w:rPr>
              <w:tab/>
            </w:r>
            <w:r w:rsidR="004916BC">
              <w:rPr>
                <w:noProof/>
                <w:webHidden/>
              </w:rPr>
              <w:fldChar w:fldCharType="begin"/>
            </w:r>
            <w:r w:rsidR="004916BC">
              <w:rPr>
                <w:noProof/>
                <w:webHidden/>
              </w:rPr>
              <w:instrText xml:space="preserve"> PAGEREF _Toc97769585 \h </w:instrText>
            </w:r>
            <w:r w:rsidR="004916BC">
              <w:rPr>
                <w:noProof/>
                <w:webHidden/>
              </w:rPr>
            </w:r>
            <w:r w:rsidR="004916BC">
              <w:rPr>
                <w:noProof/>
                <w:webHidden/>
              </w:rPr>
              <w:fldChar w:fldCharType="separate"/>
            </w:r>
            <w:r w:rsidR="004916BC">
              <w:rPr>
                <w:noProof/>
                <w:webHidden/>
              </w:rPr>
              <w:t>1</w:t>
            </w:r>
            <w:r w:rsidR="004916BC">
              <w:rPr>
                <w:noProof/>
                <w:webHidden/>
              </w:rPr>
              <w:fldChar w:fldCharType="end"/>
            </w:r>
          </w:hyperlink>
        </w:p>
        <w:p w14:paraId="444144D9" w14:textId="77777777" w:rsidR="004916BC" w:rsidRDefault="009E7B0F">
          <w:pPr>
            <w:pStyle w:val="TOC1"/>
            <w:tabs>
              <w:tab w:val="right" w:leader="dot" w:pos="9350"/>
            </w:tabs>
            <w:rPr>
              <w:rFonts w:asciiTheme="minorHAnsi" w:eastAsiaTheme="minorEastAsia" w:hAnsiTheme="minorHAnsi" w:cs="Vrinda"/>
              <w:noProof/>
              <w:sz w:val="22"/>
              <w:szCs w:val="28"/>
              <w:lang w:val="en-US" w:bidi="bn-BD"/>
            </w:rPr>
          </w:pPr>
          <w:hyperlink w:anchor="_Toc97769586" w:history="1">
            <w:r w:rsidR="004916BC" w:rsidRPr="00B52D9E">
              <w:rPr>
                <w:rStyle w:val="Hyperlink"/>
                <w:noProof/>
              </w:rPr>
              <w:t>Handbook</w:t>
            </w:r>
            <w:r w:rsidR="004916BC">
              <w:rPr>
                <w:noProof/>
                <w:webHidden/>
              </w:rPr>
              <w:tab/>
            </w:r>
            <w:r w:rsidR="004916BC">
              <w:rPr>
                <w:noProof/>
                <w:webHidden/>
              </w:rPr>
              <w:fldChar w:fldCharType="begin"/>
            </w:r>
            <w:r w:rsidR="004916BC">
              <w:rPr>
                <w:noProof/>
                <w:webHidden/>
              </w:rPr>
              <w:instrText xml:space="preserve"> PAGEREF _Toc97769586 \h </w:instrText>
            </w:r>
            <w:r w:rsidR="004916BC">
              <w:rPr>
                <w:noProof/>
                <w:webHidden/>
              </w:rPr>
            </w:r>
            <w:r w:rsidR="004916BC">
              <w:rPr>
                <w:noProof/>
                <w:webHidden/>
              </w:rPr>
              <w:fldChar w:fldCharType="separate"/>
            </w:r>
            <w:r w:rsidR="004916BC">
              <w:rPr>
                <w:noProof/>
                <w:webHidden/>
              </w:rPr>
              <w:t>1</w:t>
            </w:r>
            <w:r w:rsidR="004916BC">
              <w:rPr>
                <w:noProof/>
                <w:webHidden/>
              </w:rPr>
              <w:fldChar w:fldCharType="end"/>
            </w:r>
          </w:hyperlink>
        </w:p>
        <w:p w14:paraId="16FB23C2" w14:textId="77777777" w:rsidR="004916BC" w:rsidRDefault="009E7B0F">
          <w:pPr>
            <w:pStyle w:val="TOC2"/>
            <w:tabs>
              <w:tab w:val="right" w:leader="dot" w:pos="9350"/>
            </w:tabs>
            <w:rPr>
              <w:rFonts w:asciiTheme="minorHAnsi" w:eastAsiaTheme="minorEastAsia" w:hAnsiTheme="minorHAnsi" w:cs="Vrinda"/>
              <w:noProof/>
              <w:sz w:val="22"/>
              <w:szCs w:val="28"/>
              <w:lang w:val="en-US" w:bidi="bn-BD"/>
            </w:rPr>
          </w:pPr>
          <w:hyperlink w:anchor="_Toc97769587" w:history="1">
            <w:r w:rsidR="004916BC" w:rsidRPr="00B52D9E">
              <w:rPr>
                <w:rStyle w:val="Hyperlink"/>
                <w:noProof/>
              </w:rPr>
              <w:t>Serving the Japanese guests at a British Hotel</w:t>
            </w:r>
            <w:r w:rsidR="004916BC">
              <w:rPr>
                <w:noProof/>
                <w:webHidden/>
              </w:rPr>
              <w:tab/>
            </w:r>
            <w:r w:rsidR="004916BC">
              <w:rPr>
                <w:noProof/>
                <w:webHidden/>
              </w:rPr>
              <w:fldChar w:fldCharType="begin"/>
            </w:r>
            <w:r w:rsidR="004916BC">
              <w:rPr>
                <w:noProof/>
                <w:webHidden/>
              </w:rPr>
              <w:instrText xml:space="preserve"> PAGEREF _Toc97769587 \h </w:instrText>
            </w:r>
            <w:r w:rsidR="004916BC">
              <w:rPr>
                <w:noProof/>
                <w:webHidden/>
              </w:rPr>
            </w:r>
            <w:r w:rsidR="004916BC">
              <w:rPr>
                <w:noProof/>
                <w:webHidden/>
              </w:rPr>
              <w:fldChar w:fldCharType="separate"/>
            </w:r>
            <w:r w:rsidR="004916BC">
              <w:rPr>
                <w:noProof/>
                <w:webHidden/>
              </w:rPr>
              <w:t>2</w:t>
            </w:r>
            <w:r w:rsidR="004916BC">
              <w:rPr>
                <w:noProof/>
                <w:webHidden/>
              </w:rPr>
              <w:fldChar w:fldCharType="end"/>
            </w:r>
          </w:hyperlink>
        </w:p>
        <w:p w14:paraId="3B9784AC" w14:textId="77777777" w:rsidR="004916BC" w:rsidRDefault="009E7B0F">
          <w:pPr>
            <w:pStyle w:val="TOC2"/>
            <w:tabs>
              <w:tab w:val="right" w:leader="dot" w:pos="9350"/>
            </w:tabs>
            <w:rPr>
              <w:rFonts w:asciiTheme="minorHAnsi" w:eastAsiaTheme="minorEastAsia" w:hAnsiTheme="minorHAnsi" w:cs="Vrinda"/>
              <w:noProof/>
              <w:sz w:val="22"/>
              <w:szCs w:val="28"/>
              <w:lang w:val="en-US" w:bidi="bn-BD"/>
            </w:rPr>
          </w:pPr>
          <w:hyperlink w:anchor="_Toc97769588" w:history="1">
            <w:r w:rsidR="004916BC" w:rsidRPr="00B52D9E">
              <w:rPr>
                <w:rStyle w:val="Hyperlink"/>
                <w:noProof/>
              </w:rPr>
              <w:t>Hall's high low context-based cultural communication</w:t>
            </w:r>
            <w:r w:rsidR="004916BC">
              <w:rPr>
                <w:noProof/>
                <w:webHidden/>
              </w:rPr>
              <w:tab/>
            </w:r>
            <w:r w:rsidR="004916BC">
              <w:rPr>
                <w:noProof/>
                <w:webHidden/>
              </w:rPr>
              <w:fldChar w:fldCharType="begin"/>
            </w:r>
            <w:r w:rsidR="004916BC">
              <w:rPr>
                <w:noProof/>
                <w:webHidden/>
              </w:rPr>
              <w:instrText xml:space="preserve"> PAGEREF _Toc97769588 \h </w:instrText>
            </w:r>
            <w:r w:rsidR="004916BC">
              <w:rPr>
                <w:noProof/>
                <w:webHidden/>
              </w:rPr>
            </w:r>
            <w:r w:rsidR="004916BC">
              <w:rPr>
                <w:noProof/>
                <w:webHidden/>
              </w:rPr>
              <w:fldChar w:fldCharType="separate"/>
            </w:r>
            <w:r w:rsidR="004916BC">
              <w:rPr>
                <w:noProof/>
                <w:webHidden/>
              </w:rPr>
              <w:t>3</w:t>
            </w:r>
            <w:r w:rsidR="004916BC">
              <w:rPr>
                <w:noProof/>
                <w:webHidden/>
              </w:rPr>
              <w:fldChar w:fldCharType="end"/>
            </w:r>
          </w:hyperlink>
        </w:p>
        <w:p w14:paraId="3EC980FE" w14:textId="77777777" w:rsidR="004916BC" w:rsidRDefault="009E7B0F">
          <w:pPr>
            <w:pStyle w:val="TOC2"/>
            <w:tabs>
              <w:tab w:val="right" w:leader="dot" w:pos="9350"/>
            </w:tabs>
            <w:rPr>
              <w:rFonts w:asciiTheme="minorHAnsi" w:eastAsiaTheme="minorEastAsia" w:hAnsiTheme="minorHAnsi" w:cs="Vrinda"/>
              <w:noProof/>
              <w:sz w:val="22"/>
              <w:szCs w:val="28"/>
              <w:lang w:val="en-US" w:bidi="bn-BD"/>
            </w:rPr>
          </w:pPr>
          <w:hyperlink w:anchor="_Toc97769589" w:history="1">
            <w:r w:rsidR="004916BC" w:rsidRPr="00B52D9E">
              <w:rPr>
                <w:rStyle w:val="Hyperlink"/>
                <w:noProof/>
              </w:rPr>
              <w:t>Dos and Don’ts in Handling Japanese Guests</w:t>
            </w:r>
            <w:r w:rsidR="004916BC">
              <w:rPr>
                <w:noProof/>
                <w:webHidden/>
              </w:rPr>
              <w:tab/>
            </w:r>
            <w:r w:rsidR="004916BC">
              <w:rPr>
                <w:noProof/>
                <w:webHidden/>
              </w:rPr>
              <w:fldChar w:fldCharType="begin"/>
            </w:r>
            <w:r w:rsidR="004916BC">
              <w:rPr>
                <w:noProof/>
                <w:webHidden/>
              </w:rPr>
              <w:instrText xml:space="preserve"> PAGEREF _Toc97769589 \h </w:instrText>
            </w:r>
            <w:r w:rsidR="004916BC">
              <w:rPr>
                <w:noProof/>
                <w:webHidden/>
              </w:rPr>
            </w:r>
            <w:r w:rsidR="004916BC">
              <w:rPr>
                <w:noProof/>
                <w:webHidden/>
              </w:rPr>
              <w:fldChar w:fldCharType="separate"/>
            </w:r>
            <w:r w:rsidR="004916BC">
              <w:rPr>
                <w:noProof/>
                <w:webHidden/>
              </w:rPr>
              <w:t>3</w:t>
            </w:r>
            <w:r w:rsidR="004916BC">
              <w:rPr>
                <w:noProof/>
                <w:webHidden/>
              </w:rPr>
              <w:fldChar w:fldCharType="end"/>
            </w:r>
          </w:hyperlink>
        </w:p>
        <w:p w14:paraId="53666730" w14:textId="77777777" w:rsidR="004916BC" w:rsidRDefault="009E7B0F">
          <w:pPr>
            <w:pStyle w:val="TOC1"/>
            <w:tabs>
              <w:tab w:val="right" w:leader="dot" w:pos="9350"/>
            </w:tabs>
            <w:rPr>
              <w:rFonts w:asciiTheme="minorHAnsi" w:eastAsiaTheme="minorEastAsia" w:hAnsiTheme="minorHAnsi" w:cs="Vrinda"/>
              <w:noProof/>
              <w:sz w:val="22"/>
              <w:szCs w:val="28"/>
              <w:lang w:val="en-US" w:bidi="bn-BD"/>
            </w:rPr>
          </w:pPr>
          <w:hyperlink w:anchor="_Toc97769590" w:history="1">
            <w:r w:rsidR="004916BC" w:rsidRPr="00B52D9E">
              <w:rPr>
                <w:rStyle w:val="Hyperlink"/>
                <w:noProof/>
              </w:rPr>
              <w:t>Conclusion</w:t>
            </w:r>
            <w:r w:rsidR="004916BC">
              <w:rPr>
                <w:noProof/>
                <w:webHidden/>
              </w:rPr>
              <w:tab/>
            </w:r>
            <w:r w:rsidR="004916BC">
              <w:rPr>
                <w:noProof/>
                <w:webHidden/>
              </w:rPr>
              <w:fldChar w:fldCharType="begin"/>
            </w:r>
            <w:r w:rsidR="004916BC">
              <w:rPr>
                <w:noProof/>
                <w:webHidden/>
              </w:rPr>
              <w:instrText xml:space="preserve"> PAGEREF _Toc97769590 \h </w:instrText>
            </w:r>
            <w:r w:rsidR="004916BC">
              <w:rPr>
                <w:noProof/>
                <w:webHidden/>
              </w:rPr>
            </w:r>
            <w:r w:rsidR="004916BC">
              <w:rPr>
                <w:noProof/>
                <w:webHidden/>
              </w:rPr>
              <w:fldChar w:fldCharType="separate"/>
            </w:r>
            <w:r w:rsidR="004916BC">
              <w:rPr>
                <w:noProof/>
                <w:webHidden/>
              </w:rPr>
              <w:t>4</w:t>
            </w:r>
            <w:r w:rsidR="004916BC">
              <w:rPr>
                <w:noProof/>
                <w:webHidden/>
              </w:rPr>
              <w:fldChar w:fldCharType="end"/>
            </w:r>
          </w:hyperlink>
        </w:p>
        <w:p w14:paraId="1A919141" w14:textId="77777777" w:rsidR="004916BC" w:rsidRDefault="009E7B0F">
          <w:pPr>
            <w:pStyle w:val="TOC1"/>
            <w:tabs>
              <w:tab w:val="right" w:leader="dot" w:pos="9350"/>
            </w:tabs>
            <w:rPr>
              <w:rFonts w:asciiTheme="minorHAnsi" w:eastAsiaTheme="minorEastAsia" w:hAnsiTheme="minorHAnsi" w:cs="Vrinda"/>
              <w:noProof/>
              <w:sz w:val="22"/>
              <w:szCs w:val="28"/>
              <w:lang w:val="en-US" w:bidi="bn-BD"/>
            </w:rPr>
          </w:pPr>
          <w:hyperlink w:anchor="_Toc97769591" w:history="1">
            <w:r w:rsidR="004916BC" w:rsidRPr="00B52D9E">
              <w:rPr>
                <w:rStyle w:val="Hyperlink"/>
                <w:noProof/>
              </w:rPr>
              <w:t>References</w:t>
            </w:r>
            <w:r w:rsidR="004916BC">
              <w:rPr>
                <w:noProof/>
                <w:webHidden/>
              </w:rPr>
              <w:tab/>
            </w:r>
            <w:r w:rsidR="004916BC">
              <w:rPr>
                <w:noProof/>
                <w:webHidden/>
              </w:rPr>
              <w:fldChar w:fldCharType="begin"/>
            </w:r>
            <w:r w:rsidR="004916BC">
              <w:rPr>
                <w:noProof/>
                <w:webHidden/>
              </w:rPr>
              <w:instrText xml:space="preserve"> PAGEREF _Toc97769591 \h </w:instrText>
            </w:r>
            <w:r w:rsidR="004916BC">
              <w:rPr>
                <w:noProof/>
                <w:webHidden/>
              </w:rPr>
            </w:r>
            <w:r w:rsidR="004916BC">
              <w:rPr>
                <w:noProof/>
                <w:webHidden/>
              </w:rPr>
              <w:fldChar w:fldCharType="separate"/>
            </w:r>
            <w:r w:rsidR="004916BC">
              <w:rPr>
                <w:noProof/>
                <w:webHidden/>
              </w:rPr>
              <w:t>5</w:t>
            </w:r>
            <w:r w:rsidR="004916BC">
              <w:rPr>
                <w:noProof/>
                <w:webHidden/>
              </w:rPr>
              <w:fldChar w:fldCharType="end"/>
            </w:r>
          </w:hyperlink>
        </w:p>
        <w:p w14:paraId="5D7E24E8" w14:textId="77777777" w:rsidR="000D6D21" w:rsidRDefault="00845838">
          <w:r>
            <w:rPr>
              <w:b/>
              <w:bCs/>
              <w:noProof/>
            </w:rPr>
            <w:fldChar w:fldCharType="end"/>
          </w:r>
        </w:p>
      </w:sdtContent>
    </w:sdt>
    <w:p w14:paraId="4B5ABE42" w14:textId="77777777" w:rsidR="000D6D21" w:rsidRDefault="00845838">
      <w:pPr>
        <w:spacing w:line="259" w:lineRule="auto"/>
        <w:jc w:val="left"/>
      </w:pPr>
      <w:r>
        <w:br w:type="page"/>
      </w:r>
    </w:p>
    <w:p w14:paraId="7341CBFB" w14:textId="77777777" w:rsidR="004417FA" w:rsidRDefault="004417FA" w:rsidP="000D6D21">
      <w:pPr>
        <w:pStyle w:val="Heading1"/>
        <w:sectPr w:rsidR="004417FA" w:rsidSect="004417FA">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fmt="lowerRoman"/>
          <w:cols w:space="720"/>
          <w:docGrid w:linePitch="360"/>
        </w:sectPr>
      </w:pPr>
    </w:p>
    <w:p w14:paraId="3E3B4C80" w14:textId="77777777" w:rsidR="000D6D21" w:rsidRDefault="00845838" w:rsidP="000D6D21">
      <w:pPr>
        <w:pStyle w:val="Heading1"/>
      </w:pPr>
      <w:bookmarkStart w:id="0" w:name="_Toc97769585"/>
      <w:r>
        <w:lastRenderedPageBreak/>
        <w:t>Introduction</w:t>
      </w:r>
      <w:bookmarkEnd w:id="0"/>
    </w:p>
    <w:p w14:paraId="03F2AF22" w14:textId="77777777" w:rsidR="000D6D21" w:rsidRDefault="00845838" w:rsidP="004916BC">
      <w:r>
        <w:t xml:space="preserve">Cross-cultural issues are becoming more common as communication across the world becomes easier and more economical. The business landscape of the world is becoming much more global, which, although provides bigger opportunities, also creates some large problems for business management and marketing. This assignment is particularly focused on an imaginary situation where guests from Japan are expected to visit a British hotel and stay there for some time. The assignment strives to create a handbook that prepares the hotel staff in a way so that they can behave appropriately with the guests. </w:t>
      </w:r>
    </w:p>
    <w:p w14:paraId="10355CA8" w14:textId="77777777" w:rsidR="000D6D21" w:rsidRDefault="004916BC" w:rsidP="000D6D21">
      <w:pPr>
        <w:pStyle w:val="Heading1"/>
      </w:pPr>
      <w:bookmarkStart w:id="1" w:name="_Toc97769586"/>
      <w:r>
        <w:t>Handbook</w:t>
      </w:r>
      <w:bookmarkEnd w:id="1"/>
    </w:p>
    <w:p w14:paraId="6A306070" w14:textId="77777777" w:rsidR="000D6D21" w:rsidRDefault="00845838" w:rsidP="000D6D21">
      <w:r>
        <w:t>Culture can form in a lot of ways. Interestingly, culture never really remains static</w:t>
      </w:r>
      <w:r w:rsidR="00211C62">
        <w:t xml:space="preserve"> </w:t>
      </w:r>
      <w:r w:rsidR="00211C62" w:rsidRPr="00211C62">
        <w:t>(Morris, 2017)</w:t>
      </w:r>
      <w:r>
        <w:t>. Each family has a culture of its own, each organization, each team within that organization has its own culture. A nation also governs a culture that spans a specific geographical location. Sometimes, national culture cannot be defined as one continuous entity</w:t>
      </w:r>
      <w:r w:rsidR="00211C62">
        <w:t xml:space="preserve"> </w:t>
      </w:r>
      <w:r w:rsidR="00211C62" w:rsidRPr="00211C62">
        <w:t>(Watson, 2012)</w:t>
      </w:r>
      <w:r>
        <w:t>. For example, in the case of Russia, the country consists of a huge landmass that holds people of many background</w:t>
      </w:r>
      <w:r w:rsidR="0025008E">
        <w:t>s</w:t>
      </w:r>
      <w:r>
        <w:t xml:space="preserve"> and cultures that might be radically different compared to each other</w:t>
      </w:r>
      <w:r w:rsidR="00211C62">
        <w:t xml:space="preserve"> </w:t>
      </w:r>
      <w:r w:rsidR="00211C62" w:rsidRPr="00211C62">
        <w:t>(Griffin, 2021)</w:t>
      </w:r>
      <w:r>
        <w:t xml:space="preserve">. The definition of national culture as one being formed through a shared border might not be fully accurate. National culture is often governed by the geographic location of the country in question, as the geographic situation might have a strong influence on how people live their lives and their outlook towards the world. </w:t>
      </w:r>
    </w:p>
    <w:p w14:paraId="5CF0867F" w14:textId="77777777" w:rsidR="00CC5E55" w:rsidRDefault="00845838" w:rsidP="000D6D21">
      <w:r>
        <w:t>In the age of the international flow of products and services, all the cultures are intermingling with each other like never before. For a business to thrive, having a strong cultural intelligence and understanding is therefore highly needed</w:t>
      </w:r>
      <w:r w:rsidR="00211C62">
        <w:t xml:space="preserve"> </w:t>
      </w:r>
      <w:r w:rsidR="00211C62" w:rsidRPr="00211C62">
        <w:t>(Davidson, 2018)</w:t>
      </w:r>
      <w:r>
        <w:t>. A good cultural intelligence leads to a strong cultural sensitivity, which in turn enables the business to create products and services that cater to the needs of the customers while keeping her cultural orientation in mind</w:t>
      </w:r>
      <w:r w:rsidR="00211C62">
        <w:t xml:space="preserve"> </w:t>
      </w:r>
      <w:r w:rsidR="00211C62" w:rsidRPr="00211C62">
        <w:t>(Barnes and Flanagan, 2015)</w:t>
      </w:r>
      <w:r>
        <w:t xml:space="preserve">. </w:t>
      </w:r>
      <w:r w:rsidR="00403B13">
        <w:t xml:space="preserve">One example of such intelligence and understanding is understanding the taste of the customers. </w:t>
      </w:r>
      <w:r>
        <w:t>For hotel businesses, customer satisfaction to a large extent depends on the type and quality of food that has been served for the customers</w:t>
      </w:r>
      <w:r w:rsidR="00211C62">
        <w:t xml:space="preserve"> </w:t>
      </w:r>
      <w:r w:rsidR="00211C62" w:rsidRPr="00211C62">
        <w:t>(Brooks and Phoenix, 2014)</w:t>
      </w:r>
      <w:r>
        <w:t xml:space="preserve">. Food habits are strongly influenced by the cultural orientation of the people. However, the food that has been served must also reflect the culture of the host country where the hotel is located. This is important </w:t>
      </w:r>
      <w:r>
        <w:lastRenderedPageBreak/>
        <w:t>because the travellers are frequently travelling to another country because they want to experience the culture and habits of people from another country and culture compared to theirs. Finding the right balance is therefore the right choice. Furthermore, understanding the customs and preferences of people who are staying at the hotel is also an important task for the workers who are tasked with providing the service</w:t>
      </w:r>
      <w:r w:rsidR="00211C62">
        <w:t xml:space="preserve"> </w:t>
      </w:r>
      <w:r w:rsidR="00211C62" w:rsidRPr="00211C62">
        <w:t>(Burton and Jared, 2012)</w:t>
      </w:r>
      <w:r>
        <w:t xml:space="preserve">. </w:t>
      </w:r>
    </w:p>
    <w:p w14:paraId="12649FDD" w14:textId="77777777" w:rsidR="00CC5E55" w:rsidRDefault="00845838" w:rsidP="00CC5E55">
      <w:pPr>
        <w:pStyle w:val="Heading2"/>
      </w:pPr>
      <w:bookmarkStart w:id="2" w:name="_Toc97769587"/>
      <w:r>
        <w:t>Serving the Japanese guests at a British Hotel</w:t>
      </w:r>
      <w:bookmarkEnd w:id="2"/>
    </w:p>
    <w:p w14:paraId="3955A013" w14:textId="77777777" w:rsidR="00CC5E55" w:rsidRDefault="00845838" w:rsidP="00CC5E55">
      <w:r>
        <w:t xml:space="preserve">Hofstede’s model shows a comparative understanding of the Japanese population and the population of the United Kingdom. This comparison might be helpful to build a somewhat basic understanding of the differences between the two cultures. However, this model should not be a basis for cultural stereotyping. </w:t>
      </w:r>
    </w:p>
    <w:p w14:paraId="24EADAFC" w14:textId="77777777" w:rsidR="000E7BCF" w:rsidRDefault="00845838" w:rsidP="000E7BCF">
      <w:pPr>
        <w:keepNext/>
      </w:pPr>
      <w:r w:rsidRPr="008B6F9F">
        <w:rPr>
          <w:noProof/>
          <w:lang w:val="en-US" w:bidi="bn-BD"/>
        </w:rPr>
        <w:drawing>
          <wp:inline distT="0" distB="0" distL="0" distR="0" wp14:anchorId="49AED0BF" wp14:editId="528B0F98">
            <wp:extent cx="5943600" cy="303911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039110"/>
                    </a:xfrm>
                    <a:prstGeom prst="rect">
                      <a:avLst/>
                    </a:prstGeom>
                  </pic:spPr>
                </pic:pic>
              </a:graphicData>
            </a:graphic>
          </wp:inline>
        </w:drawing>
      </w:r>
    </w:p>
    <w:p w14:paraId="60DFC678" w14:textId="77777777" w:rsidR="008B6F9F" w:rsidRDefault="00845838" w:rsidP="000E7BCF">
      <w:pPr>
        <w:pStyle w:val="Caption"/>
        <w:jc w:val="center"/>
      </w:pPr>
      <w:r>
        <w:t xml:space="preserve">Figure </w:t>
      </w:r>
      <w:r w:rsidR="009E7B0F">
        <w:fldChar w:fldCharType="begin"/>
      </w:r>
      <w:r w:rsidR="009E7B0F">
        <w:instrText xml:space="preserve"> SEQ Figure \* ARABIC </w:instrText>
      </w:r>
      <w:r w:rsidR="009E7B0F">
        <w:fldChar w:fldCharType="separate"/>
      </w:r>
      <w:r>
        <w:rPr>
          <w:noProof/>
        </w:rPr>
        <w:t>1</w:t>
      </w:r>
      <w:r w:rsidR="009E7B0F">
        <w:rPr>
          <w:noProof/>
        </w:rPr>
        <w:fldChar w:fldCharType="end"/>
      </w:r>
      <w:r>
        <w:rPr>
          <w:lang w:val="en-US"/>
        </w:rPr>
        <w:t>: Hofstede model showing a comparison between Japanese and British Culture</w:t>
      </w:r>
      <w:r w:rsidR="00211C62">
        <w:rPr>
          <w:lang w:val="en-US"/>
        </w:rPr>
        <w:t xml:space="preserve"> </w:t>
      </w:r>
      <w:r w:rsidR="00211C62" w:rsidRPr="00211C62">
        <w:rPr>
          <w:lang w:val="en-US"/>
        </w:rPr>
        <w:t>(Campbell and Whitney, 2017)</w:t>
      </w:r>
    </w:p>
    <w:p w14:paraId="03CDCA08" w14:textId="77777777" w:rsidR="008B6F9F" w:rsidRDefault="00845838" w:rsidP="00CC5E55">
      <w:r>
        <w:t xml:space="preserve">The model shows that the main difference between Japanese people with British people is in individualism, uncertainty avoidance and </w:t>
      </w:r>
      <w:r w:rsidR="000E7BCF">
        <w:t>long-term</w:t>
      </w:r>
      <w:r>
        <w:t xml:space="preserve"> orientation. These differences are going to affect how the overall expectations of the country people form in different situations</w:t>
      </w:r>
      <w:r w:rsidR="00211C62">
        <w:t xml:space="preserve"> </w:t>
      </w:r>
      <w:r w:rsidR="00211C62" w:rsidRPr="00211C62">
        <w:t>(Clarke and Seymour, 2019)</w:t>
      </w:r>
      <w:r>
        <w:t>. This might even affect how people from a specific country expects to communicate with each other</w:t>
      </w:r>
      <w:r w:rsidR="00211C62">
        <w:t xml:space="preserve"> </w:t>
      </w:r>
      <w:r w:rsidR="00211C62" w:rsidRPr="00211C62">
        <w:t>(Collins and Brenna, 2012)</w:t>
      </w:r>
      <w:r>
        <w:t xml:space="preserve">. </w:t>
      </w:r>
    </w:p>
    <w:p w14:paraId="08CC3F9E" w14:textId="77777777" w:rsidR="00A87A8A" w:rsidRDefault="00845838" w:rsidP="00A87A8A">
      <w:pPr>
        <w:pStyle w:val="Heading2"/>
      </w:pPr>
      <w:bookmarkStart w:id="3" w:name="_Toc97769588"/>
      <w:r>
        <w:lastRenderedPageBreak/>
        <w:t>Hall's high low context-based cultural communication</w:t>
      </w:r>
      <w:bookmarkEnd w:id="3"/>
      <w:r>
        <w:t xml:space="preserve"> </w:t>
      </w:r>
    </w:p>
    <w:p w14:paraId="1EB15868" w14:textId="77777777" w:rsidR="008B6F9F" w:rsidRDefault="00845838" w:rsidP="00CC5E55">
      <w:r>
        <w:t xml:space="preserve">The mode of communication that each culture prefers can also be understood through a model. One of the best models for doing this is Hall’s model of communicational context. </w:t>
      </w:r>
      <w:r w:rsidR="000E7BCF">
        <w:t>The model divides communicational cultures of countries into two forms, low context and high context country</w:t>
      </w:r>
      <w:r w:rsidR="00211C62">
        <w:t xml:space="preserve"> (Timm, 2011)</w:t>
      </w:r>
      <w:r w:rsidR="000E7BCF">
        <w:t>. Japan is famously known as a high context culture, whereas British people are frequently identified as low context culture</w:t>
      </w:r>
      <w:r w:rsidR="00211C62">
        <w:t xml:space="preserve"> </w:t>
      </w:r>
      <w:r w:rsidR="00211C62" w:rsidRPr="00211C62">
        <w:t>(Davidson and Taegan, 2016)</w:t>
      </w:r>
      <w:r w:rsidR="000E7BCF">
        <w:t xml:space="preserve">. </w:t>
      </w:r>
    </w:p>
    <w:p w14:paraId="1499569D" w14:textId="77777777" w:rsidR="00EC5831" w:rsidRDefault="00845838" w:rsidP="00CC5E55">
      <w:r>
        <w:t>As a high context culture, the Japanese people are expected to be more implicit in their communication with the hotel staff and workers</w:t>
      </w:r>
      <w:r w:rsidR="00211C62">
        <w:t xml:space="preserve"> </w:t>
      </w:r>
      <w:r w:rsidR="00211C62" w:rsidRPr="00211C62">
        <w:t>(Corbyn and Rodolph, 2014)</w:t>
      </w:r>
      <w:r>
        <w:t xml:space="preserve">. The most affected department in this situation is going to be the customer service department, which will have the hard task of understanding the communication of the Japanese customers even though they might be less direct in expressing what exactly they want. It will be a good choice to employ a person who is familiar with the Japanese culture to manage this type of communication for the hotel, which would increase the level of effectiveness and accurateness of the service provided to the customers. This would also enhance the understanding of the </w:t>
      </w:r>
      <w:r w:rsidR="00A87A8A">
        <w:t xml:space="preserve">hotel regarding its customers. </w:t>
      </w:r>
    </w:p>
    <w:p w14:paraId="599C8DCA" w14:textId="77777777" w:rsidR="004A6155" w:rsidRDefault="00845838" w:rsidP="00CC5E55">
      <w:r>
        <w:t>Another aspect of a high context culture is the importance of rank and hierarchy</w:t>
      </w:r>
      <w:r w:rsidR="00211C62">
        <w:t xml:space="preserve"> </w:t>
      </w:r>
      <w:r w:rsidR="00211C62" w:rsidRPr="00211C62">
        <w:t>(Dixon, 2019)</w:t>
      </w:r>
      <w:r>
        <w:t>. This is extremely important in Japanese society. This might be a little difficult for people of Britain to understand, but the power distance and rank of the person who is communicating might radically influence the type, model and nature of communication</w:t>
      </w:r>
      <w:r w:rsidR="00211C62">
        <w:t xml:space="preserve"> </w:t>
      </w:r>
      <w:r w:rsidR="00211C62" w:rsidRPr="00211C62">
        <w:t>(Evans, 2019)</w:t>
      </w:r>
      <w:r>
        <w:t>. The expectations are also different when these types of issues are concerned</w:t>
      </w:r>
      <w:r w:rsidR="00211C62">
        <w:t xml:space="preserve"> </w:t>
      </w:r>
      <w:r w:rsidR="00211C62" w:rsidRPr="00211C62">
        <w:t>(Fisher, 2017)</w:t>
      </w:r>
      <w:r>
        <w:t xml:space="preserve">. </w:t>
      </w:r>
    </w:p>
    <w:p w14:paraId="65F86688" w14:textId="77777777" w:rsidR="004A6155" w:rsidRDefault="00845838" w:rsidP="004916BC">
      <w:pPr>
        <w:pStyle w:val="Heading2"/>
      </w:pPr>
      <w:bookmarkStart w:id="4" w:name="_Toc97769589"/>
      <w:r>
        <w:t>Dos and Don’ts</w:t>
      </w:r>
      <w:r w:rsidR="004916BC">
        <w:t xml:space="preserve"> in Handling Japanese Guests</w:t>
      </w:r>
      <w:bookmarkEnd w:id="4"/>
    </w:p>
    <w:tbl>
      <w:tblPr>
        <w:tblStyle w:val="TableGrid"/>
        <w:tblW w:w="0" w:type="auto"/>
        <w:tblLook w:val="04A0" w:firstRow="1" w:lastRow="0" w:firstColumn="1" w:lastColumn="0" w:noHBand="0" w:noVBand="1"/>
      </w:tblPr>
      <w:tblGrid>
        <w:gridCol w:w="4675"/>
        <w:gridCol w:w="4675"/>
      </w:tblGrid>
      <w:tr w:rsidR="00776ED3" w14:paraId="31DE5371" w14:textId="77777777" w:rsidTr="00E27F6D">
        <w:tc>
          <w:tcPr>
            <w:tcW w:w="4675" w:type="dxa"/>
          </w:tcPr>
          <w:p w14:paraId="05825BAE" w14:textId="77777777" w:rsidR="00E27F6D" w:rsidRPr="00E27F6D" w:rsidRDefault="00845838" w:rsidP="00E27F6D">
            <w:pPr>
              <w:jc w:val="center"/>
              <w:rPr>
                <w:b/>
                <w:bCs/>
              </w:rPr>
            </w:pPr>
            <w:r w:rsidRPr="00E27F6D">
              <w:rPr>
                <w:b/>
                <w:bCs/>
              </w:rPr>
              <w:t>Dos</w:t>
            </w:r>
          </w:p>
        </w:tc>
        <w:tc>
          <w:tcPr>
            <w:tcW w:w="4675" w:type="dxa"/>
          </w:tcPr>
          <w:p w14:paraId="7503E7BE" w14:textId="77777777" w:rsidR="00E27F6D" w:rsidRPr="00E27F6D" w:rsidRDefault="00845838" w:rsidP="00E27F6D">
            <w:pPr>
              <w:jc w:val="center"/>
              <w:rPr>
                <w:b/>
                <w:bCs/>
              </w:rPr>
            </w:pPr>
            <w:r w:rsidRPr="00E27F6D">
              <w:rPr>
                <w:b/>
                <w:bCs/>
              </w:rPr>
              <w:t>Don’ts</w:t>
            </w:r>
          </w:p>
        </w:tc>
      </w:tr>
      <w:tr w:rsidR="00776ED3" w14:paraId="1C5A1238" w14:textId="77777777" w:rsidTr="00E27F6D">
        <w:tc>
          <w:tcPr>
            <w:tcW w:w="4675" w:type="dxa"/>
          </w:tcPr>
          <w:p w14:paraId="3933F3C9" w14:textId="77777777" w:rsidR="00E27F6D" w:rsidRDefault="00845838" w:rsidP="00E27F6D">
            <w:pPr>
              <w:pStyle w:val="ListBullet"/>
            </w:pPr>
            <w:r>
              <w:t xml:space="preserve">Create a special communication network for staff so that stronger communication among hotel employees is established. This will help with the crucial task of acting as one for serving the customers. </w:t>
            </w:r>
          </w:p>
          <w:p w14:paraId="191C48C7" w14:textId="77777777" w:rsidR="00E27F6D" w:rsidRDefault="00845838" w:rsidP="00E27F6D">
            <w:pPr>
              <w:pStyle w:val="ListBullet"/>
            </w:pPr>
            <w:r>
              <w:t xml:space="preserve">Understand the context in which communication is taking place. The same language can mean positive or negative </w:t>
            </w:r>
            <w:r>
              <w:lastRenderedPageBreak/>
              <w:t xml:space="preserve">feedback depending on the nature and type of context. </w:t>
            </w:r>
          </w:p>
          <w:p w14:paraId="6D20BD34" w14:textId="77777777" w:rsidR="00E27F6D" w:rsidRDefault="00845838" w:rsidP="00E27F6D">
            <w:pPr>
              <w:pStyle w:val="ListBullet"/>
            </w:pPr>
            <w:r>
              <w:t xml:space="preserve">Enhance the capabilities of the hotel to accommodate Japanese guests by hiring people with experience and understanding of Japanese culture. </w:t>
            </w:r>
          </w:p>
        </w:tc>
        <w:tc>
          <w:tcPr>
            <w:tcW w:w="4675" w:type="dxa"/>
          </w:tcPr>
          <w:p w14:paraId="1C07559A" w14:textId="77777777" w:rsidR="00E27F6D" w:rsidRDefault="00845838" w:rsidP="00E27F6D">
            <w:pPr>
              <w:pStyle w:val="ListBullet"/>
            </w:pPr>
            <w:r>
              <w:lastRenderedPageBreak/>
              <w:t xml:space="preserve">Avoid pushing the local culture too much on the visiting people to minimize the culture shock for the customers. </w:t>
            </w:r>
          </w:p>
          <w:p w14:paraId="606BA306" w14:textId="77777777" w:rsidR="00E27F6D" w:rsidRDefault="00845838" w:rsidP="00E27F6D">
            <w:pPr>
              <w:pStyle w:val="ListBullet"/>
            </w:pPr>
            <w:r>
              <w:t xml:space="preserve">Avoid addressing everyone as equal. Japanese society has a strong hierarchical sense when it comes to communication and treatment. </w:t>
            </w:r>
          </w:p>
        </w:tc>
      </w:tr>
    </w:tbl>
    <w:p w14:paraId="4679BD8B" w14:textId="77777777" w:rsidR="00E27F6D" w:rsidRDefault="00E27F6D">
      <w:pPr>
        <w:spacing w:line="259" w:lineRule="auto"/>
        <w:jc w:val="left"/>
      </w:pPr>
    </w:p>
    <w:p w14:paraId="4769571C" w14:textId="77777777" w:rsidR="00E27F6D" w:rsidRDefault="00845838" w:rsidP="00E27F6D">
      <w:pPr>
        <w:pStyle w:val="Heading1"/>
      </w:pPr>
      <w:bookmarkStart w:id="5" w:name="_Toc97769590"/>
      <w:r>
        <w:t>Conclusion</w:t>
      </w:r>
      <w:bookmarkEnd w:id="5"/>
    </w:p>
    <w:p w14:paraId="2F3FB04E" w14:textId="77777777" w:rsidR="00E27F6D" w:rsidRDefault="00845838" w:rsidP="00E27F6D">
      <w:r>
        <w:t xml:space="preserve">This assignment tries to create a guide for the hotel workers regarding the cultural orientation and understanding of the Japanese people who are expected to visit the hotel. The </w:t>
      </w:r>
      <w:r w:rsidR="00896056">
        <w:t xml:space="preserve">assignment analyses the Japanese culture using a cultural model and also presents an overall comparison of Japanese and British culture side by side to demonstrate the core differences to the workers. It also provides some recommendations about the expected behaviour and potentially negative output generating behaviour in light of the situation. </w:t>
      </w:r>
    </w:p>
    <w:p w14:paraId="395B5FBA" w14:textId="77777777" w:rsidR="00896056" w:rsidRDefault="00845838">
      <w:pPr>
        <w:spacing w:line="259" w:lineRule="auto"/>
        <w:jc w:val="left"/>
      </w:pPr>
      <w:r>
        <w:br w:type="page"/>
      </w:r>
    </w:p>
    <w:p w14:paraId="01742FAD" w14:textId="77777777" w:rsidR="00896056" w:rsidRDefault="00845838" w:rsidP="00896056">
      <w:pPr>
        <w:pStyle w:val="Heading1"/>
      </w:pPr>
      <w:bookmarkStart w:id="6" w:name="_Toc97769591"/>
      <w:r>
        <w:lastRenderedPageBreak/>
        <w:t>References</w:t>
      </w:r>
      <w:bookmarkEnd w:id="6"/>
    </w:p>
    <w:p w14:paraId="6155AFCD" w14:textId="77777777" w:rsidR="004916BC" w:rsidRPr="00A333BF" w:rsidRDefault="004916BC" w:rsidP="00EA03F3">
      <w:r>
        <w:t>Barnes, M. and Flanagan, A.</w:t>
      </w:r>
      <w:r w:rsidRPr="00A333BF">
        <w:t xml:space="preserve"> </w:t>
      </w:r>
      <w:r>
        <w:t>(2015)</w:t>
      </w:r>
      <w:r w:rsidRPr="00A333BF">
        <w:t xml:space="preserve">. </w:t>
      </w:r>
      <w:r>
        <w:t>A Quantitative Study of Leadership and Human Resourc3e Management</w:t>
      </w:r>
      <w:r w:rsidRPr="00A333BF">
        <w:t>. </w:t>
      </w:r>
      <w:r w:rsidRPr="00A333BF">
        <w:rPr>
          <w:i/>
          <w:iCs/>
        </w:rPr>
        <w:t xml:space="preserve">Journal of </w:t>
      </w:r>
      <w:r>
        <w:rPr>
          <w:i/>
          <w:iCs/>
        </w:rPr>
        <w:t>Managerial Sciences</w:t>
      </w:r>
      <w:r>
        <w:t>, 2017(5), pp.65-6</w:t>
      </w:r>
      <w:r w:rsidRPr="00A333BF">
        <w:t>7.</w:t>
      </w:r>
    </w:p>
    <w:p w14:paraId="2F462EE8" w14:textId="77777777" w:rsidR="004916BC" w:rsidRPr="00A333BF" w:rsidRDefault="004916BC" w:rsidP="00EA03F3">
      <w:r>
        <w:t>Brooks, L. and Phoenix, C.</w:t>
      </w:r>
      <w:r w:rsidRPr="00A333BF">
        <w:t xml:space="preserve"> </w:t>
      </w:r>
      <w:r>
        <w:t>(2014)</w:t>
      </w:r>
      <w:r w:rsidRPr="00A333BF">
        <w:t xml:space="preserve">. </w:t>
      </w:r>
      <w:r>
        <w:t>Difficulties and challenges of dealing with a diverse culture</w:t>
      </w:r>
      <w:r w:rsidRPr="00A333BF">
        <w:t>. </w:t>
      </w:r>
      <w:r w:rsidRPr="00A333BF">
        <w:rPr>
          <w:i/>
          <w:iCs/>
        </w:rPr>
        <w:t xml:space="preserve">Journal of </w:t>
      </w:r>
      <w:r>
        <w:rPr>
          <w:i/>
          <w:iCs/>
        </w:rPr>
        <w:t>Statistics for Humane Studies</w:t>
      </w:r>
      <w:r>
        <w:t>, 2018(3), pp.12-15</w:t>
      </w:r>
      <w:r w:rsidRPr="00A333BF">
        <w:t>.</w:t>
      </w:r>
    </w:p>
    <w:p w14:paraId="32823AA5" w14:textId="77777777" w:rsidR="004916BC" w:rsidRPr="00A333BF" w:rsidRDefault="004916BC" w:rsidP="00EA03F3">
      <w:r>
        <w:t>Burton, G. and Jared, R.</w:t>
      </w:r>
      <w:r w:rsidRPr="00A333BF">
        <w:t xml:space="preserve"> </w:t>
      </w:r>
      <w:r>
        <w:t>(2012)</w:t>
      </w:r>
      <w:r w:rsidRPr="00A333BF">
        <w:t xml:space="preserve">. </w:t>
      </w:r>
      <w:r>
        <w:t>The hidden cost of having a multicultural workforce</w:t>
      </w:r>
      <w:r w:rsidRPr="00A333BF">
        <w:t>. </w:t>
      </w:r>
      <w:r w:rsidRPr="00A333BF">
        <w:rPr>
          <w:i/>
          <w:iCs/>
        </w:rPr>
        <w:t xml:space="preserve">Journal of </w:t>
      </w:r>
      <w:r>
        <w:rPr>
          <w:i/>
          <w:iCs/>
        </w:rPr>
        <w:t>Culture Development</w:t>
      </w:r>
      <w:r>
        <w:t>, 2017(1), pp.15-7</w:t>
      </w:r>
      <w:r w:rsidRPr="00A333BF">
        <w:t>7.</w:t>
      </w:r>
    </w:p>
    <w:p w14:paraId="4910A6E7" w14:textId="77777777" w:rsidR="004916BC" w:rsidRPr="00A333BF" w:rsidRDefault="004916BC" w:rsidP="00EA03F3">
      <w:r>
        <w:t>Campbell, L. and Whitney, R.</w:t>
      </w:r>
      <w:r w:rsidRPr="00A333BF">
        <w:t xml:space="preserve"> </w:t>
      </w:r>
      <w:r>
        <w:t>(2017)</w:t>
      </w:r>
      <w:r w:rsidRPr="00A333BF">
        <w:t xml:space="preserve">. </w:t>
      </w:r>
      <w:r>
        <w:t>Human Resource as a Part of Value Spectrum</w:t>
      </w:r>
      <w:r w:rsidRPr="00A333BF">
        <w:t>. </w:t>
      </w:r>
      <w:r w:rsidRPr="00A333BF">
        <w:rPr>
          <w:i/>
          <w:iCs/>
        </w:rPr>
        <w:t xml:space="preserve">Journal of </w:t>
      </w:r>
      <w:r>
        <w:rPr>
          <w:i/>
          <w:iCs/>
        </w:rPr>
        <w:t>Competitive Studies and Business Value Creation</w:t>
      </w:r>
      <w:r>
        <w:t>, 2018(4), pp.42</w:t>
      </w:r>
      <w:r w:rsidRPr="00A333BF">
        <w:t>-57.</w:t>
      </w:r>
    </w:p>
    <w:p w14:paraId="1EDFD964" w14:textId="77777777" w:rsidR="004916BC" w:rsidRPr="00A333BF" w:rsidRDefault="004916BC" w:rsidP="00EA03F3">
      <w:r>
        <w:t>Clarke, B. and Seymour, L.</w:t>
      </w:r>
      <w:r w:rsidRPr="00A333BF">
        <w:t xml:space="preserve"> </w:t>
      </w:r>
      <w:r>
        <w:t>(2019)</w:t>
      </w:r>
      <w:r w:rsidRPr="00A333BF">
        <w:t xml:space="preserve">. </w:t>
      </w:r>
      <w:r>
        <w:t>Valuing organizational culture in terms of wealth maximization</w:t>
      </w:r>
      <w:r w:rsidRPr="00A333BF">
        <w:t>. </w:t>
      </w:r>
      <w:r w:rsidRPr="00A333BF">
        <w:rPr>
          <w:i/>
          <w:iCs/>
        </w:rPr>
        <w:t xml:space="preserve">Journal of </w:t>
      </w:r>
      <w:r>
        <w:rPr>
          <w:i/>
          <w:iCs/>
        </w:rPr>
        <w:t>Management and Business Strategy</w:t>
      </w:r>
      <w:r>
        <w:t>, 2019(8), pp.41-42</w:t>
      </w:r>
      <w:r w:rsidRPr="00A333BF">
        <w:t>.</w:t>
      </w:r>
    </w:p>
    <w:p w14:paraId="0CA39345" w14:textId="77777777" w:rsidR="004916BC" w:rsidRPr="00A333BF" w:rsidRDefault="004916BC" w:rsidP="00EA03F3">
      <w:r>
        <w:t>Collins, P. and Brenna, B.</w:t>
      </w:r>
      <w:r w:rsidRPr="00A333BF">
        <w:t xml:space="preserve"> </w:t>
      </w:r>
      <w:r>
        <w:t>(2012)</w:t>
      </w:r>
      <w:r w:rsidRPr="00A333BF">
        <w:t xml:space="preserve">. </w:t>
      </w:r>
      <w:r>
        <w:t>Leveraging Talents to Create Growth</w:t>
      </w:r>
      <w:r w:rsidRPr="00A333BF">
        <w:t>. </w:t>
      </w:r>
      <w:r w:rsidRPr="00A333BF">
        <w:rPr>
          <w:i/>
          <w:iCs/>
        </w:rPr>
        <w:t>Journal of Finance</w:t>
      </w:r>
      <w:r>
        <w:rPr>
          <w:i/>
          <w:iCs/>
        </w:rPr>
        <w:t xml:space="preserve"> and Competitive Studies</w:t>
      </w:r>
      <w:r>
        <w:t>, 2019(3), pp.2-3</w:t>
      </w:r>
      <w:r w:rsidRPr="00A333BF">
        <w:t>.</w:t>
      </w:r>
    </w:p>
    <w:p w14:paraId="7A556B8B" w14:textId="77777777" w:rsidR="004916BC" w:rsidRPr="00A333BF" w:rsidRDefault="004916BC" w:rsidP="00EA03F3">
      <w:r>
        <w:t>Corbyn, D. and Rodolph, F.</w:t>
      </w:r>
      <w:r w:rsidRPr="00A333BF">
        <w:t xml:space="preserve"> </w:t>
      </w:r>
      <w:r>
        <w:t>(2014)</w:t>
      </w:r>
      <w:r w:rsidRPr="00A333BF">
        <w:t xml:space="preserve">. </w:t>
      </w:r>
      <w:r>
        <w:t>Making decisions while leveraging culture</w:t>
      </w:r>
      <w:r w:rsidRPr="00A333BF">
        <w:t>. </w:t>
      </w:r>
      <w:r w:rsidRPr="00A333BF">
        <w:rPr>
          <w:i/>
          <w:iCs/>
        </w:rPr>
        <w:t xml:space="preserve">Journal of </w:t>
      </w:r>
      <w:r>
        <w:rPr>
          <w:i/>
          <w:iCs/>
        </w:rPr>
        <w:t>Competitive Studies</w:t>
      </w:r>
      <w:r>
        <w:t>, 2019(5), pp.19-20</w:t>
      </w:r>
      <w:r w:rsidRPr="00A333BF">
        <w:t>.</w:t>
      </w:r>
    </w:p>
    <w:p w14:paraId="3A0BBD84" w14:textId="77777777" w:rsidR="004916BC" w:rsidRPr="00A333BF" w:rsidRDefault="004916BC" w:rsidP="00EA03F3">
      <w:r>
        <w:t>Davidson, G. and Taegan, N.</w:t>
      </w:r>
      <w:r w:rsidRPr="00A333BF">
        <w:t xml:space="preserve"> </w:t>
      </w:r>
      <w:r>
        <w:t>(2016)</w:t>
      </w:r>
      <w:r w:rsidRPr="00A333BF">
        <w:t xml:space="preserve">. </w:t>
      </w:r>
      <w:r>
        <w:t>The Development of cultural factors in business organizations</w:t>
      </w:r>
      <w:r w:rsidRPr="00A333BF">
        <w:t>. </w:t>
      </w:r>
      <w:r w:rsidRPr="00A333BF">
        <w:rPr>
          <w:i/>
          <w:iCs/>
        </w:rPr>
        <w:t>Journal of Finance</w:t>
      </w:r>
      <w:r>
        <w:t>, 2020(2), pp.24-28</w:t>
      </w:r>
      <w:r w:rsidRPr="00A333BF">
        <w:t>.</w:t>
      </w:r>
    </w:p>
    <w:p w14:paraId="6F723AE8" w14:textId="77777777" w:rsidR="004916BC" w:rsidRPr="00A333BF" w:rsidRDefault="004916BC" w:rsidP="00EA03F3">
      <w:r>
        <w:t>Davidson, H.</w:t>
      </w:r>
      <w:r w:rsidRPr="00A333BF">
        <w:t xml:space="preserve"> </w:t>
      </w:r>
      <w:r>
        <w:t>(2018). Cultural Leadership in the age of globalisation</w:t>
      </w:r>
      <w:r w:rsidRPr="00A333BF">
        <w:t>. </w:t>
      </w:r>
      <w:r w:rsidRPr="00A333BF">
        <w:rPr>
          <w:i/>
          <w:iCs/>
        </w:rPr>
        <w:t xml:space="preserve">Journal of </w:t>
      </w:r>
      <w:r>
        <w:rPr>
          <w:i/>
          <w:iCs/>
        </w:rPr>
        <w:t>Management Studies</w:t>
      </w:r>
      <w:r>
        <w:t>, 2020(6), pp.13-15</w:t>
      </w:r>
      <w:r w:rsidRPr="00A333BF">
        <w:t>.</w:t>
      </w:r>
    </w:p>
    <w:p w14:paraId="0C4ABAD7" w14:textId="77777777" w:rsidR="004916BC" w:rsidRPr="00A333BF" w:rsidRDefault="004916BC" w:rsidP="00EA03F3">
      <w:r>
        <w:t>Dixon, H.</w:t>
      </w:r>
      <w:r w:rsidRPr="00A333BF">
        <w:t xml:space="preserve"> </w:t>
      </w:r>
      <w:r>
        <w:t>(2019)</w:t>
      </w:r>
      <w:r w:rsidRPr="00A333BF">
        <w:t xml:space="preserve">. </w:t>
      </w:r>
      <w:r>
        <w:t>Jostling through the Competition</w:t>
      </w:r>
      <w:r w:rsidRPr="00A333BF">
        <w:t>. </w:t>
      </w:r>
      <w:r w:rsidRPr="00A333BF">
        <w:rPr>
          <w:i/>
          <w:iCs/>
        </w:rPr>
        <w:t>Journal of Finance and Investments</w:t>
      </w:r>
      <w:r>
        <w:t>, 2020(9), pp.5</w:t>
      </w:r>
      <w:r w:rsidRPr="00A333BF">
        <w:t>-14.</w:t>
      </w:r>
    </w:p>
    <w:p w14:paraId="29EE7497" w14:textId="77777777" w:rsidR="004916BC" w:rsidRPr="00A333BF" w:rsidRDefault="004916BC" w:rsidP="00EA03F3">
      <w:r>
        <w:t>Evans, M.</w:t>
      </w:r>
      <w:r w:rsidRPr="00A333BF">
        <w:t xml:space="preserve"> </w:t>
      </w:r>
      <w:r>
        <w:t>(2019)</w:t>
      </w:r>
      <w:r w:rsidRPr="00A333BF">
        <w:t xml:space="preserve">. </w:t>
      </w:r>
      <w:r>
        <w:t>Connectivity Influencing Human Resource Management</w:t>
      </w:r>
      <w:r w:rsidRPr="00A333BF">
        <w:t>. </w:t>
      </w:r>
      <w:r w:rsidRPr="00A333BF">
        <w:rPr>
          <w:i/>
          <w:iCs/>
        </w:rPr>
        <w:t xml:space="preserve">Journal of Finance and </w:t>
      </w:r>
      <w:r>
        <w:rPr>
          <w:i/>
          <w:iCs/>
        </w:rPr>
        <w:t>Human Resources</w:t>
      </w:r>
      <w:r>
        <w:t>, 2020(8), pp.8-12</w:t>
      </w:r>
      <w:r w:rsidRPr="00A333BF">
        <w:t>.</w:t>
      </w:r>
    </w:p>
    <w:p w14:paraId="3BFB9E52" w14:textId="77777777" w:rsidR="004916BC" w:rsidRPr="00A333BF" w:rsidRDefault="004916BC" w:rsidP="00EA03F3">
      <w:r>
        <w:t>Fisher, B.</w:t>
      </w:r>
      <w:r w:rsidRPr="00A333BF">
        <w:t xml:space="preserve"> </w:t>
      </w:r>
      <w:r>
        <w:t>(2017)</w:t>
      </w:r>
      <w:r w:rsidRPr="00A333BF">
        <w:t xml:space="preserve">. </w:t>
      </w:r>
      <w:r>
        <w:t>The People Person</w:t>
      </w:r>
      <w:r w:rsidRPr="00A333BF">
        <w:t>. </w:t>
      </w:r>
      <w:r w:rsidRPr="00A333BF">
        <w:rPr>
          <w:i/>
          <w:iCs/>
        </w:rPr>
        <w:t xml:space="preserve">Journal of </w:t>
      </w:r>
      <w:r>
        <w:rPr>
          <w:i/>
          <w:iCs/>
        </w:rPr>
        <w:t>Management and Leadership</w:t>
      </w:r>
      <w:r>
        <w:t>, 2019(4), pp.56-61</w:t>
      </w:r>
      <w:r w:rsidRPr="00A333BF">
        <w:t>.</w:t>
      </w:r>
    </w:p>
    <w:p w14:paraId="3EF584FC" w14:textId="77777777" w:rsidR="004916BC" w:rsidRPr="00A333BF" w:rsidRDefault="004916BC" w:rsidP="00EA03F3">
      <w:r>
        <w:lastRenderedPageBreak/>
        <w:t>Griffin, T.</w:t>
      </w:r>
      <w:r w:rsidRPr="00A333BF">
        <w:t xml:space="preserve"> </w:t>
      </w:r>
      <w:r>
        <w:t>(</w:t>
      </w:r>
      <w:r w:rsidRPr="00A333BF">
        <w:t>2021</w:t>
      </w:r>
      <w:r>
        <w:t>)</w:t>
      </w:r>
      <w:r w:rsidRPr="00A333BF">
        <w:t xml:space="preserve">. </w:t>
      </w:r>
      <w:r>
        <w:t>Building Organizational Culture as a Part of Competitive Advantage</w:t>
      </w:r>
      <w:r w:rsidRPr="00A333BF">
        <w:t>. </w:t>
      </w:r>
      <w:r w:rsidRPr="00A333BF">
        <w:rPr>
          <w:i/>
          <w:iCs/>
        </w:rPr>
        <w:t xml:space="preserve">Journal of </w:t>
      </w:r>
      <w:r>
        <w:rPr>
          <w:i/>
          <w:iCs/>
        </w:rPr>
        <w:t>Cultural Studies</w:t>
      </w:r>
      <w:r>
        <w:t>, 2019(2</w:t>
      </w:r>
      <w:r w:rsidRPr="00A333BF">
        <w:t>), pp.12-14.</w:t>
      </w:r>
    </w:p>
    <w:p w14:paraId="6BFB7F2D" w14:textId="77777777" w:rsidR="004916BC" w:rsidRPr="00A333BF" w:rsidRDefault="004916BC" w:rsidP="00EA03F3">
      <w:r>
        <w:t>Morris, N.</w:t>
      </w:r>
      <w:r w:rsidRPr="00A333BF">
        <w:t xml:space="preserve"> </w:t>
      </w:r>
      <w:r>
        <w:t>(2017)</w:t>
      </w:r>
      <w:r w:rsidRPr="00A333BF">
        <w:t xml:space="preserve">. </w:t>
      </w:r>
      <w:r>
        <w:t>Values behind Cross-Cultural Management</w:t>
      </w:r>
      <w:r w:rsidRPr="00A333BF">
        <w:t>. </w:t>
      </w:r>
      <w:r w:rsidRPr="00A333BF">
        <w:rPr>
          <w:i/>
          <w:iCs/>
        </w:rPr>
        <w:t xml:space="preserve">Journal of </w:t>
      </w:r>
      <w:r>
        <w:rPr>
          <w:i/>
          <w:iCs/>
        </w:rPr>
        <w:t>Human Resources</w:t>
      </w:r>
      <w:r>
        <w:t>, 2017(9), pp.8-11</w:t>
      </w:r>
      <w:r w:rsidRPr="00A333BF">
        <w:t>.</w:t>
      </w:r>
    </w:p>
    <w:p w14:paraId="2A4AD411" w14:textId="77777777" w:rsidR="004916BC" w:rsidRPr="00896056" w:rsidRDefault="004916BC" w:rsidP="00896056">
      <w:r>
        <w:t xml:space="preserve">Samover, L. (2009). </w:t>
      </w:r>
      <w:r w:rsidRPr="004916BC">
        <w:rPr>
          <w:i/>
          <w:iCs/>
        </w:rPr>
        <w:t>Communication between Cultures.</w:t>
      </w:r>
      <w:r>
        <w:t xml:space="preserve"> Wadsworth, London</w:t>
      </w:r>
    </w:p>
    <w:p w14:paraId="13B64740" w14:textId="77777777" w:rsidR="004916BC" w:rsidRDefault="004916BC" w:rsidP="00896056">
      <w:r>
        <w:t xml:space="preserve">Timm, A. (2011). </w:t>
      </w:r>
      <w:r w:rsidRPr="004916BC">
        <w:rPr>
          <w:i/>
          <w:iCs/>
        </w:rPr>
        <w:t>Intercultural Problems in the Tourism Industry</w:t>
      </w:r>
      <w:r>
        <w:t xml:space="preserve">. GRIN Verlag </w:t>
      </w:r>
    </w:p>
    <w:p w14:paraId="52D82922" w14:textId="77777777" w:rsidR="004916BC" w:rsidRPr="00A333BF" w:rsidRDefault="004916BC" w:rsidP="00EA03F3">
      <w:r>
        <w:t>Watson, H.</w:t>
      </w:r>
      <w:r w:rsidRPr="00A333BF">
        <w:t xml:space="preserve"> </w:t>
      </w:r>
      <w:r>
        <w:t>(2012)</w:t>
      </w:r>
      <w:r w:rsidRPr="00A333BF">
        <w:t xml:space="preserve">. </w:t>
      </w:r>
      <w:r>
        <w:t>Leadership and Cultural differences</w:t>
      </w:r>
      <w:r w:rsidRPr="00A333BF">
        <w:t>. </w:t>
      </w:r>
      <w:r w:rsidRPr="00A333BF">
        <w:rPr>
          <w:i/>
          <w:iCs/>
        </w:rPr>
        <w:t xml:space="preserve">Journal of </w:t>
      </w:r>
      <w:r>
        <w:rPr>
          <w:i/>
          <w:iCs/>
        </w:rPr>
        <w:t>Leadership and Cultural Studies</w:t>
      </w:r>
      <w:r>
        <w:t>, 2020(3), pp.65-78</w:t>
      </w:r>
      <w:r w:rsidRPr="00A333BF">
        <w:t>.</w:t>
      </w:r>
    </w:p>
    <w:sectPr w:rsidR="004916BC" w:rsidRPr="00A333BF" w:rsidSect="004417FA">
      <w:head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FC588E" w14:textId="77777777" w:rsidR="009E7B0F" w:rsidRDefault="009E7B0F">
      <w:pPr>
        <w:spacing w:after="0" w:line="240" w:lineRule="auto"/>
      </w:pPr>
      <w:r>
        <w:separator/>
      </w:r>
    </w:p>
  </w:endnote>
  <w:endnote w:type="continuationSeparator" w:id="0">
    <w:p w14:paraId="1265268C" w14:textId="77777777" w:rsidR="009E7B0F" w:rsidRDefault="009E7B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1"/>
    <w:family w:val="roman"/>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269F3" w14:textId="77777777" w:rsidR="004916BC" w:rsidRDefault="004916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2183361"/>
      <w:docPartObj>
        <w:docPartGallery w:val="Page Numbers (Bottom of Page)"/>
        <w:docPartUnique/>
      </w:docPartObj>
    </w:sdtPr>
    <w:sdtEndPr>
      <w:rPr>
        <w:noProof/>
      </w:rPr>
    </w:sdtEndPr>
    <w:sdtContent>
      <w:p w14:paraId="1E84E369" w14:textId="77777777" w:rsidR="004417FA" w:rsidRDefault="00845838">
        <w:pPr>
          <w:pStyle w:val="Footer"/>
          <w:jc w:val="right"/>
        </w:pPr>
        <w:r>
          <w:fldChar w:fldCharType="begin"/>
        </w:r>
        <w:r>
          <w:instrText xml:space="preserve"> PAGE   \* MERGEFORMAT </w:instrText>
        </w:r>
        <w:r>
          <w:fldChar w:fldCharType="separate"/>
        </w:r>
        <w:r w:rsidR="004916BC">
          <w:rPr>
            <w:noProof/>
          </w:rPr>
          <w:t>ii</w:t>
        </w:r>
        <w:r>
          <w:rPr>
            <w:noProof/>
          </w:rPr>
          <w:fldChar w:fldCharType="end"/>
        </w:r>
      </w:p>
    </w:sdtContent>
  </w:sdt>
  <w:p w14:paraId="6B14F920" w14:textId="77777777" w:rsidR="004417FA" w:rsidRDefault="004417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4C58A" w14:textId="77777777" w:rsidR="004916BC" w:rsidRDefault="004916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BF765" w14:textId="77777777" w:rsidR="009E7B0F" w:rsidRDefault="009E7B0F">
      <w:pPr>
        <w:spacing w:after="0" w:line="240" w:lineRule="auto"/>
      </w:pPr>
      <w:r>
        <w:separator/>
      </w:r>
    </w:p>
  </w:footnote>
  <w:footnote w:type="continuationSeparator" w:id="0">
    <w:p w14:paraId="3ADB296C" w14:textId="77777777" w:rsidR="009E7B0F" w:rsidRDefault="009E7B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C5BAE" w14:textId="77777777" w:rsidR="004916BC" w:rsidRDefault="004916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99737" w14:textId="77777777" w:rsidR="004916BC" w:rsidRDefault="004916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22DC8" w14:textId="77777777" w:rsidR="004916BC" w:rsidRDefault="004916B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2DB29" w14:textId="77777777" w:rsidR="004417FA" w:rsidRDefault="004417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A40FA30"/>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D21"/>
    <w:rsid w:val="000A7DBF"/>
    <w:rsid w:val="000D6D21"/>
    <w:rsid w:val="000E7BCF"/>
    <w:rsid w:val="001633CE"/>
    <w:rsid w:val="001E70BA"/>
    <w:rsid w:val="00211C62"/>
    <w:rsid w:val="0025008E"/>
    <w:rsid w:val="00403B13"/>
    <w:rsid w:val="004417FA"/>
    <w:rsid w:val="004916BC"/>
    <w:rsid w:val="004A6155"/>
    <w:rsid w:val="006B56FF"/>
    <w:rsid w:val="007121D0"/>
    <w:rsid w:val="00776ED3"/>
    <w:rsid w:val="00824E75"/>
    <w:rsid w:val="00845838"/>
    <w:rsid w:val="00896056"/>
    <w:rsid w:val="008B6F9F"/>
    <w:rsid w:val="009E7B0F"/>
    <w:rsid w:val="00A333BF"/>
    <w:rsid w:val="00A87A8A"/>
    <w:rsid w:val="00AE648F"/>
    <w:rsid w:val="00B61C81"/>
    <w:rsid w:val="00C750EF"/>
    <w:rsid w:val="00CC2238"/>
    <w:rsid w:val="00CC5E55"/>
    <w:rsid w:val="00E27F6D"/>
    <w:rsid w:val="00EA03F3"/>
    <w:rsid w:val="00EC5831"/>
    <w:rsid w:val="00F64D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D4D8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23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C223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CC2238"/>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6B56FF"/>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238"/>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CC2238"/>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6B56FF"/>
    <w:rPr>
      <w:rFonts w:ascii="Times New Roman" w:eastAsiaTheme="majorEastAsia" w:hAnsi="Times New Roman" w:cstheme="majorBidi"/>
      <w:b/>
      <w:sz w:val="24"/>
      <w:szCs w:val="24"/>
      <w:lang w:val="en-GB"/>
    </w:rPr>
  </w:style>
  <w:style w:type="paragraph" w:styleId="TOCHeading">
    <w:name w:val="TOC Heading"/>
    <w:basedOn w:val="Heading1"/>
    <w:next w:val="Normal"/>
    <w:uiPriority w:val="39"/>
    <w:unhideWhenUsed/>
    <w:qFormat/>
    <w:rsid w:val="000D6D21"/>
    <w:pPr>
      <w:spacing w:line="259" w:lineRule="auto"/>
      <w:jc w:val="left"/>
      <w:outlineLvl w:val="9"/>
    </w:pPr>
    <w:rPr>
      <w:rFonts w:asciiTheme="majorHAnsi" w:hAnsiTheme="majorHAnsi"/>
      <w:b w:val="0"/>
      <w:color w:val="2F5496" w:themeColor="accent1" w:themeShade="BF"/>
      <w:lang w:val="en-US"/>
    </w:rPr>
  </w:style>
  <w:style w:type="paragraph" w:styleId="Caption">
    <w:name w:val="caption"/>
    <w:basedOn w:val="Normal"/>
    <w:next w:val="Normal"/>
    <w:uiPriority w:val="35"/>
    <w:unhideWhenUsed/>
    <w:qFormat/>
    <w:rsid w:val="000E7BCF"/>
    <w:pPr>
      <w:spacing w:after="200" w:line="240" w:lineRule="auto"/>
    </w:pPr>
    <w:rPr>
      <w:i/>
      <w:iCs/>
      <w:color w:val="44546A" w:themeColor="text2"/>
      <w:sz w:val="18"/>
      <w:szCs w:val="18"/>
    </w:rPr>
  </w:style>
  <w:style w:type="table" w:styleId="TableGrid">
    <w:name w:val="Table Grid"/>
    <w:basedOn w:val="TableNormal"/>
    <w:uiPriority w:val="39"/>
    <w:rsid w:val="00E27F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E27F6D"/>
    <w:pPr>
      <w:numPr>
        <w:numId w:val="1"/>
      </w:numPr>
      <w:contextualSpacing/>
    </w:pPr>
  </w:style>
  <w:style w:type="paragraph" w:styleId="Header">
    <w:name w:val="header"/>
    <w:basedOn w:val="Normal"/>
    <w:link w:val="HeaderChar"/>
    <w:uiPriority w:val="99"/>
    <w:unhideWhenUsed/>
    <w:rsid w:val="004417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7FA"/>
    <w:rPr>
      <w:rFonts w:ascii="Times New Roman" w:hAnsi="Times New Roman"/>
      <w:sz w:val="24"/>
    </w:rPr>
  </w:style>
  <w:style w:type="paragraph" w:styleId="Footer">
    <w:name w:val="footer"/>
    <w:basedOn w:val="Normal"/>
    <w:link w:val="FooterChar"/>
    <w:uiPriority w:val="99"/>
    <w:unhideWhenUsed/>
    <w:rsid w:val="004417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7FA"/>
    <w:rPr>
      <w:rFonts w:ascii="Times New Roman" w:hAnsi="Times New Roman"/>
      <w:sz w:val="24"/>
    </w:rPr>
  </w:style>
  <w:style w:type="paragraph" w:styleId="TOC1">
    <w:name w:val="toc 1"/>
    <w:basedOn w:val="Normal"/>
    <w:next w:val="Normal"/>
    <w:autoRedefine/>
    <w:uiPriority w:val="39"/>
    <w:unhideWhenUsed/>
    <w:rsid w:val="004417FA"/>
    <w:pPr>
      <w:spacing w:after="100"/>
    </w:pPr>
  </w:style>
  <w:style w:type="paragraph" w:styleId="TOC2">
    <w:name w:val="toc 2"/>
    <w:basedOn w:val="Normal"/>
    <w:next w:val="Normal"/>
    <w:autoRedefine/>
    <w:uiPriority w:val="39"/>
    <w:unhideWhenUsed/>
    <w:rsid w:val="004417FA"/>
    <w:pPr>
      <w:spacing w:after="100"/>
      <w:ind w:left="240"/>
    </w:pPr>
  </w:style>
  <w:style w:type="character" w:styleId="Hyperlink">
    <w:name w:val="Hyperlink"/>
    <w:basedOn w:val="DefaultParagraphFont"/>
    <w:uiPriority w:val="99"/>
    <w:unhideWhenUsed/>
    <w:rsid w:val="004417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B8E782-3166-49DC-B7BA-2B7D672A6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1476</Words>
  <Characters>8415</Characters>
  <Application>Microsoft Office Word</Application>
  <DocSecurity>0</DocSecurity>
  <Lines>70</Lines>
  <Paragraphs>19</Paragraphs>
  <ScaleCrop>false</ScaleCrop>
  <Company/>
  <LinksUpToDate>false</LinksUpToDate>
  <CharactersWithSpaces>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2022-03-17T10:14:00Z</dcterms:created>
  <dcterms:modified xsi:type="dcterms:W3CDTF">2022-03-17T10:25:00Z</dcterms:modified>
</cp:coreProperties>
</file>