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sz w:val="21"/>
        </w:rPr>
        <mc:AlternateContent>
          <mc:Choice Requires="wps">
            <w:drawing>
              <wp:anchor distT="0" distB="0" distL="114300" distR="114300" simplePos="0" relativeHeight="251660288" behindDoc="0" locked="0" layoutInCell="1" allowOverlap="1">
                <wp:simplePos x="0" y="0"/>
                <wp:positionH relativeFrom="column">
                  <wp:posOffset>-395605</wp:posOffset>
                </wp:positionH>
                <wp:positionV relativeFrom="paragraph">
                  <wp:posOffset>-202565</wp:posOffset>
                </wp:positionV>
                <wp:extent cx="5996940" cy="1934845"/>
                <wp:effectExtent l="6350" t="6350" r="16510" b="9525"/>
                <wp:wrapNone/>
                <wp:docPr id="1" name="矩形 1"/>
                <wp:cNvGraphicFramePr/>
                <a:graphic xmlns:a="http://schemas.openxmlformats.org/drawingml/2006/main">
                  <a:graphicData uri="http://schemas.microsoft.com/office/word/2010/wordprocessingShape">
                    <wps:wsp>
                      <wps:cNvSpPr/>
                      <wps:spPr>
                        <a:xfrm>
                          <a:off x="747395" y="711835"/>
                          <a:ext cx="5996940" cy="1934845"/>
                        </a:xfrm>
                        <a:prstGeom prst="rect">
                          <a:avLst/>
                        </a:prstGeom>
                        <a:solidFill>
                          <a:schemeClr val="bg1">
                            <a:lumMod val="85000"/>
                          </a:schemeClr>
                        </a:solidFill>
                        <a:ln>
                          <a:solidFill>
                            <a:schemeClr val="bg1"/>
                          </a:solidFill>
                        </a:ln>
                      </wps:spPr>
                      <wps:style>
                        <a:lnRef idx="2">
                          <a:schemeClr val="accent1">
                            <a:lumMod val="75000"/>
                          </a:schemeClr>
                        </a:lnRef>
                        <a:fillRef idx="1">
                          <a:schemeClr val="accent1"/>
                        </a:fillRef>
                        <a:effectRef idx="0">
                          <a:srgbClr val="FFFFFF"/>
                        </a:effectRef>
                        <a:fontRef idx="minor">
                          <a:schemeClr val="lt1"/>
                        </a:fontRef>
                      </wps:style>
                      <wps:txbx>
                        <w:txbxContent>
                          <w:p>
                            <w:pPr>
                              <w:widowControl/>
                              <w:spacing w:after="160" w:line="259" w:lineRule="auto"/>
                              <w:jc w:val="center"/>
                              <w:rPr>
                                <w:rFonts w:hint="default" w:ascii="Arial" w:hAnsi="Arial" w:eastAsia="汉仪雅酷黑 75W" w:cs="Arial"/>
                                <w:b/>
                                <w:bCs/>
                                <w:color w:val="7B9DCA"/>
                                <w:kern w:val="0"/>
                                <w:sz w:val="84"/>
                                <w:szCs w:val="84"/>
                                <w:lang w:val="en-US" w:eastAsia="zh-CN"/>
                                <w14:ligatures w14:val="none"/>
                              </w:rPr>
                            </w:pPr>
                            <w:r>
                              <w:rPr>
                                <w:rFonts w:hint="default" w:ascii="Arial" w:hAnsi="Arial" w:eastAsia="汉仪雅酷黑 75W" w:cs="Arial"/>
                                <w:b/>
                                <w:bCs/>
                                <w:color w:val="7B9DCA"/>
                                <w:kern w:val="0"/>
                                <w:sz w:val="84"/>
                                <w:szCs w:val="84"/>
                                <w:lang w:val="en-US" w:eastAsia="zh-CN"/>
                                <w14:ligatures w14:val="none"/>
                              </w:rPr>
                              <w:t xml:space="preserve"> Leading and Developing People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1.15pt;margin-top:-15.95pt;height:152.35pt;width:472.2pt;z-index:251660288;v-text-anchor:middle;mso-width-relative:page;mso-height-relative:page;" fillcolor="#D9D9D9 [2732]" filled="t" stroked="t" coordsize="21600,21600" o:gfxdata="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NrAhBnYAAAACwEAAA8AAAAAAAAAAQAgAAAAIgAAAGRycy9kb3ducmV2LnhtbFBLAQIUABQAAAAI&#10;AIdO4kC5CRn9mAIAACwFAAAOAAAAAAAAAAEAIAAAACcBAABkcnMvZTJvRG9jLnhtbFBLBQYAAAAA&#10;BgAGAFkBAAAxBgAAAAA=&#10;">
                <v:fill on="t" focussize="0,0"/>
                <v:stroke weight="1pt" color="#FFFFFF [3212]" miterlimit="8" joinstyle="miter"/>
                <v:imagedata o:title=""/>
                <o:lock v:ext="edit" aspectratio="f"/>
                <v:textbox>
                  <w:txbxContent>
                    <w:p>
                      <w:pPr>
                        <w:widowControl/>
                        <w:spacing w:after="160" w:line="259" w:lineRule="auto"/>
                        <w:jc w:val="center"/>
                        <w:rPr>
                          <w:rFonts w:hint="default" w:ascii="Arial" w:hAnsi="Arial" w:eastAsia="汉仪雅酷黑 75W" w:cs="Arial"/>
                          <w:b/>
                          <w:bCs/>
                          <w:color w:val="7B9DCA"/>
                          <w:kern w:val="0"/>
                          <w:sz w:val="84"/>
                          <w:szCs w:val="84"/>
                          <w:lang w:val="en-US" w:eastAsia="zh-CN"/>
                          <w14:ligatures w14:val="none"/>
                        </w:rPr>
                      </w:pPr>
                      <w:r>
                        <w:rPr>
                          <w:rFonts w:hint="default" w:ascii="Arial" w:hAnsi="Arial" w:eastAsia="汉仪雅酷黑 75W" w:cs="Arial"/>
                          <w:b/>
                          <w:bCs/>
                          <w:color w:val="7B9DCA"/>
                          <w:kern w:val="0"/>
                          <w:sz w:val="84"/>
                          <w:szCs w:val="84"/>
                          <w:lang w:val="en-US" w:eastAsia="zh-CN"/>
                          <w14:ligatures w14:val="none"/>
                        </w:rPr>
                        <w:t xml:space="preserve"> Leading and Developing People</w:t>
                      </w:r>
                    </w:p>
                  </w:txbxContent>
                </v:textbox>
              </v:rect>
            </w:pict>
          </mc:Fallback>
        </mc:AlternateContent>
      </w:r>
      <w:r>
        <w:drawing>
          <wp:anchor distT="0" distB="0" distL="114300" distR="114300" simplePos="0" relativeHeight="251659264" behindDoc="1" locked="0" layoutInCell="1" allowOverlap="1">
            <wp:simplePos x="0" y="0"/>
            <wp:positionH relativeFrom="column">
              <wp:posOffset>-1160145</wp:posOffset>
            </wp:positionH>
            <wp:positionV relativeFrom="paragraph">
              <wp:posOffset>-917575</wp:posOffset>
            </wp:positionV>
            <wp:extent cx="7624445" cy="11355070"/>
            <wp:effectExtent l="9525" t="9525" r="16510" b="19685"/>
            <wp:wrapNone/>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4"/>
                    <a:stretch>
                      <a:fillRect/>
                    </a:stretch>
                  </pic:blipFill>
                  <pic:spPr>
                    <a:xfrm>
                      <a:off x="0" y="0"/>
                      <a:ext cx="7624445" cy="11355070"/>
                    </a:xfrm>
                    <a:prstGeom prst="rect">
                      <a:avLst/>
                    </a:prstGeom>
                    <a:noFill/>
                    <a:ln>
                      <a:solidFill>
                        <a:srgbClr val="0000FF"/>
                      </a:solidFill>
                    </a:ln>
                  </pic:spPr>
                </pic:pic>
              </a:graphicData>
            </a:graphic>
          </wp:anchor>
        </w:drawing>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bookmarkStart w:id="0" w:name="_GoBack"/>
      <w:bookmarkEnd w:id="0"/>
      <w:r>
        <w:rPr>
          <w:sz w:val="24"/>
        </w:rPr>
        <mc:AlternateContent>
          <mc:Choice Requires="wps">
            <w:drawing>
              <wp:anchor distT="0" distB="0" distL="114300" distR="114300" simplePos="0" relativeHeight="251661312" behindDoc="0" locked="0" layoutInCell="1" allowOverlap="1">
                <wp:simplePos x="0" y="0"/>
                <wp:positionH relativeFrom="column">
                  <wp:posOffset>-98425</wp:posOffset>
                </wp:positionH>
                <wp:positionV relativeFrom="paragraph">
                  <wp:posOffset>290195</wp:posOffset>
                </wp:positionV>
                <wp:extent cx="5394960" cy="5166360"/>
                <wp:effectExtent l="6350" t="6350" r="8890" b="8890"/>
                <wp:wrapNone/>
                <wp:docPr id="2" name="矩形 2"/>
                <wp:cNvGraphicFramePr/>
                <a:graphic xmlns:a="http://schemas.openxmlformats.org/drawingml/2006/main">
                  <a:graphicData uri="http://schemas.microsoft.com/office/word/2010/wordprocessingShape">
                    <wps:wsp>
                      <wps:cNvSpPr/>
                      <wps:spPr>
                        <a:xfrm>
                          <a:off x="1044575" y="3104515"/>
                          <a:ext cx="5394960" cy="5166360"/>
                        </a:xfrm>
                        <a:prstGeom prst="rect">
                          <a:avLst/>
                        </a:prstGeom>
                        <a:solidFill>
                          <a:schemeClr val="bg1">
                            <a:lumMod val="85000"/>
                          </a:schemeClr>
                        </a:solidFill>
                      </wps:spPr>
                      <wps:style>
                        <a:lnRef idx="2">
                          <a:schemeClr val="accent1">
                            <a:lumMod val="75000"/>
                          </a:schemeClr>
                        </a:lnRef>
                        <a:fillRef idx="1">
                          <a:schemeClr val="accent1"/>
                        </a:fillRef>
                        <a:effectRef idx="0">
                          <a:srgbClr val="FFFFFF"/>
                        </a:effectRef>
                        <a:fontRef idx="minor">
                          <a:schemeClr val="lt1"/>
                        </a:fontRef>
                      </wps:style>
                      <wps:txbx>
                        <w:txbxContent>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Unit name:leading and Developing People</w:t>
                            </w:r>
                          </w:p>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Module code:BMBM6012</w:t>
                            </w:r>
                          </w:p>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Lecturer:</w:t>
                            </w:r>
                            <w:r>
                              <w:rPr>
                                <w:rFonts w:hint="default" w:ascii="Arial" w:hAnsi="Arial" w:eastAsia="汉仪雅酷黑 75W" w:cs="Arial"/>
                                <w:b/>
                                <w:bCs/>
                                <w:color w:val="187B84"/>
                                <w:sz w:val="30"/>
                                <w:szCs w:val="30"/>
                                <w:rtl w:val="0"/>
                                <w:lang w:val="en-US" w:eastAsia="zh-CN"/>
                              </w:rPr>
                              <w:t>Rebecca Francis-Davies</w:t>
                            </w:r>
                          </w:p>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Student name:Yi Chen Wang</w:t>
                            </w:r>
                          </w:p>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Student ID number:2300489</w:t>
                            </w:r>
                          </w:p>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 xml:space="preserve">Date submitted: </w:t>
                            </w:r>
                            <w:r>
                              <w:rPr>
                                <w:rFonts w:hint="default" w:ascii="Arial" w:hAnsi="Arial" w:eastAsia="汉仪雅酷黑 75W" w:cs="Arial"/>
                                <w:b/>
                                <w:bCs/>
                                <w:color w:val="187B84"/>
                                <w:sz w:val="30"/>
                                <w:szCs w:val="30"/>
                                <w:lang w:val="en-US" w:eastAsia="zh-CN"/>
                              </w:rPr>
                              <w:t>April 15, 2024</w:t>
                            </w:r>
                          </w:p>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75pt;margin-top:22.85pt;height:406.8pt;width:424.8pt;z-index:251661312;v-text-anchor:middle;mso-width-relative:page;mso-height-relative:page;" fillcolor="#D9D9D9 [2732]" filled="t" stroked="t" coordsize="21600,21600" o:gfxdata="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OmFc77aAAAACgEAAA8AAAAAAAAAAQAgAAAAIgAAAGRycy9kb3ducmV2LnhtbFBLAQIUABQA&#10;AAAIAIdO4kBwbpwgmQIAAFAFAAAOAAAAAAAAAAEAIAAAACkBAABkcnMvZTJvRG9jLnhtbFBLBQYA&#10;AAAABgAGAFkBAAA0BgAAAAA=&#10;">
                <v:fill on="t" focussize="0,0"/>
                <v:stroke weight="1pt" color="#2F5597 [2404]" miterlimit="8" joinstyle="miter"/>
                <v:imagedata o:title=""/>
                <o:lock v:ext="edit" aspectratio="f"/>
                <v:textbox>
                  <w:txbxContent>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Unit name:leading and Developing People</w:t>
                      </w:r>
                    </w:p>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Module code:BMBM6012</w:t>
                      </w:r>
                    </w:p>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Lecturer:</w:t>
                      </w:r>
                      <w:r>
                        <w:rPr>
                          <w:rFonts w:hint="default" w:ascii="Arial" w:hAnsi="Arial" w:eastAsia="汉仪雅酷黑 75W" w:cs="Arial"/>
                          <w:b/>
                          <w:bCs/>
                          <w:color w:val="187B84"/>
                          <w:sz w:val="30"/>
                          <w:szCs w:val="30"/>
                          <w:rtl w:val="0"/>
                          <w:lang w:val="en-US" w:eastAsia="zh-CN"/>
                        </w:rPr>
                        <w:t>Rebecca Francis-Davies</w:t>
                      </w:r>
                    </w:p>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Student name:Yi Chen Wang</w:t>
                      </w:r>
                    </w:p>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Student ID number:2300489</w:t>
                      </w:r>
                    </w:p>
                    <w:p>
                      <w:pPr>
                        <w:keepNext w:val="0"/>
                        <w:keepLines w:val="0"/>
                        <w:pageBreakBefore w:val="0"/>
                        <w:widowControl/>
                        <w:kinsoku/>
                        <w:wordWrap/>
                        <w:overflowPunct/>
                        <w:topLinePunct w:val="0"/>
                        <w:bidi w:val="0"/>
                        <w:adjustRightInd/>
                        <w:snapToGrid/>
                        <w:spacing w:after="160" w:line="480" w:lineRule="auto"/>
                        <w:jc w:val="center"/>
                        <w:textAlignment w:val="auto"/>
                        <w:rPr>
                          <w:rFonts w:hint="default" w:ascii="Arial" w:hAnsi="Arial" w:eastAsia="汉仪雅酷黑 75W" w:cs="Arial"/>
                          <w:b/>
                          <w:bCs/>
                          <w:color w:val="187B84"/>
                          <w:kern w:val="0"/>
                          <w:sz w:val="30"/>
                          <w:szCs w:val="30"/>
                          <w:lang w:val="en-US" w:eastAsia="zh-CN"/>
                          <w14:ligatures w14:val="none"/>
                        </w:rPr>
                      </w:pPr>
                      <w:r>
                        <w:rPr>
                          <w:rFonts w:hint="default" w:ascii="Arial" w:hAnsi="Arial" w:eastAsia="汉仪雅酷黑 75W" w:cs="Arial"/>
                          <w:b/>
                          <w:bCs/>
                          <w:color w:val="187B84"/>
                          <w:kern w:val="0"/>
                          <w:sz w:val="30"/>
                          <w:szCs w:val="30"/>
                          <w:lang w:val="en-US" w:eastAsia="zh-CN"/>
                          <w14:ligatures w14:val="none"/>
                        </w:rPr>
                        <w:t xml:space="preserve">Date submitted: </w:t>
                      </w:r>
                      <w:r>
                        <w:rPr>
                          <w:rFonts w:hint="default" w:ascii="Arial" w:hAnsi="Arial" w:eastAsia="汉仪雅酷黑 75W" w:cs="Arial"/>
                          <w:b/>
                          <w:bCs/>
                          <w:color w:val="187B84"/>
                          <w:sz w:val="30"/>
                          <w:szCs w:val="30"/>
                          <w:lang w:val="en-US" w:eastAsia="zh-CN"/>
                        </w:rPr>
                        <w:t>April 15, 2024</w:t>
                      </w:r>
                    </w:p>
                    <w:p>
                      <w:pPr>
                        <w:jc w:val="center"/>
                      </w:pPr>
                    </w:p>
                  </w:txbxContent>
                </v:textbox>
              </v:rect>
            </w:pict>
          </mc:Fallback>
        </mc:AlternateConten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Should Organizations Replace Human Leaders with Artificial Intelligence?</w:t>
      </w:r>
    </w:p>
    <w:p>
      <w:pPr>
        <w:widowControl/>
        <w:spacing w:before="100" w:beforeAutospacing="1" w:after="100" w:afterAutospacing="1" w:line="360" w:lineRule="auto"/>
        <w:rPr>
          <w:rFonts w:ascii="Times New Roman" w:hAnsi="Times New Roman" w:eastAsia="宋体" w:cs="Times New Roman"/>
          <w:b/>
          <w:bCs/>
          <w:color w:val="05073B"/>
          <w:kern w:val="0"/>
          <w:sz w:val="24"/>
          <w:szCs w:val="24"/>
          <w14:ligatures w14:val="none"/>
        </w:rPr>
      </w:pPr>
      <w:r>
        <w:rPr>
          <w:rFonts w:ascii="Times New Roman" w:hAnsi="Times New Roman" w:eastAsia="宋体" w:cs="Times New Roman"/>
          <w:b/>
          <w:bCs/>
          <w:color w:val="05073B"/>
          <w:kern w:val="0"/>
          <w:sz w:val="24"/>
          <w:szCs w:val="24"/>
          <w14:ligatures w14:val="none"/>
        </w:rPr>
        <w:t>I. Introduction</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In the latest trends, the integration of Artificial Intelligence (AI) with leadership roles is evident</w:t>
      </w:r>
      <w:r>
        <w:rPr>
          <w:rFonts w:hint="eastAsia" w:ascii="Times New Roman" w:hAnsi="Times New Roman" w:eastAsia="宋体" w:cs="Times New Roman"/>
          <w:color w:val="05073B"/>
          <w:kern w:val="0"/>
          <w:sz w:val="24"/>
          <w:szCs w:val="24"/>
          <w14:ligatures w14:val="none"/>
        </w:rPr>
        <w:t xml:space="preserve"> and prevalent</w:t>
      </w:r>
      <w:r>
        <w:rPr>
          <w:rFonts w:ascii="Times New Roman" w:hAnsi="Times New Roman" w:eastAsia="宋体" w:cs="Times New Roman"/>
          <w:color w:val="05073B"/>
          <w:kern w:val="0"/>
          <w:sz w:val="24"/>
          <w:szCs w:val="24"/>
          <w14:ligatures w14:val="none"/>
        </w:rPr>
        <w:t>. There is a continued advancement in technological progress, progressing the introduction of its systems to complex decision-making tasks ranking over those previously attended by people in leadership roles.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Many surveys had also been conducted among the employees coming from almost all industrial sector and give the high confidence</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in AI leadership surprisingly. Most employees are almost firm that AI, with its huge potential in processing data and precision in predictions, might actually lead organizations toward bigger triumph.</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However, this drives us down to one essential question. Should organizations really replace their human leaders with AI? The notion of AI seems useful in plenty of possibilities, especially toward efficiency, accuracy, and scalability. On the other hand, its core doubts underline the eventuality of the loss of effective leadership, the notion of empathy, or even emotional intelligence.</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 xml:space="preserve">This essay will now go deeper into this question, especially around the potential advantages but also the challenges of replacing humankind as a leader with AI. </w:t>
      </w:r>
      <w:r>
        <w:rPr>
          <w:rFonts w:hint="eastAsia" w:ascii="Times New Roman" w:hAnsi="Times New Roman" w:eastAsia="宋体" w:cs="Times New Roman"/>
          <w:color w:val="05073B"/>
          <w:kern w:val="0"/>
          <w:sz w:val="24"/>
          <w:szCs w:val="24"/>
          <w14:ligatures w14:val="none"/>
        </w:rPr>
        <w:t>It</w:t>
      </w:r>
      <w:r>
        <w:rPr>
          <w:rFonts w:ascii="Times New Roman" w:hAnsi="Times New Roman" w:eastAsia="宋体" w:cs="Times New Roman"/>
          <w:color w:val="05073B"/>
          <w:kern w:val="0"/>
          <w:sz w:val="24"/>
          <w:szCs w:val="24"/>
          <w14:ligatures w14:val="none"/>
        </w:rPr>
        <w:t xml:space="preserve"> will talk further about the generalized cultural impact, morale, and operations in organizations. We will argue about whether AI will be able to emulate any of the qualitative human leadership styles, for instance, inspiration, morale boosting, or trust building within a team.</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 xml:space="preserve">By studying this issue, </w:t>
      </w:r>
      <w:r>
        <w:rPr>
          <w:rFonts w:hint="eastAsia" w:ascii="Times New Roman" w:hAnsi="Times New Roman" w:eastAsia="宋体" w:cs="Times New Roman"/>
          <w:color w:val="05073B"/>
          <w:kern w:val="0"/>
          <w:sz w:val="24"/>
          <w:szCs w:val="24"/>
          <w14:ligatures w14:val="none"/>
        </w:rPr>
        <w:t>this essay can</w:t>
      </w:r>
      <w:r>
        <w:rPr>
          <w:rFonts w:ascii="Times New Roman" w:hAnsi="Times New Roman" w:eastAsia="宋体" w:cs="Times New Roman"/>
          <w:color w:val="05073B"/>
          <w:kern w:val="0"/>
          <w:sz w:val="24"/>
          <w:szCs w:val="24"/>
          <w14:ligatures w14:val="none"/>
        </w:rPr>
        <w:t xml:space="preserve"> give an all-inclusive and well-balanced view of debates on whether AI can be used in leadership. We hope to enrich the discussions, provoke thoughtful decisions when the damage can still be kept from worsening within organizations before it's too late.</w:t>
      </w:r>
    </w:p>
    <w:p>
      <w:pPr>
        <w:widowControl/>
        <w:spacing w:before="100" w:beforeAutospacing="1" w:after="100" w:afterAutospacing="1" w:line="360" w:lineRule="auto"/>
        <w:rPr>
          <w:rFonts w:ascii="Times New Roman" w:hAnsi="Times New Roman" w:eastAsia="宋体" w:cs="Times New Roman"/>
          <w:b/>
          <w:bCs/>
          <w:color w:val="05073B"/>
          <w:kern w:val="0"/>
          <w:sz w:val="24"/>
          <w:szCs w:val="24"/>
          <w14:ligatures w14:val="none"/>
        </w:rPr>
      </w:pPr>
      <w:r>
        <w:rPr>
          <w:rFonts w:ascii="Times New Roman" w:hAnsi="Times New Roman" w:eastAsia="宋体" w:cs="Times New Roman"/>
          <w:b/>
          <w:bCs/>
          <w:color w:val="05073B"/>
          <w:kern w:val="0"/>
          <w:sz w:val="24"/>
          <w:szCs w:val="24"/>
          <w14:ligatures w14:val="none"/>
        </w:rPr>
        <w:t>The Essential Role of Human Leaders in Organization Success</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The role of human leaders in the triumph of organizations is of great importance and cannot be replaced with artificial intelligence (AI), since the role bears some of the features and characterizes that are majorly peculiar to human beings.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It is this ability of a human leader to possess high emotional intelligence, empathy, and interpersonal skills which provided them distinctiveness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{"citationID":"3sQRt2FX","properties":{"formattedCitation":"(Tajeddini, Martin and Altinay, 2020)","plainCitation":"(Tajeddini, Martin and Altinay, 2020)","noteIndex":0},"citationItems":[{"id":2633,"uris":["http://zotero.org/users/local/ONtzOUTb/items/YU9AIEHJ"],"itemData":{"id":2633,"type":"article-journal","container-title":"International Journal of Hospitality Management","note":"publisher: Elsevier","page":"102431","source":"Google Scholar","title":"The importance of human-related factors on service innovation and performance","volume":"85","author":[{"family":"Tajeddini","given":"Kayhan"},{"family":"Martin","given":"Emma"},{"family":"Altinay","given":"Levent"}],"issued":{"date-parts":[["2020"]]}}}],"schema":"https://github.com/citation-style-language/schema/raw/master/csl-citation.json"}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(Tajeddini, Martin and Altinay, 2020)</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 The concerns that the team members might have can be well understood by him/her and an understanding bond can be formed with them so that they feel a part of the organization resulting in a sense of trust and belonging. It is an emotional connection that team members are able to increase making members work together for common goals.</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Further, human leaders have the capability to motivate and inspire their teams as they course through to achieve excellent results. They know just how to recognize individual skills and inadequacies and turn these to the maximum benefit of the team efforts. The ability to see potential in others and take it from its mediocrity to excellence is a major win for any organization.</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Besides, human leadership naturally increases organizational creativity and innovation. Human leaders are normally open to novel ideas, risky decisions, and encourage the same in their teams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{"citationID":"ern5qoC5","properties":{"formattedCitation":"(Mumtaz, Selvarajah and Meyer, 2024)","plainCitation":"(Mumtaz, Selvarajah and Meyer, 2024)","noteIndex":0},"citationItems":[{"id":2632,"uris":["http://zotero.org/users/local/ONtzOUTb/items/QXHX8WKN"],"itemData":{"id":2632,"type":"article-journal","abstract":"Abstract\n            The emerging competitiveness in the external environment and persistent need for adaptation have led organizations to recognize the essence of successful readiness to change. While individual and organizational outcomes of readiness to change have been discussed in the existing literature, a lack of clarity exists regarding how individuals embrace readiness for change. Using the social exchange theory, this empirical research examines the impact of perceived organizational support and human relations climate on individual readiness for change. The research also incorporates the intervening role of employee participation and leadership exc</w:instrText>
      </w:r>
      <w:r>
        <w:rPr>
          <w:rFonts w:hint="eastAsia" w:ascii="Times New Roman" w:hAnsi="Times New Roman" w:eastAsia="宋体" w:cs="Times New Roman"/>
          <w:color w:val="05073B"/>
          <w:kern w:val="0"/>
          <w:sz w:val="24"/>
          <w:szCs w:val="24"/>
          <w14:ligatures w14:val="none"/>
        </w:rPr>
        <w:instrText xml:space="preserve">ellence for understanding the indirect effects. Hypotheses regarding the relationship between the key variables were tested through a structural equation model on a sample consisting of 284 respondents from managerial‐level employees in organizations from</w:instrText>
      </w:r>
      <w:r>
        <w:rPr>
          <w:rFonts w:ascii="Times New Roman" w:hAnsi="Times New Roman" w:eastAsia="宋体" w:cs="Times New Roman"/>
          <w:color w:val="05073B"/>
          <w:kern w:val="0"/>
          <w:sz w:val="24"/>
          <w:szCs w:val="24"/>
          <w14:ligatures w14:val="none"/>
        </w:rPr>
        <w:instrText xml:space="preserve"> Pakistan. The findings suggested a positive impact of human relations climate on readiness to change. In addition to the direct effects, indirect effects via employee participation and leadership excellence were found to be significant on readiness to change. Based on the findings, theoretical and practical implications of the study along with suggestions for improvement are also elaborated.","container-title":"Global Business and Organizational Excellence","DOI":"10.1002/joe.22223","ISSN":"1932-2054, 1932-2062","issue":"2","journalAbbreviation":"Glob Bus Org Exc","language":"en","page":"79-91","source":"DOI.org (Crossref)","title":"How does human relations climate and organizational support affect readiness to change? The mediating role of employee participation and leadership excellence","title-short":"How does human relations climate and organizational support affect readiness to change?","volume":"43","author":[{"family":"Mumtaz","given":"Sana"},{"family":"Selvarajah","given":"Christopher"},{"family":"Meyer","given":"Denny"}],"issued":{"date-parts":[["2024",1]]}}}],"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(Mumtaz, Selvarajah and Meyer, 2024)</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 This actually brings about a culture of experiment and openness to change that brings a breakthrough which will actually be needed to gain competitive advantage for their organizations.</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Leadership theories such as transformational leadership and servant leadership have shed light on not only how proper leadership should be guided but also on the indispensable role that human leaders play in fostering organizational success. For instance, transformational leaders have been emphasized for their ability to stretch and inspire their follower to do things beyond themselves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{"citationID":"uXMdztVx","properties":{"formattedCitation":"(Boh\\uc0\\u243{}rquez {\\i{}et al.}, 2022)","plainCitation":"(Bohórquez et al., 2022)","noteIndex":0},"citationItems":[{"id":2631,"uris":["http://zotero.org/users/local/ONtzOUTb/items/WLRWKNRD"],"itemData":{"id":2631,"type":"chapter","container-title":"Sustainability, Energy and City","event-place":"Cham","ISBN":"978-3-030-94261-8","language":"en","note":"collection-title: Lecture Notes in Networks and Systems\nDOI: 10.1007/978-3-030-94262-5_12","page":"123-133","publisher":"Springer International Publishing","publisher-place":"Cham","source":"DOI.org (Crossref)","title":"Motivation and Job Performance: Human Capital as a Key Factor for Organizational Success","title-short":"Motivation and Job Performance","URL":"https://link.springer.com/10.1007/978-3-030-94262-5_12","volume":"379","editor":[{"family":"Chauvin","given":"Manuel Ignacio Ayala"},{"family":"Botto-Tobar","given":"Miguel"},{"family":"Díaz Cadena","given":"Angela"},{"family":"Montes León","given":"Sergio"}],"author":[{"family":"Bohórquez","given":"Emanuel"},{"family":"Caiche","given":"William"},{"family":"Benavides","given":"Verónica"},{"family":"Benavides","given":"Arturo"}],"accessed":{"date-parts":[["2024",3,21]]},"issued":{"date-parts":[["2022"]]}}}],"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kern w:val="0"/>
          <w:sz w:val="24"/>
          <w:szCs w:val="24"/>
        </w:rPr>
        <w:t xml:space="preserve">(Bohórquez </w:t>
      </w:r>
      <w:r>
        <w:rPr>
          <w:rFonts w:ascii="Times New Roman" w:hAnsi="Times New Roman" w:cs="Times New Roman"/>
          <w:i/>
          <w:iCs/>
          <w:kern w:val="0"/>
          <w:sz w:val="24"/>
          <w:szCs w:val="24"/>
        </w:rPr>
        <w:t>et al.</w:t>
      </w:r>
      <w:r>
        <w:rPr>
          <w:rFonts w:ascii="Times New Roman" w:hAnsi="Times New Roman" w:cs="Times New Roman"/>
          <w:kern w:val="0"/>
          <w:sz w:val="24"/>
          <w:szCs w:val="24"/>
        </w:rPr>
        <w:t>, 2022)</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 They possess a real charm and charisma that vibrates to a greater extent among other members under his leadership. This kind of leadership bring positive vibes at workplace because its way employees are treated and appreciated. Therefore, employees do have high spirits and productivity is assured.</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Servant leadership is another of the relationship leadership model, where the leader is supposed to serve the needs of his teams and the organization. This is vividly seen through their commitment to the development of their team members, for it is only through this that they strive towards creating a culture of collaboration and mutual respect. In return, this builds a platform of belonging and trust within an organization to enable stronger team cohesion with a shared sense of purpose</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{"citationID":"6AeamnlH","properties":{"formattedCitation":"(Pawar {\\i{}et al.}, 2020)","plainCitation":"(Pawar et al., 2020)","noteIndex":0},"citationItems":[{"id":2636,"uris":["http://zotero.org/users/local/ONtzOUTb/items/VGCBLVB5"],"itemData":{"id":2636,"type":"article-journal","container-title":"International Journal of Educational Administration, Management, and Leadership","page":"63–76","source":"Google Scholar","title":"Organizational servant leadership","author":[{"family":"Pawar","given":"Avinash"},{"family":"Sudan","given":"Khortum"},{"family":"Satini","given":"Satini"},{"family":"Sunarsi","given":"Denok"}],"issued":{"date-parts":[["2020"]]}}}],"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kern w:val="0"/>
          <w:sz w:val="24"/>
          <w:szCs w:val="24"/>
        </w:rPr>
        <w:t xml:space="preserve">(Pawar </w:t>
      </w:r>
      <w:r>
        <w:rPr>
          <w:rFonts w:ascii="Times New Roman" w:hAnsi="Times New Roman" w:cs="Times New Roman"/>
          <w:i/>
          <w:iCs/>
          <w:kern w:val="0"/>
          <w:sz w:val="24"/>
          <w:szCs w:val="24"/>
        </w:rPr>
        <w:t>et al.</w:t>
      </w:r>
      <w:r>
        <w:rPr>
          <w:rFonts w:ascii="Times New Roman" w:hAnsi="Times New Roman" w:cs="Times New Roman"/>
          <w:kern w:val="0"/>
          <w:sz w:val="24"/>
          <w:szCs w:val="24"/>
        </w:rPr>
        <w:t>, 2020)</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Both transformational and servant leaders all fully and equally acquire emotional intelligence and people skills. These qualities enable bonding of these leaders with members of the teams in such a manner that it becomes easy to realize their needs and level of motivation, thus working at a desirable and motivating work environment in which such growth and success could be achieved.</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However, much progress AI makes in managing routine decision-making and in providing insightful data analysis, it cannot have the inability of emotional intelligence and interpersonal skills that a human leader possesses. AI will not be able to imitate what it means to connect with people personally, understand and sympathize with their emotions and reasons, or inspire and energize teams to outstanding performance. In the leadership role, AI can be a value-adding helpmate and support. But AI cannot ever replace the human touch and its impact</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{"citationID":"okMaO8G3","properties":{"formattedCitation":"(Crawford, Cowling and Allen, 2023)","plainCitation":"(Crawford, Cowling and Allen, 2023)","noteIndex":0},"citationItems":[{"id":2638,"uris":["http://zotero.org/users/local/ONtzOUTb/items/GDBCJKRB"],"itemData":{"id":2638,"type":"article-journal","container-title":"Journal of University Teaching &amp; Learning Practice","issue":"3","page":"02","source":"Google Scholar","title":"Leadership is needed for ethical ChatGPT: Character, assessment, and learning using artificial intelligence (AI)","title-short":"Leadership is needed for ethical ChatGPT","volume":"20","author":[{"family":"Crawford","given":"Joseph"},{"family":"Cowling","given":"Michael"},{"family":"Allen","given":"Kelly-Ann"}],"issued":{"date-parts":[["2023"]]}}}],"schema":"https://github.com/citation-style-language/schema/raw/master/csl-citation.json"}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(Crawford, Cowling and Allen, 2023)</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 xml:space="preserve">The most successful organizations are likely to be those which appreciate and value the role played by human leaders and provide ample opportunities for their development. This will be leading to the upsurge not in the work enthusiasm but in the creativity and innovations that are very crucial in the fast pace of changing working environment. </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AI may be supportive of leadership but will never replace the fact that working organizations need a human leader</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{"citationID":"20QcWZzD","properties":{"formattedCitation":"(Bareis and Katzenbach, 2022)","plainCitation":"(Bareis and Katzenbach, 2022)","noteIndex":0},"citationItems":[{"id":2639,"uris":["http://zotero.org/users/local/ONtzOUTb/items/H3ILWSU3"],"itemData":{"id":2639,"type":"article-journal","abstract":"How to integrate artificial intelligence (AI) technologies in the functioning and structures of our society has become a concern of contemporary politics and public debates. In this paper, we investigate national AI strategies as a peculiar form of co-shaping this development, a hybrid of policy and discourse that offers imaginaries, allocates resources, and sets rules. Conceptually, the paper is informed by sociotechnical imaginaries, the sociology of expectations, myths, and the sublime. Empirically we analyze AI policy documents of four key players in the field, namely China, the United States, France, and Germany. The results show that the narrative construction of AI strategies is strikingly similar: they all establish AI as an inevitable and massively disrupting technological development by building on rhetorical devices such as a grand legacy and international competition. Having established this inevitable, yet uncertain, AI future, national leaders proclaim leadership intervention and articulate opportunities and distinct national pathways. While this narrative construction is quite uniform, the respective AI imaginaries are remarkably different, reflecting the vast cultural, political, and economic differences of the countries under study. As governments endow these imaginary pathways with massive resources and investments, they contribute to coproducing the installment of these futures and, thus, yield a performative lock-in function.","container-title":"Science, Technology, &amp; Human Values","DOI":"10.1177/01622439211030007","ISSN":"0162-2439, 1552-8251","issue":"5","journalAbbreviation":"Science, Technology, &amp; Human Values","language":"en","page":"855-881","source":"DOI.org (Crossref)","title":"Talking AI into Being: The Narratives and Imaginaries of National AI Strategies and Their Performative Politics","title-short":"Talking AI into Being","volume":"47","author":[{"family":"Bareis","given":"Jascha"},{"family":"Katzenbach","given":"Christian"}],"issued":{"date-parts":[["2022",9]]}}}],"schema":"https://github.com/citation-style-language/schema/raw/master/csl-citation.json"}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(Bareis and Katzenbach, 2022)</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 A human leader is supposed to carry the perspective and emotional sensibility towards the efficiency of organizations. Strong consideration of the pros and cons of using AI in leadership should be undertaken, thus enacting the driving forward of the organization to new heights.</w:t>
      </w:r>
    </w:p>
    <w:p>
      <w:pPr>
        <w:spacing w:before="100" w:beforeAutospacing="1" w:after="100" w:afterAutospacing="1" w:line="360" w:lineRule="auto"/>
        <w:rPr>
          <w:rFonts w:ascii="Times New Roman" w:hAnsi="Times New Roman" w:eastAsia="宋体" w:cs="Times New Roman"/>
          <w:color w:val="05073B"/>
          <w:sz w:val="24"/>
          <w:szCs w:val="24"/>
        </w:rPr>
      </w:pPr>
      <w:r>
        <w:rPr>
          <w:rFonts w:ascii="Times New Roman" w:hAnsi="Times New Roman" w:eastAsia="宋体" w:cs="Times New Roman"/>
          <w:b/>
          <w:bCs/>
          <w:color w:val="05073B"/>
          <w:sz w:val="24"/>
          <w:szCs w:val="24"/>
        </w:rPr>
        <w:t>The Complexity of Leadership and Organizational Environments</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Contemporary organizational environments that embrace technological development, multiculturalism, and hypercompetition is diverse and complex. From fast technological advancement, such as AI, down to cloud computing, a modern business never sits still and its leaders need always to keep on their toes.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A diverse workforce, in terms of age, ethnicity, and gender, takes on added enriching perspectives can be equally challenging in communication, teaming, and managing diverse needs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{"citationID":"qYpZczs3","properties":{"formattedCitation":"(Jung, Kang and Choi, 2020)","plainCitation":"(Jung, Kang and Choi, 2020)","noteIndex":0},"citationItems":[{"id":2646,"uris":["http://zotero.org/users/local/ONtzOUTb/items/GPPVGI9M"],"itemData":{"id":2646,"type":"article-journal","container-title":"Sustainability","issue":"6","note":"publisher: MDPI","page":"2340","source":"Google Scholar","title":"Empowering leadership, risk-taking behavior, and employees’ commitment to organizational change: The mediated moderating role of task complexity","title-short":"Empowering leadership, risk-taking behavior, and employees’ commitment to organizational change","volume":"12","author":[{"family":"Jung","given":"Ki Baek"},{"family":"Kang","given":"Seung-Wan"},{"family":"Choi","given":"Suk Bong"}],"issued":{"date-parts":[["2020"]]}}}],"schema":"https://github.com/citation-style-language/schema/raw/master/csl-citation.json"}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(Jung, Kang and Choi, 2020)</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 Global competition further complicates the mix because organizations need to traverse not only changing market landscapes but also regulatory environments as well as consumer preferences across borders.</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Human leaders are very central in negotiating these complexities. They are flexible enough to keep pace with technological changes and then be in the driving seat in making strategic decisions on which of these changes to enhance. Problem-solving is an imperative trait in troubleshooting challenges that come with a diverse workplace, from cross-cultural gaps to discrimination. Another point is in decision-making, most especially under pressure arising from global competition</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{"citationID":"AHB7B2oX","properties":{"formattedCitation":"(Kuenzi, Mayer and Greenbaum, 2020)","plainCitation":"(Kuenzi, Mayer and Greenbaum, 2020)","noteIndex":0},"citationItems":[{"id":2645,"uris":["http://zotero.org/users/local/ONtzOUTb/items/NGRBCWRH"],"itemData":{"id":2645,"type":"article-journal","abstract":"Abstract\n            The purpose of this research is to provide a richer lens on the ethical organizational environment by examining the relationship between e</w:instrText>
      </w:r>
      <w:r>
        <w:rPr>
          <w:rFonts w:hint="eastAsia" w:ascii="Times New Roman" w:hAnsi="Times New Roman" w:eastAsia="宋体" w:cs="Times New Roman"/>
          <w:color w:val="05073B"/>
          <w:kern w:val="0"/>
          <w:sz w:val="24"/>
          <w:szCs w:val="24"/>
          <w14:ligatures w14:val="none"/>
        </w:rPr>
        <w:instrText xml:space="preserve">thical leadership and unit‐level unethical behavior through ethical organizational climate (EOC), with collective moral identity as a boundary condition. In testing our theoretical model, we first develop and validate a measure of EOC to address concerns </w:instrText>
      </w:r>
      <w:r>
        <w:rPr>
          <w:rFonts w:ascii="Times New Roman" w:hAnsi="Times New Roman" w:eastAsia="宋体" w:cs="Times New Roman"/>
          <w:color w:val="05073B"/>
          <w:kern w:val="0"/>
          <w:sz w:val="24"/>
          <w:szCs w:val="24"/>
          <w14:ligatures w14:val="none"/>
        </w:rPr>
        <w:instrText xml:space="preserve">with existing measures of ethical climate. Second, we examine the role of collective moral identity as a moderator of the relationship between EOC and unit unethical behavior. We discuss implications regarding the importance of developing a more comprehensive conceptualization of EOC.","container-title":"Personnel Psychology","DOI":"10.1111/peps.12356","ISSN":"0031-5826, 1744-6570","issue":"1","journalAbbreviation":"Personnel Psychology","language":"en","page":"43-71","source":"DOI.org (Crossref)","title":"Creating an ethical organizational environment: The relationship between ethical leadership, ethical organizational climate, and unethical behavior","title-short":"Creating an ethical organizational environment","volume":"73","author":[{"family":"Kuenzi","given":"Maribeth"},{"family":"Mayer","given":"David M."},{"family":"Greenbaum","given":"Rebecca L."}],"issued":{"date-parts":[["2020",3]]}}}],"schema":"https://github.com/citation-style-language/schema/raw/master/csl-citation.json"}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(Kuenzi, Mayer and Greenbaum, 2020)</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 xml:space="preserve">. </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Complexity theory underscores dynamism and the tangled aspect of organizational systems and actually points up the significance of responsive leadership. They will be in a position to define and govern the interdependencies at the heart of their organizations and recognize that actions in one part will inevitably ripple throughout it.</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Responsive leadership is sensitive to shifts in needs and contexts within an organization and one that flexibly shifts strategies vice versa</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{"citationID":"Y4svz1vB","properties":{"formattedCitation":"(Hidalgo, 2021)","plainCitation":"(Hidalgo, 2021)","noteIndex":0},"citationItems":[{"id":2649,"uris":["http://zotero.org/users/local/ONtzOUTb/items/MF8BRXT5"],"itemData":{"id":2649,"type":"article-journal","container-title":"Nature Reviews Physics","issue":"2","note":"publisher: Nature Publishing Group UK London","page":"92–113","source":"Google Scholar","title":"Economic complexity theory and applications","volume":"3","author":[{"family":"Hidalgo","given":"César A."}],"issued":{"date-parts":[["2021"]]}}}],"schema":"https://github.com/citation-style-language/schema/raw/master/csl-citation.json"}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(Hidalgo, 2021)</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 Such a mindset would require one to be open to new ideas, game for trying out experiments, and learning from failure.</w:t>
      </w:r>
    </w:p>
    <w:p>
      <w:pPr>
        <w:widowControl/>
        <w:spacing w:before="100" w:beforeAutospacing="1" w:after="100" w:afterAutospacing="1"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hint="eastAsia" w:ascii="Times New Roman" w:hAnsi="Times New Roman" w:eastAsia="宋体" w:cs="Times New Roman"/>
          <w:b/>
          <w:bCs/>
          <w:color w:val="000000" w:themeColor="text1"/>
          <w:sz w:val="24"/>
          <w:szCs w:val="24"/>
          <w14:textFill>
            <w14:solidFill>
              <w14:schemeClr w14:val="tx1"/>
            </w14:solidFill>
          </w14:textFill>
        </w:rPr>
        <w:t>T</w:t>
      </w:r>
      <w:r>
        <w:rPr>
          <w:rFonts w:ascii="Times New Roman" w:hAnsi="Times New Roman" w:eastAsia="宋体" w:cs="Times New Roman"/>
          <w:b/>
          <w:bCs/>
          <w:color w:val="000000" w:themeColor="text1"/>
          <w:sz w:val="24"/>
          <w:szCs w:val="24"/>
          <w14:textFill>
            <w14:solidFill>
              <w14:schemeClr w14:val="tx1"/>
            </w14:solidFill>
          </w14:textFill>
        </w:rPr>
        <w:t>he Role of Leaders in Employee Engagement and Motivation</w:t>
      </w:r>
    </w:p>
    <w:p>
      <w:pPr>
        <w:widowControl/>
        <w:spacing w:before="100" w:beforeAutospacing="1" w:after="100" w:afterAutospacing="1" w:line="360" w:lineRule="auto"/>
        <w:rPr>
          <w:rFonts w:ascii="Times New Roman" w:hAnsi="Times New Roman" w:eastAsia="宋体" w:cs="Times New Roman"/>
          <w:sz w:val="24"/>
          <w:szCs w:val="24"/>
        </w:rPr>
      </w:pPr>
      <w:r>
        <w:rPr>
          <w:rFonts w:ascii="Times New Roman" w:hAnsi="Times New Roman" w:eastAsia="宋体" w:cs="Times New Roman"/>
          <w:sz w:val="24"/>
          <w:szCs w:val="24"/>
        </w:rPr>
        <w:t>Both the leader and the manager play highly critical roles in employee engagement and motivation for organizational performance and employee satisfaction. Good leadership comes as a question of motivation and management to help the individual performance of its subordinate to be at their best; good management is where engagement is the emotional connection and dedication to place and work. Both are important in attaining the needed results that all aim for in having a good working environment</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w:t>
      </w:r>
    </w:p>
    <w:p>
      <w:pPr>
        <w:widowControl/>
        <w:spacing w:before="100" w:beforeAutospacing="1" w:after="100" w:afterAutospacing="1" w:line="360" w:lineRule="auto"/>
        <w:rPr>
          <w:rFonts w:ascii="Times New Roman" w:hAnsi="Times New Roman" w:eastAsia="宋体" w:cs="Times New Roman"/>
          <w:kern w:val="0"/>
          <w:sz w:val="24"/>
          <w:szCs w:val="24"/>
          <w14:ligatures w14:val="none"/>
        </w:rPr>
      </w:pPr>
      <w:r>
        <w:rPr>
          <w:rFonts w:ascii="Times New Roman" w:hAnsi="Times New Roman" w:eastAsia="宋体" w:cs="Times New Roman"/>
          <w:sz w:val="24"/>
          <w:szCs w:val="24"/>
        </w:rPr>
        <w:t>Herzberg's two-factor factors theory contributes some valuable perceptions: motivation and de-motivation are the result of two different factors. As for the hygiene factors, it picks out areas that may cause dissatisfaction, just like that of working conditions and company policies. It flags down motivating factors that are to do with recognition, achievement, and growth opportunities that make for greater employee involvement and satisfaction</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fldChar w:fldCharType="begin"/>
      </w:r>
      <w:r>
        <w:rPr>
          <w:rFonts w:ascii="Times New Roman" w:hAnsi="Times New Roman" w:eastAsia="宋体" w:cs="Times New Roman"/>
          <w:sz w:val="24"/>
          <w:szCs w:val="24"/>
        </w:rPr>
        <w:instrText xml:space="preserve"> ADDIN ZOTERO_ITEM CSL_CITATION {"citationID":"88f8yfSp","properties":{"formattedCitation":"(Anuyah, Badillo-Urquiola and Metoyer, 2023)","plainCitation":"(Anuyah, Badillo-Urquiola and Metoyer, 2023)","noteIndex":0},"citationItems":[{"id":2653,"uris":["http://zotero.org/users/local/ONtzOUTb/items/9NAZRGE7"],"itemData":{"id":2653,"type":"paper-conference","container-title":"Proceedings of the 2023 CHI Conference on Human Factors in Computing Systems","DOI":"10.1145/3544548.3581221","event-place":"Hamburg Germany","event-title":"CHI '23: CHI Conference on Human Factors in Computing Systems","ISBN":"978-1-4503-9421-5","language":"en","page":"1-20","publisher":"ACM","publisher-place":"Hamburg Germany","source":"DOI.org (Crossref)","title":"Characterizing the Technology Needs of Vulnerable Populations for Participation in Research and Design by Adopting Maslow’s Hierarchy of Needs","URL":"https://dl.acm.org/doi/10.1145/3544548.3581221","author":[{"family":"Anuyah","given":"Oghenemaro"},{"family":"Badillo-Urquiola","given":"Karla"},{"family":"Metoyer","given":"Ronald"}],"accessed":{"date-parts":[["2024",3,21]]},"issued":{"date-parts":[["2023",4,19]]}}}],"schema":"https://github.com/citation-style-language/schema/raw/master/csl-citation.json"} </w:instrText>
      </w:r>
      <w:r>
        <w:rPr>
          <w:rFonts w:ascii="Times New Roman" w:hAnsi="Times New Roman" w:eastAsia="宋体" w:cs="Times New Roman"/>
          <w:sz w:val="24"/>
          <w:szCs w:val="24"/>
        </w:rPr>
        <w:fldChar w:fldCharType="separate"/>
      </w:r>
      <w:r>
        <w:rPr>
          <w:rFonts w:ascii="Times New Roman" w:hAnsi="Times New Roman" w:cs="Times New Roman"/>
          <w:sz w:val="24"/>
        </w:rPr>
        <w:t>(Anuyah, Badillo-Urquiola and Metoyer, 2023)</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Maslow hierarchy of needs provides a framework for understanding employee motivation. For instance, when the basic needs of employees such as physiological and safety at work are provided, this will act as a platform from which other needs, which include belongingness, esteem, and finally self-actualization can be realized. By valuing the contribution of employees and providing opportunities for personal development, employees can reach their maximum fulfillment or personal satisfaction</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{"citationID":"JfXAAX4B","properties":{"formattedCitation":"(Cui {\\i{}et al.}, 2021)","plainCitation":"(Cui et al., 2021)","noteIndex":0},"citationItems":[{"id":2652,"uris":["http://zotero.org/users/local/ONtzOUTb/items/H434GFP4"],"itemData":{"id":2652,"type":"article-journal","container-title":"Energy Policy","note":"publisher: Elsevier","page":"112167","source":"Google Scholar","title":"Predicting determinants of consumers' purchase motivation for electric vehicles: An application of Maslow's hierarchy of needs model","title-short":"Predicting determinants of consumers' purchase motivation for electric vehicles","volume":"151","author":[{"family":"Cui","given":"Lixin"},{"family":"Wang","given":"Yonggui"},{"family":"Chen","given":"Weiming"},{"family":"Wen","given":"Wen"},{"family":"Han","given":"Myat Su"}],"issued":{"date-parts":[["2021"]]}}}],"schema":"https://github.com/citation-style-language/schema/raw/master/csl-citation.json"}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kern w:val="0"/>
          <w:sz w:val="24"/>
          <w:szCs w:val="24"/>
        </w:rPr>
        <w:t xml:space="preserve">(Cui </w:t>
      </w:r>
      <w:r>
        <w:rPr>
          <w:rFonts w:ascii="Times New Roman" w:hAnsi="Times New Roman" w:cs="Times New Roman"/>
          <w:i/>
          <w:iCs/>
          <w:kern w:val="0"/>
          <w:sz w:val="24"/>
          <w:szCs w:val="24"/>
        </w:rPr>
        <w:t>et al.</w:t>
      </w:r>
      <w:r>
        <w:rPr>
          <w:rFonts w:ascii="Times New Roman" w:hAnsi="Times New Roman" w:cs="Times New Roman"/>
          <w:kern w:val="0"/>
          <w:sz w:val="24"/>
          <w:szCs w:val="24"/>
        </w:rPr>
        <w:t>, 2021)</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It is important to go hand in hand with tailoring it to what the individual employee would appreciate and most desire. The employees will generally have differences based on the strengths, weakness, goals, and aspirations that are personally set for accomplishments. Leaders who take time to understand the team members are likely to deliver solutions that ensure they are engaged and motivated to attain any set organization goal. This includes customized feedback provision, clear and achievable goals, setting meaningful work assignments with challenge presented.</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Development of a work-friendly environment that encourages employee ring in directly linked to the leaders who, through modelling positive behaviors, their supporting open communication, teamwork, collaboration, and establishment of a culture that encourages employee engagement and acts satisfactorily, employees are able to do their work at their best level. A positive work environment does not only increase employee motivation but overall organizational success and growth.</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In these ways, leaders play a very influential role in employee engagement and motivation. When things are not quite working right with Herzberg's and Maslow's theories, a leader may learn more about his or her employees' needs and preferences and give an overall approach that is sensitive to each individual. By establishing a conducive work environment with a positive culture based on recognition and growth, the leader enhances employee engagement, satisfaction, and organizational performance.</w:t>
      </w:r>
    </w:p>
    <w:p>
      <w:pPr>
        <w:spacing w:before="100" w:beforeAutospacing="1" w:after="100" w:afterAutospacing="1"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The Potential Role of AI in Leadership</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The current potential for participation in leadership by AI is grounded. It can give a kind of makeover to a leader in the most precise, unbiased way possible, by getting a pile of data, etc. They still have their shortcomings, which make it impossible for them to substitute for human leaders.</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AI performance is greatly useful in leadership. It can process big data very quickly and accurately and may see specific patterns and trends which human leaders could simply be blind to. This avails better-informed and better-targeted decision-making with organizations' benefits.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Additionally, the AI system drives unbiased decision-making, which is free from human biases that leadership decision-making carries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{"citationID":"genOUNpX","properties":{"formattedCitation":"(Wang, 2021)","plainCitation":"(Wang, 2021)","noteIndex":0},"citationItems":[{"id":2658,"uris":["http://zotero.org/users/local/ONtzOUTb/items/EAS4VMXD"],"itemData":{"id":2658,"type":"article-journal","container-title":"Journal of Educational Administration","issue":"3","note":"publisher: Emerald Publishing Limited","page":"256–270","source":"Google Scholar","title":"Artificial intelligence in educational leadership: a symbiotic role of human-artificial intelligence decision-making","title-short":"Artificial intelligence in educational leadership","volume":"59","author":[{"family":"Wang","given":"Yinying"}],"issued":{"date-parts":[["2021"]]}}}],"schema":"https://github.com/citation-style-language/schema/raw/master/csl-citation.json"}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(Wang, 2021)</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 With AIs, personal and emotional biases of the leader are removed, bringing fairness and consistency upon which an equal opportunity base is formed</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However, there are a number of shortcomings of AI that render it unable to fully fill the space of human leaders. There is no empathy towards people. Human leaders have the capability to sense the emotions and experiences of their subjects; this becomes very essential in building rapport and good work culture. AI intelligence does not have sensitivity towards emotions, this will be hard for connecting and inspiring people at a personal level</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{"citationID":"R2YFPa5D","properties":{"formattedCitation":"(Moldenhauer and Londt, 2018)","plainCitation":"(Moldenhauer and Londt, 2018)","noteIndex":0},"citationItems":[{"id":2659,"uris":["http://zotero.org/users/local/ONtzOUTb/items/3YNNL44Z"],"itemData":{"id":2659,"type":"paper-conference","container-title":"Proceedings of the European Conference on Management, Leadership &amp; Governance","page":"155–160","source":"Google Scholar","title":"Leadership, artificial intelligence and the need to redefine future skills development","URL":"https://books.google.com/books?hl=zh-CN&amp;lr=&amp;id=kWV9DwAAQBAJ&amp;oi=fnd&amp;pg=PA155&amp;dq=The+Potential+Role+of+AI+in+Leadership&amp;ots=wFj4qXwh_S&amp;sig=qWiEbTtE_WoJh-nQVvLHfR9T9mY","author":[{"family":"Moldenhauer","given":"Lize"},{"family":"Londt","given":"Cindy"}],"accessed":{"date-parts":[["2024",3,21]]},"issued":{"date-parts":[["2018"]]}}}],"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(Moldenhauer and Londt, 2018)</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AI lacks an understanding of contextual nuances in various cognitive leadership needs. Almost all realize complex patterns of reading so-called social cues and understanding fine interpersonal interactions. AI lacks this kind of understanding to do context-specific decisions or manage complicated social situations.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 xml:space="preserve">AI can be complementary, not replaceable with human leadership. </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AI obviously has great potential in providing to the area of leadership in a way that is precise, less judgmental, and a large bank for accessing data. However, the limitations are its ability to be empathetic and appreciate the context's nuance of the matter at hand, which actually limits AI replacing human leadership. Basically, AI can be allowed to help human leaders in things they have to set their minds on since AI cannot replace human leaders in the issues that entail building trust, holding a positive culture at work, and other core issues that it might involve</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{"citationID":"Guh70wr4","properties":{"formattedCitation":"(Milton and Al-Busaidi, 2023)","plainCitation":"(Milton and Al-Busaidi, 2023)","noteIndex":0},"citationItems":[{"id":2656,"uris":["http://zotero.org/users/local/ONtzOUTb/items/DGJZ5ZME"],"itemData":{"id":2656,"type":"paper-conference","container-title":"SHS Web of Conferences","page":"09005","publisher":"EDP Sciences","source":"Google Scholar","title":"New role of leadership in AI era: Educational sector","title-short":"New role of leadership in AI era","URL":"https://www.shs-conferences.org/articles/shsconf/abs/2023/05/shsconf_ictl2023_09005/shsconf_ictl2023_09005.html","volume":"156","author":[{"family":"Milton","given":"Jeyarani"},{"family":"Al-Busaidi","given":"Arwa"}],"accessed":{"date-parts":[["2024",3,21]]},"issued":{"date-parts":[["2023"]]}}}],"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(Milton and Al-Busaidi, 2023)</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w:t>
      </w:r>
    </w:p>
    <w:p>
      <w:pPr>
        <w:spacing w:before="100" w:beforeAutospacing="1" w:after="100" w:afterAutospacing="1" w:line="360" w:lineRule="auto"/>
        <w:rPr>
          <w:rFonts w:ascii="Times New Roman" w:hAnsi="Times New Roman" w:eastAsia="宋体" w:cs="Times New Roman"/>
          <w:color w:val="05073B"/>
          <w:sz w:val="24"/>
          <w:szCs w:val="24"/>
        </w:rPr>
      </w:pPr>
      <w:r>
        <w:rPr>
          <w:rFonts w:ascii="Times New Roman" w:hAnsi="Times New Roman" w:eastAsia="宋体" w:cs="Times New Roman"/>
          <w:b/>
          <w:bCs/>
          <w:color w:val="05073B"/>
          <w:sz w:val="24"/>
          <w:szCs w:val="24"/>
        </w:rPr>
        <w:t>The Challenges and Opportunities of Integrating AI in Leadership Roles</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The impacts of AI in leadership are surrounded by a number of challenges and opportunities. On the first side, there are high issues concerning ethics, privacy, and probable job displacements. On the other hand, AI provides high efficiency, enhanced decision-making, and personalized employee experiences.</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AI infused with leadership raises a lot of ethical considerations in the design of these decision-making algorithms, since they must embed fairness and transparency with accountability. With the comprehension of how AI systems might propagate biases in their operations, leaders need to take precautions in that light. Moreover, there is a case for privacy when AI systems are collecting and analyzing personal data. Data security and use should be given first and respectful concerns and shall strictly adhere to trust and respecting the privacy of employees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{"citationID":"p1slGHEJ","properties":{"formattedCitation":"(Karakose {\\i{}et al.}, 2023)","plainCitation":"(Karakose et al., 2023)","noteIndex":0},"citationItems":[{"id":2667,"uris":["http://zotero.org/users/local/ONtzOUTb/items/D4QXQQLF"],"itemData":{"id":2667,"type":"article-journal","container-title":"Administrative Sciences","issue":"7","note":"publisher: MDPI","page":"157","source":"Google Scholar","title":"A conversation with ChatGPT about digital leadership and technology integration: Comparative analysis based on human–AI collaboration","title-short":"A conversation with ChatGPT about digital leadership and technology integration","volume":"13","author":[{"family":"Karakose","given":"Turgut"},{"family":"Demirkol","given":"Murat"},{"family":"Yirci","given":"Ramazan"},{"family":"Polat","given":"Hakan"},{"family":"Ozdemir","given":"Tuncay Yavuz"},{"family":"Tülübaş","given":"Tijen"}],"issued":{"date-parts":[["2023"]]}}}],"schema":"https://github.com/citation-style-language/schema/raw/master/csl-citation.json"}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kern w:val="0"/>
          <w:sz w:val="24"/>
          <w:szCs w:val="24"/>
        </w:rPr>
        <w:t xml:space="preserve">(Karakose </w:t>
      </w:r>
      <w:r>
        <w:rPr>
          <w:rFonts w:ascii="Times New Roman" w:hAnsi="Times New Roman" w:cs="Times New Roman"/>
          <w:i/>
          <w:iCs/>
          <w:kern w:val="0"/>
          <w:sz w:val="24"/>
          <w:szCs w:val="24"/>
        </w:rPr>
        <w:t>et al.</w:t>
      </w:r>
      <w:r>
        <w:rPr>
          <w:rFonts w:ascii="Times New Roman" w:hAnsi="Times New Roman" w:cs="Times New Roman"/>
          <w:kern w:val="0"/>
          <w:sz w:val="24"/>
          <w:szCs w:val="24"/>
        </w:rPr>
        <w:t>, 2023)</w:t>
      </w:r>
      <w:r>
        <w:rPr>
          <w:rFonts w:ascii="Times New Roman" w:hAnsi="Times New Roman" w:eastAsia="宋体" w:cs="Times New Roman"/>
          <w:color w:val="05073B"/>
          <w:kern w:val="0"/>
          <w:sz w:val="24"/>
          <w:szCs w:val="24"/>
          <w14:ligatures w14:val="none"/>
        </w:rPr>
        <w:fldChar w:fldCharType="end"/>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AI involvement in elements of leadership will bring challenges with it. Potential displacements of employees could be initiated, and some kind of retraining and redeployment of workforces may emerge. They should be prepared to hear what it bridges the transition to and ways to provide support to employees.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Despite these challenges, AI opens up opportunities for better leadership. AI will lead to an increase in effectiveness via the automation of routine operations and processing volumes of data. In this way, leaders will remain to concentrate more on strategic competitive and innovative work. Besides, AI can streamline and enhance the process of decision-making through availing insights and recommendations on data analysis. By so doing, it now enables leaders to make informed and effective decisions</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{"citationID":"a5XYieF9","properties":{"formattedCitation":"(Mikhaylov, Esteve and Campion, 2018)","plainCitation":"(Mikhaylov, Esteve and Campion, 2018)","noteIndex":0},"citationItems":[{"id":2668,"uris":["http://zotero.org/users/local/ONtzOUTb/items/FLM4G8BI"],"itemData":{"id":2668,"type":"article-journal","abstract":"Public sector organizations are increasingly interested in using data science and artificial intelligence capabilities to deliver policy and generate efficiencies in high-uncertainty environments. The long-term success of data science and artificial intelligence (AI) in the public sector relies on effectively embedding it into delivery solutions for policy implementation. However, governments cannot do this integration of AI into public service delivery on their own. The UK Government Industrial Strategy is clear that delivering on the AI grand challenge requires collaboration between universities and the public and private sectors. This cross-sectoral collaborative approach is the norm in applied AI centres of excellence around the world. Despite their popularity, cross-sector collaborations entail serious management challenges that hinder their success. In this article we discuss the opportunities for and challenges of AI for the public sector. Finally, we propose a series of strategies to successfully manage these cross-sectoral collaborations.\n            This article is part of a discussion meeting issue ‘The growing ubiquity of algorithms in society: implications, impacts and innovations’.","container-title":"Philosophical Transactions of the Royal Society A: Mathematical, Physical and Engineering Sciences","DOI":"10.1098/rsta.2017.0357","ISSN":"1364-503X, 1471-2962","issue":"2128","journalAbbreviation":"Phil. Trans. R. Soc. A.","language":"en","page":"20170357","source":"DOI.org (Crossref)","title":"Artificial intelligence for the public sector: opportunities and challenges of cross-sector collaboration","title-short":"Artificial intelligence for the public sector","volume":"376","author":[{"family":"Mikhaylov","given":"Slava Jankin"},{"family":"Esteve","given":"Marc"},{"family":"Campion","given":"Averill"}],"issued":{"date-parts":[["2018",9,13]]}}}],"schema":"https://github.com/citation-style-language/schema/raw/master/csl-citation.json"}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(Mikhaylov, Esteve and Campion, 2018)</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w:t>
      </w:r>
    </w:p>
    <w:p>
      <w:pPr>
        <w:widowControl/>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AI helps in the customization of employee experience. AI is able to single out the personal needs and preferences of each employee, providing them with a chance for personalized training, development, feedback, among others. Such a high level of personalization can be expected to drive up employee engagement and satisfaction.</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This would call for the striking of balance where AI leverages the strengths of human skills with the assurance of the human element in leadership</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fldChar w:fldCharType="begin"/>
      </w:r>
      <w:r>
        <w:rPr>
          <w:rFonts w:ascii="Times New Roman" w:hAnsi="Times New Roman" w:eastAsia="宋体" w:cs="Times New Roman"/>
          <w:color w:val="05073B"/>
          <w:kern w:val="0"/>
          <w:sz w:val="24"/>
          <w:szCs w:val="24"/>
          <w14:ligatures w14:val="none"/>
        </w:rPr>
        <w:instrText xml:space="preserve"> ADDIN ZOTERO_ITEM CSL_CITATION {"citationID":"ufTzIXti","properties":{"formattedCitation":"(Bhatta, 2021)","plainCitation":"(Bhatta, 2021)","noteIndex":0},"citationItems":[{"id":2669,"uris":["http://zotero.org/users/local/ONtzOUTb/items/N6LL6Q55"],"itemData":{"id":2669,"type":"article-journal","container-title":"Electronic Journal of Business Ethics and Organization Studies","issue":"1","note":"publisher: Jyväskylän yliopisto","source":"Google Scholar","title":"Emerging ethical challenges of leadership in the digital era: a multi-vocal literature review","title-short":"Emerging ethical challenges of leadership in the digital era","URL":"https://jyx.jyu.fi/handle/123456789/74932","volume":"26","author":[{"family":"Bhatta","given":"Narayan"}],"accessed":{"date-parts":[["2024",3,21]]},"issued":{"date-parts":[["2021"]]}}}],"schema":"https://github.com/citation-style-language/schema/raw/master/csl-citation.json"} </w:instrText>
      </w:r>
      <w:r>
        <w:rPr>
          <w:rFonts w:ascii="Times New Roman" w:hAnsi="Times New Roman" w:eastAsia="宋体" w:cs="Times New Roman"/>
          <w:color w:val="05073B"/>
          <w:kern w:val="0"/>
          <w:sz w:val="24"/>
          <w:szCs w:val="24"/>
          <w14:ligatures w14:val="none"/>
        </w:rPr>
        <w:fldChar w:fldCharType="separate"/>
      </w:r>
      <w:r>
        <w:rPr>
          <w:rFonts w:ascii="Times New Roman" w:hAnsi="Times New Roman" w:cs="Times New Roman"/>
          <w:sz w:val="24"/>
        </w:rPr>
        <w:t>(Bhatta, 2021)</w:t>
      </w:r>
      <w:r>
        <w:rPr>
          <w:rFonts w:ascii="Times New Roman" w:hAnsi="Times New Roman" w:eastAsia="宋体" w:cs="Times New Roman"/>
          <w:color w:val="05073B"/>
          <w:kern w:val="0"/>
          <w:sz w:val="24"/>
          <w:szCs w:val="24"/>
          <w14:ligatures w14:val="none"/>
        </w:rPr>
        <w:fldChar w:fldCharType="end"/>
      </w:r>
      <w:r>
        <w:rPr>
          <w:rFonts w:ascii="Times New Roman" w:hAnsi="Times New Roman" w:eastAsia="宋体" w:cs="Times New Roman"/>
          <w:color w:val="05073B"/>
          <w:kern w:val="0"/>
          <w:sz w:val="24"/>
          <w:szCs w:val="24"/>
          <w14:ligatures w14:val="none"/>
        </w:rPr>
        <w:t xml:space="preserve">. </w:t>
      </w:r>
    </w:p>
    <w:p>
      <w:pPr>
        <w:spacing w:before="100" w:beforeAutospacing="1" w:after="100" w:afterAutospacing="1" w:line="360" w:lineRule="auto"/>
        <w:rPr>
          <w:rFonts w:ascii="Times New Roman" w:hAnsi="Times New Roman" w:eastAsia="宋体" w:cs="Times New Roman"/>
          <w:color w:val="05073B"/>
          <w:sz w:val="24"/>
          <w:szCs w:val="24"/>
        </w:rPr>
      </w:pPr>
      <w:r>
        <w:rPr>
          <w:rFonts w:ascii="Times New Roman" w:hAnsi="Times New Roman" w:eastAsia="宋体" w:cs="Times New Roman"/>
          <w:b/>
          <w:bCs/>
          <w:color w:val="05073B"/>
          <w:sz w:val="24"/>
          <w:szCs w:val="24"/>
        </w:rPr>
        <w:t>VII. Conclusion</w:t>
      </w: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In conclusion, the essay has poised that human leaders have a critical role in organizing success, employee engagement, and motivation. They lead and navigate complex situations, inspire the part to excellence, and eventually learn for personal growth.</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The importance of human leadership can never be overestimated. They have unique abilities to involve and acknowledge people, hence encouraging them to excel. Human leaders create the environment not only for collaborative work in an organization but also that which is conducive for innovation.</w:t>
      </w: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t>However, it is quite definite that AI and technology are going to play very dominant roles in organizational settings, but human leadership is always going to be there to steer forth and ensure technology is used to pursue the best interests of the organization and its people.</w:t>
      </w:r>
      <w:r>
        <w:rPr>
          <w:rFonts w:hint="eastAsia" w:ascii="Times New Roman" w:hAnsi="Times New Roman" w:eastAsia="宋体" w:cs="Times New Roman"/>
          <w:color w:val="05073B"/>
          <w:kern w:val="0"/>
          <w:sz w:val="24"/>
          <w:szCs w:val="24"/>
          <w14:ligatures w14:val="none"/>
        </w:rPr>
        <w:t xml:space="preserve"> </w:t>
      </w:r>
      <w:r>
        <w:rPr>
          <w:rFonts w:ascii="Times New Roman" w:hAnsi="Times New Roman" w:eastAsia="宋体" w:cs="Times New Roman"/>
          <w:color w:val="05073B"/>
          <w:kern w:val="0"/>
          <w:sz w:val="24"/>
          <w:szCs w:val="24"/>
          <w14:ligatures w14:val="none"/>
        </w:rPr>
        <w:t>Finally, human leaders with AIs will collaborate in a manner where both will be applied in ways that bring forth a combination of strengths to yield consistencies of the best organizational agendas. It is through such a partnership that organizations stand a full chance of realizing huge opportunities for success that responds, in kind, keeping them fresh, fast-moving, and very competitive in the face of change in a never stagnant world.</w:t>
      </w: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p>
    <w:p>
      <w:pPr>
        <w:spacing w:before="100" w:beforeAutospacing="1" w:after="100" w:afterAutospacing="1" w:line="360" w:lineRule="auto"/>
        <w:rPr>
          <w:rFonts w:ascii="Times New Roman" w:hAnsi="Times New Roman" w:eastAsia="宋体" w:cs="Times New Roman"/>
          <w:color w:val="05073B"/>
          <w:kern w:val="0"/>
          <w:sz w:val="24"/>
          <w:szCs w:val="24"/>
          <w14:ligatures w14:val="none"/>
        </w:rPr>
      </w:pPr>
      <w:r>
        <w:rPr>
          <w:rFonts w:hint="eastAsia" w:ascii="Times New Roman" w:hAnsi="Times New Roman" w:eastAsia="宋体" w:cs="Times New Roman"/>
          <w:color w:val="05073B"/>
          <w:kern w:val="0"/>
          <w:sz w:val="24"/>
          <w:szCs w:val="24"/>
          <w14:ligatures w14:val="none"/>
        </w:rPr>
        <w:t>Reference</w:t>
      </w:r>
    </w:p>
    <w:p>
      <w:pPr>
        <w:pStyle w:val="8"/>
        <w:spacing w:line="360" w:lineRule="auto"/>
        <w:rPr>
          <w:rFonts w:ascii="Times New Roman" w:hAnsi="Times New Roman" w:cs="Times New Roman"/>
          <w:sz w:val="24"/>
        </w:rPr>
      </w:pPr>
      <w:r>
        <w:rPr>
          <w:rFonts w:eastAsia="宋体"/>
          <w:color w:val="05073B"/>
          <w14:ligatures w14:val="none"/>
        </w:rPr>
        <w:fldChar w:fldCharType="begin"/>
      </w:r>
      <w:r>
        <w:rPr>
          <w:rFonts w:eastAsia="宋体"/>
          <w:color w:val="05073B"/>
          <w14:ligatures w14:val="none"/>
        </w:rPr>
        <w:instrText xml:space="preserve"> ADDIN ZOTERO_BIBL {"uncited":[],"omitted":[],"custom":[]} CSL_BIBLIOGRAPHY </w:instrText>
      </w:r>
      <w:r>
        <w:rPr>
          <w:rFonts w:eastAsia="宋体"/>
          <w:color w:val="05073B"/>
          <w14:ligatures w14:val="none"/>
        </w:rPr>
        <w:fldChar w:fldCharType="separate"/>
      </w:r>
      <w:r>
        <w:rPr>
          <w:rFonts w:ascii="Times New Roman" w:hAnsi="Times New Roman" w:cs="Times New Roman"/>
          <w:sz w:val="24"/>
        </w:rPr>
        <w:t xml:space="preserve">Anuyah, O., Badillo-Urquiola, K. and Metoyer, R. (2023) ‘Characterizing the Technology Needs of Vulnerable Populations for Participation in Research and Design by Adopting Maslow’s Hierarchy of Needs’, in </w:t>
      </w:r>
      <w:r>
        <w:rPr>
          <w:rFonts w:ascii="Times New Roman" w:hAnsi="Times New Roman" w:cs="Times New Roman"/>
          <w:i/>
          <w:iCs/>
          <w:sz w:val="24"/>
        </w:rPr>
        <w:t>Proceedings of the 2023 CHI Conference on Human Factors in Computing Systems</w:t>
      </w:r>
      <w:r>
        <w:rPr>
          <w:rFonts w:ascii="Times New Roman" w:hAnsi="Times New Roman" w:cs="Times New Roman"/>
          <w:sz w:val="24"/>
        </w:rPr>
        <w:t xml:space="preserve">. </w:t>
      </w:r>
      <w:r>
        <w:rPr>
          <w:rFonts w:ascii="Times New Roman" w:hAnsi="Times New Roman" w:cs="Times New Roman"/>
          <w:i/>
          <w:iCs/>
          <w:sz w:val="24"/>
        </w:rPr>
        <w:t>CHI ’23: CHI Conference on Human Factors in Computing Systems</w:t>
      </w:r>
      <w:r>
        <w:rPr>
          <w:rFonts w:ascii="Times New Roman" w:hAnsi="Times New Roman" w:cs="Times New Roman"/>
          <w:sz w:val="24"/>
        </w:rPr>
        <w:t>, Hamburg Germany: ACM, pp. 1–20. Available at: https://doi.org/10.1145/3544548.3581221.</w:t>
      </w:r>
    </w:p>
    <w:p>
      <w:pPr>
        <w:pStyle w:val="8"/>
        <w:spacing w:line="360" w:lineRule="auto"/>
        <w:rPr>
          <w:rFonts w:ascii="Times New Roman" w:hAnsi="Times New Roman" w:cs="Times New Roman"/>
          <w:sz w:val="24"/>
        </w:rPr>
      </w:pPr>
      <w:r>
        <w:rPr>
          <w:rFonts w:ascii="Times New Roman" w:hAnsi="Times New Roman" w:cs="Times New Roman"/>
          <w:sz w:val="24"/>
        </w:rPr>
        <w:t xml:space="preserve">Bareis, J. and Katzenbach, C. (2022) ‘Talking AI into Being: The Narratives and Imaginaries of National AI Strategies and Their Performative Politics’, </w:t>
      </w:r>
      <w:r>
        <w:rPr>
          <w:rFonts w:ascii="Times New Roman" w:hAnsi="Times New Roman" w:cs="Times New Roman"/>
          <w:i/>
          <w:iCs/>
          <w:sz w:val="24"/>
        </w:rPr>
        <w:t>Science, Technology, &amp; Human Values</w:t>
      </w:r>
      <w:r>
        <w:rPr>
          <w:rFonts w:ascii="Times New Roman" w:hAnsi="Times New Roman" w:cs="Times New Roman"/>
          <w:sz w:val="24"/>
        </w:rPr>
        <w:t>, 47(5), pp. 855–881. Available at: https://doi.org/10.1177/01622439211030007.</w:t>
      </w:r>
    </w:p>
    <w:p>
      <w:pPr>
        <w:pStyle w:val="8"/>
        <w:spacing w:line="360" w:lineRule="auto"/>
        <w:rPr>
          <w:rFonts w:ascii="Times New Roman" w:hAnsi="Times New Roman" w:cs="Times New Roman"/>
          <w:sz w:val="24"/>
        </w:rPr>
      </w:pPr>
      <w:r>
        <w:rPr>
          <w:rFonts w:ascii="Times New Roman" w:hAnsi="Times New Roman" w:cs="Times New Roman"/>
          <w:sz w:val="24"/>
        </w:rPr>
        <w:t xml:space="preserve">Bhatta, N. (2021) ‘Emerging ethical challenges of leadership in the digital era: a multi-vocal literature review’, </w:t>
      </w:r>
      <w:r>
        <w:rPr>
          <w:rFonts w:ascii="Times New Roman" w:hAnsi="Times New Roman" w:cs="Times New Roman"/>
          <w:i/>
          <w:iCs/>
          <w:sz w:val="24"/>
        </w:rPr>
        <w:t>Electronic Journal of Business Ethics and Organization Studies</w:t>
      </w:r>
      <w:r>
        <w:rPr>
          <w:rFonts w:ascii="Times New Roman" w:hAnsi="Times New Roman" w:cs="Times New Roman"/>
          <w:sz w:val="24"/>
        </w:rPr>
        <w:t>, 26(1). Available at: https://jyx.jyu.fi/handle/123456789/74932 (Accessed: 21 March 2024).</w:t>
      </w:r>
    </w:p>
    <w:p>
      <w:pPr>
        <w:pStyle w:val="8"/>
        <w:spacing w:line="360" w:lineRule="auto"/>
        <w:rPr>
          <w:rFonts w:ascii="Times New Roman" w:hAnsi="Times New Roman" w:cs="Times New Roman"/>
          <w:sz w:val="24"/>
        </w:rPr>
      </w:pPr>
      <w:r>
        <w:rPr>
          <w:rFonts w:ascii="Times New Roman" w:hAnsi="Times New Roman" w:cs="Times New Roman"/>
          <w:sz w:val="24"/>
        </w:rPr>
        <w:t xml:space="preserve">Bohórquez, E. </w:t>
      </w:r>
      <w:r>
        <w:rPr>
          <w:rFonts w:ascii="Times New Roman" w:hAnsi="Times New Roman" w:cs="Times New Roman"/>
          <w:i/>
          <w:iCs/>
          <w:sz w:val="24"/>
        </w:rPr>
        <w:t>et al.</w:t>
      </w:r>
      <w:r>
        <w:rPr>
          <w:rFonts w:ascii="Times New Roman" w:hAnsi="Times New Roman" w:cs="Times New Roman"/>
          <w:sz w:val="24"/>
        </w:rPr>
        <w:t xml:space="preserve"> (2022) ‘Motivation and Job Performance: Human Capital as a Key Factor for Organizational Success’, in M.I.A. Chauvin et al. (eds) </w:t>
      </w:r>
      <w:r>
        <w:rPr>
          <w:rFonts w:ascii="Times New Roman" w:hAnsi="Times New Roman" w:cs="Times New Roman"/>
          <w:i/>
          <w:iCs/>
          <w:sz w:val="24"/>
        </w:rPr>
        <w:t>Sustainability, Energy and City</w:t>
      </w:r>
      <w:r>
        <w:rPr>
          <w:rFonts w:ascii="Times New Roman" w:hAnsi="Times New Roman" w:cs="Times New Roman"/>
          <w:sz w:val="24"/>
        </w:rPr>
        <w:t>. Cham: Springer International Publishing (Lecture Notes in Networks and Systems), pp. 123–133. Available at: https://doi.org/10.1007/978-3-030-94262-5_12.</w:t>
      </w:r>
    </w:p>
    <w:p>
      <w:pPr>
        <w:pStyle w:val="8"/>
        <w:spacing w:line="360" w:lineRule="auto"/>
        <w:rPr>
          <w:rFonts w:ascii="Times New Roman" w:hAnsi="Times New Roman" w:cs="Times New Roman"/>
          <w:sz w:val="24"/>
        </w:rPr>
      </w:pPr>
      <w:r>
        <w:rPr>
          <w:rFonts w:ascii="Times New Roman" w:hAnsi="Times New Roman" w:cs="Times New Roman"/>
          <w:sz w:val="24"/>
        </w:rPr>
        <w:t xml:space="preserve">Crawford, J., Cowling, M. and Allen, K.-A. (2023) ‘Leadership is needed for ethical ChatGPT: Character, assessment, and learning using artificial intelligence (AI)’, </w:t>
      </w:r>
      <w:r>
        <w:rPr>
          <w:rFonts w:ascii="Times New Roman" w:hAnsi="Times New Roman" w:cs="Times New Roman"/>
          <w:i/>
          <w:iCs/>
          <w:sz w:val="24"/>
        </w:rPr>
        <w:t>Journal of University Teaching &amp; Learning Practice</w:t>
      </w:r>
      <w:r>
        <w:rPr>
          <w:rFonts w:ascii="Times New Roman" w:hAnsi="Times New Roman" w:cs="Times New Roman"/>
          <w:sz w:val="24"/>
        </w:rPr>
        <w:t>, 20(3), p. 02.</w:t>
      </w:r>
    </w:p>
    <w:p>
      <w:pPr>
        <w:pStyle w:val="8"/>
        <w:spacing w:line="360" w:lineRule="auto"/>
        <w:rPr>
          <w:rFonts w:ascii="Times New Roman" w:hAnsi="Times New Roman" w:cs="Times New Roman"/>
          <w:sz w:val="24"/>
        </w:rPr>
      </w:pPr>
      <w:r>
        <w:rPr>
          <w:rFonts w:ascii="Times New Roman" w:hAnsi="Times New Roman" w:cs="Times New Roman"/>
          <w:sz w:val="24"/>
        </w:rPr>
        <w:t xml:space="preserve">Cui, L. </w:t>
      </w:r>
      <w:r>
        <w:rPr>
          <w:rFonts w:ascii="Times New Roman" w:hAnsi="Times New Roman" w:cs="Times New Roman"/>
          <w:i/>
          <w:iCs/>
          <w:sz w:val="24"/>
        </w:rPr>
        <w:t>et al.</w:t>
      </w:r>
      <w:r>
        <w:rPr>
          <w:rFonts w:ascii="Times New Roman" w:hAnsi="Times New Roman" w:cs="Times New Roman"/>
          <w:sz w:val="24"/>
        </w:rPr>
        <w:t xml:space="preserve"> (2021) ‘Predicting determinants of consumers’ purchase motivation for electric vehicles: An application of Maslow’s hierarchy of needs model’, </w:t>
      </w:r>
      <w:r>
        <w:rPr>
          <w:rFonts w:ascii="Times New Roman" w:hAnsi="Times New Roman" w:cs="Times New Roman"/>
          <w:i/>
          <w:iCs/>
          <w:sz w:val="24"/>
        </w:rPr>
        <w:t>Energy Policy</w:t>
      </w:r>
      <w:r>
        <w:rPr>
          <w:rFonts w:ascii="Times New Roman" w:hAnsi="Times New Roman" w:cs="Times New Roman"/>
          <w:sz w:val="24"/>
        </w:rPr>
        <w:t>, 151, p. 112167.</w:t>
      </w:r>
    </w:p>
    <w:p>
      <w:pPr>
        <w:pStyle w:val="8"/>
        <w:spacing w:line="360" w:lineRule="auto"/>
        <w:rPr>
          <w:rFonts w:ascii="Times New Roman" w:hAnsi="Times New Roman" w:cs="Times New Roman"/>
          <w:sz w:val="24"/>
        </w:rPr>
      </w:pPr>
      <w:r>
        <w:rPr>
          <w:rFonts w:ascii="Times New Roman" w:hAnsi="Times New Roman" w:cs="Times New Roman"/>
          <w:sz w:val="24"/>
        </w:rPr>
        <w:t xml:space="preserve">Hidalgo, C.A. (2021) ‘Economic complexity theory and applications’, </w:t>
      </w:r>
      <w:r>
        <w:rPr>
          <w:rFonts w:ascii="Times New Roman" w:hAnsi="Times New Roman" w:cs="Times New Roman"/>
          <w:i/>
          <w:iCs/>
          <w:sz w:val="24"/>
        </w:rPr>
        <w:t>Nature Reviews Physics</w:t>
      </w:r>
      <w:r>
        <w:rPr>
          <w:rFonts w:ascii="Times New Roman" w:hAnsi="Times New Roman" w:cs="Times New Roman"/>
          <w:sz w:val="24"/>
        </w:rPr>
        <w:t>, 3(2), pp. 92–113.</w:t>
      </w:r>
    </w:p>
    <w:p>
      <w:pPr>
        <w:pStyle w:val="8"/>
        <w:spacing w:line="360" w:lineRule="auto"/>
        <w:rPr>
          <w:rFonts w:ascii="Times New Roman" w:hAnsi="Times New Roman" w:cs="Times New Roman"/>
          <w:sz w:val="24"/>
        </w:rPr>
      </w:pPr>
      <w:r>
        <w:rPr>
          <w:rFonts w:ascii="Times New Roman" w:hAnsi="Times New Roman" w:cs="Times New Roman"/>
          <w:sz w:val="24"/>
        </w:rPr>
        <w:t xml:space="preserve">Jung, K.B., Kang, S.-W. and Choi, S.B. (2020) ‘Empowering leadership, risk-taking behavior, and employees’ commitment to organizational change: The mediated moderating role of task complexity’, </w:t>
      </w:r>
      <w:r>
        <w:rPr>
          <w:rFonts w:ascii="Times New Roman" w:hAnsi="Times New Roman" w:cs="Times New Roman"/>
          <w:i/>
          <w:iCs/>
          <w:sz w:val="24"/>
        </w:rPr>
        <w:t>Sustainability</w:t>
      </w:r>
      <w:r>
        <w:rPr>
          <w:rFonts w:ascii="Times New Roman" w:hAnsi="Times New Roman" w:cs="Times New Roman"/>
          <w:sz w:val="24"/>
        </w:rPr>
        <w:t>, 12(6), p. 2340.</w:t>
      </w:r>
    </w:p>
    <w:p>
      <w:pPr>
        <w:pStyle w:val="8"/>
        <w:spacing w:line="360" w:lineRule="auto"/>
        <w:rPr>
          <w:rFonts w:ascii="Times New Roman" w:hAnsi="Times New Roman" w:cs="Times New Roman"/>
          <w:sz w:val="24"/>
        </w:rPr>
      </w:pPr>
      <w:r>
        <w:rPr>
          <w:rFonts w:ascii="Times New Roman" w:hAnsi="Times New Roman" w:cs="Times New Roman"/>
          <w:sz w:val="24"/>
        </w:rPr>
        <w:t xml:space="preserve">Karakose, T. </w:t>
      </w:r>
      <w:r>
        <w:rPr>
          <w:rFonts w:ascii="Times New Roman" w:hAnsi="Times New Roman" w:cs="Times New Roman"/>
          <w:i/>
          <w:iCs/>
          <w:sz w:val="24"/>
        </w:rPr>
        <w:t>et al.</w:t>
      </w:r>
      <w:r>
        <w:rPr>
          <w:rFonts w:ascii="Times New Roman" w:hAnsi="Times New Roman" w:cs="Times New Roman"/>
          <w:sz w:val="24"/>
        </w:rPr>
        <w:t xml:space="preserve"> (2023) ‘A conversation with ChatGPT about digital leadership and technology integration: Comparative analysis based on human–AI collaboration’, </w:t>
      </w:r>
      <w:r>
        <w:rPr>
          <w:rFonts w:ascii="Times New Roman" w:hAnsi="Times New Roman" w:cs="Times New Roman"/>
          <w:i/>
          <w:iCs/>
          <w:sz w:val="24"/>
        </w:rPr>
        <w:t>Administrative Sciences</w:t>
      </w:r>
      <w:r>
        <w:rPr>
          <w:rFonts w:ascii="Times New Roman" w:hAnsi="Times New Roman" w:cs="Times New Roman"/>
          <w:sz w:val="24"/>
        </w:rPr>
        <w:t>, 13(7), p. 157.</w:t>
      </w:r>
    </w:p>
    <w:p>
      <w:pPr>
        <w:pStyle w:val="8"/>
        <w:spacing w:line="360" w:lineRule="auto"/>
        <w:rPr>
          <w:rFonts w:ascii="Times New Roman" w:hAnsi="Times New Roman" w:cs="Times New Roman"/>
          <w:sz w:val="24"/>
        </w:rPr>
      </w:pPr>
      <w:r>
        <w:rPr>
          <w:rFonts w:ascii="Times New Roman" w:hAnsi="Times New Roman" w:cs="Times New Roman"/>
          <w:sz w:val="24"/>
        </w:rPr>
        <w:t xml:space="preserve">Kuenzi, M., Mayer, D.M. and Greenbaum, R.L. (2020) ‘Creating an ethical organizational environment: The relationship between ethical leadership, ethical organizational climate, and unethical behavior’, </w:t>
      </w:r>
      <w:r>
        <w:rPr>
          <w:rFonts w:ascii="Times New Roman" w:hAnsi="Times New Roman" w:cs="Times New Roman"/>
          <w:i/>
          <w:iCs/>
          <w:sz w:val="24"/>
        </w:rPr>
        <w:t>Personnel Psychology</w:t>
      </w:r>
      <w:r>
        <w:rPr>
          <w:rFonts w:ascii="Times New Roman" w:hAnsi="Times New Roman" w:cs="Times New Roman"/>
          <w:sz w:val="24"/>
        </w:rPr>
        <w:t>, 73(1), pp. 43–71. Available at: https://doi.org/10.1111/peps.12356.</w:t>
      </w:r>
    </w:p>
    <w:p>
      <w:pPr>
        <w:pStyle w:val="8"/>
        <w:spacing w:line="360" w:lineRule="auto"/>
        <w:rPr>
          <w:rFonts w:ascii="Times New Roman" w:hAnsi="Times New Roman" w:cs="Times New Roman"/>
          <w:sz w:val="24"/>
        </w:rPr>
      </w:pPr>
      <w:r>
        <w:rPr>
          <w:rFonts w:ascii="Times New Roman" w:hAnsi="Times New Roman" w:cs="Times New Roman"/>
          <w:sz w:val="24"/>
        </w:rPr>
        <w:t xml:space="preserve">Mikhaylov, S.J., Esteve, M. and Campion, A. (2018) ‘Artificial intelligence for the public sector: opportunities and challenges of cross-sector collaboration’, </w:t>
      </w:r>
      <w:r>
        <w:rPr>
          <w:rFonts w:ascii="Times New Roman" w:hAnsi="Times New Roman" w:cs="Times New Roman"/>
          <w:i/>
          <w:iCs/>
          <w:sz w:val="24"/>
        </w:rPr>
        <w:t>Philosophical Transactions of the Royal Society A: Mathematical, Physical and Engineering Sciences</w:t>
      </w:r>
      <w:r>
        <w:rPr>
          <w:rFonts w:ascii="Times New Roman" w:hAnsi="Times New Roman" w:cs="Times New Roman"/>
          <w:sz w:val="24"/>
        </w:rPr>
        <w:t>, 376(2128), p. 20170357. Available at: https://doi.org/10.1098/rsta.2017.0357.</w:t>
      </w:r>
    </w:p>
    <w:p>
      <w:pPr>
        <w:pStyle w:val="8"/>
        <w:spacing w:line="360" w:lineRule="auto"/>
        <w:rPr>
          <w:rFonts w:ascii="Times New Roman" w:hAnsi="Times New Roman" w:cs="Times New Roman"/>
          <w:sz w:val="24"/>
        </w:rPr>
      </w:pPr>
      <w:r>
        <w:rPr>
          <w:rFonts w:ascii="Times New Roman" w:hAnsi="Times New Roman" w:cs="Times New Roman"/>
          <w:sz w:val="24"/>
        </w:rPr>
        <w:t xml:space="preserve">Milton, J. and Al-Busaidi, A. (2023) ‘New role of leadership in AI era: Educational sector’, in </w:t>
      </w:r>
      <w:r>
        <w:rPr>
          <w:rFonts w:ascii="Times New Roman" w:hAnsi="Times New Roman" w:cs="Times New Roman"/>
          <w:i/>
          <w:iCs/>
          <w:sz w:val="24"/>
        </w:rPr>
        <w:t>SHS Web of Conferences</w:t>
      </w:r>
      <w:r>
        <w:rPr>
          <w:rFonts w:ascii="Times New Roman" w:hAnsi="Times New Roman" w:cs="Times New Roman"/>
          <w:sz w:val="24"/>
        </w:rPr>
        <w:t>. EDP Sciences, p. 09005. Available at: https://www.shs-conferences.org/articles/shsconf/abs/2023/05/shsconf_ictl2023_09005/shsconf_ictl2023_09005.html (Accessed: 21 March 2024).</w:t>
      </w:r>
    </w:p>
    <w:p>
      <w:pPr>
        <w:pStyle w:val="8"/>
        <w:spacing w:line="360" w:lineRule="auto"/>
        <w:rPr>
          <w:rFonts w:ascii="Times New Roman" w:hAnsi="Times New Roman" w:cs="Times New Roman"/>
          <w:sz w:val="24"/>
        </w:rPr>
      </w:pPr>
      <w:r>
        <w:rPr>
          <w:rFonts w:ascii="Times New Roman" w:hAnsi="Times New Roman" w:cs="Times New Roman"/>
          <w:sz w:val="24"/>
        </w:rPr>
        <w:t xml:space="preserve">Moldenhauer, L. and Londt, C. (2018) ‘Leadership, artificial intelligence and the need to redefine future skills development’, in </w:t>
      </w:r>
      <w:r>
        <w:rPr>
          <w:rFonts w:ascii="Times New Roman" w:hAnsi="Times New Roman" w:cs="Times New Roman"/>
          <w:i/>
          <w:iCs/>
          <w:sz w:val="24"/>
        </w:rPr>
        <w:t>Proceedings of the European Conference on Management, Leadership &amp; Governance</w:t>
      </w:r>
      <w:r>
        <w:rPr>
          <w:rFonts w:ascii="Times New Roman" w:hAnsi="Times New Roman" w:cs="Times New Roman"/>
          <w:sz w:val="24"/>
        </w:rPr>
        <w:t>, pp. 155–160. Available at: https://books.google.com/books?hl=zh-CN&amp;lr=&amp;id=kWV9DwAAQBAJ&amp;oi=fnd&amp;pg=PA155&amp;dq=The+Potential+Role+of+AI+in+Leadership&amp;ots=wFj4qXwh_S&amp;sig=qWiEbTtE_WoJh-nQVvLHfR9T9mY (Accessed: 21 March 2024).</w:t>
      </w:r>
    </w:p>
    <w:p>
      <w:pPr>
        <w:pStyle w:val="8"/>
        <w:spacing w:line="360" w:lineRule="auto"/>
        <w:rPr>
          <w:rFonts w:ascii="Times New Roman" w:hAnsi="Times New Roman" w:cs="Times New Roman"/>
          <w:sz w:val="24"/>
          <w:lang w:val="fr-FR"/>
        </w:rPr>
      </w:pPr>
      <w:r>
        <w:rPr>
          <w:rFonts w:ascii="Times New Roman" w:hAnsi="Times New Roman" w:cs="Times New Roman"/>
          <w:sz w:val="24"/>
        </w:rPr>
        <w:t xml:space="preserve">Mumtaz, S., Selvarajah, C. and Meyer, D. (2024) ‘How does human relations climate and organizational support affect readiness to change? The mediating role of employee participation and leadership excellence’, </w:t>
      </w:r>
      <w:r>
        <w:rPr>
          <w:rFonts w:ascii="Times New Roman" w:hAnsi="Times New Roman" w:cs="Times New Roman"/>
          <w:i/>
          <w:iCs/>
          <w:sz w:val="24"/>
        </w:rPr>
        <w:t>Global Business and Organizational Excellence</w:t>
      </w:r>
      <w:r>
        <w:rPr>
          <w:rFonts w:ascii="Times New Roman" w:hAnsi="Times New Roman" w:cs="Times New Roman"/>
          <w:sz w:val="24"/>
        </w:rPr>
        <w:t xml:space="preserve">, 43(2), pp. 79–91. </w:t>
      </w:r>
      <w:r>
        <w:rPr>
          <w:rFonts w:ascii="Times New Roman" w:hAnsi="Times New Roman" w:cs="Times New Roman"/>
          <w:sz w:val="24"/>
          <w:lang w:val="fr-FR"/>
        </w:rPr>
        <w:t>Available at: https://doi.org/10.1002/joe.22223.</w:t>
      </w:r>
    </w:p>
    <w:p>
      <w:pPr>
        <w:pStyle w:val="8"/>
        <w:spacing w:line="360" w:lineRule="auto"/>
        <w:rPr>
          <w:rFonts w:ascii="Times New Roman" w:hAnsi="Times New Roman" w:cs="Times New Roman"/>
          <w:sz w:val="24"/>
        </w:rPr>
      </w:pPr>
      <w:r>
        <w:rPr>
          <w:rFonts w:ascii="Times New Roman" w:hAnsi="Times New Roman" w:cs="Times New Roman"/>
          <w:sz w:val="24"/>
          <w:lang w:val="fr-FR"/>
        </w:rPr>
        <w:t xml:space="preserve">Pawar, A. </w:t>
      </w:r>
      <w:r>
        <w:rPr>
          <w:rFonts w:ascii="Times New Roman" w:hAnsi="Times New Roman" w:cs="Times New Roman"/>
          <w:i/>
          <w:iCs/>
          <w:sz w:val="24"/>
          <w:lang w:val="fr-FR"/>
        </w:rPr>
        <w:t>et al.</w:t>
      </w:r>
      <w:r>
        <w:rPr>
          <w:rFonts w:ascii="Times New Roman" w:hAnsi="Times New Roman" w:cs="Times New Roman"/>
          <w:sz w:val="24"/>
          <w:lang w:val="fr-FR"/>
        </w:rPr>
        <w:t xml:space="preserve"> </w:t>
      </w:r>
      <w:r>
        <w:rPr>
          <w:rFonts w:ascii="Times New Roman" w:hAnsi="Times New Roman" w:cs="Times New Roman"/>
          <w:sz w:val="24"/>
        </w:rPr>
        <w:t xml:space="preserve">(2020) ‘Organizational servant leadership’, </w:t>
      </w:r>
      <w:r>
        <w:rPr>
          <w:rFonts w:ascii="Times New Roman" w:hAnsi="Times New Roman" w:cs="Times New Roman"/>
          <w:i/>
          <w:iCs/>
          <w:sz w:val="24"/>
        </w:rPr>
        <w:t>International Journal of Educational Administration, Management, and Leadership</w:t>
      </w:r>
      <w:r>
        <w:rPr>
          <w:rFonts w:ascii="Times New Roman" w:hAnsi="Times New Roman" w:cs="Times New Roman"/>
          <w:sz w:val="24"/>
        </w:rPr>
        <w:t>, pp. 63–76.</w:t>
      </w:r>
    </w:p>
    <w:p>
      <w:pPr>
        <w:pStyle w:val="8"/>
        <w:spacing w:line="360" w:lineRule="auto"/>
        <w:rPr>
          <w:rFonts w:ascii="Times New Roman" w:hAnsi="Times New Roman" w:cs="Times New Roman"/>
          <w:sz w:val="24"/>
        </w:rPr>
      </w:pPr>
      <w:r>
        <w:rPr>
          <w:rFonts w:ascii="Times New Roman" w:hAnsi="Times New Roman" w:cs="Times New Roman"/>
          <w:sz w:val="24"/>
        </w:rPr>
        <w:t xml:space="preserve">Tajeddini, K., Martin, E. and Altinay, L. (2020) ‘The importance of human-related factors on service innovation and performance’, </w:t>
      </w:r>
      <w:r>
        <w:rPr>
          <w:rFonts w:ascii="Times New Roman" w:hAnsi="Times New Roman" w:cs="Times New Roman"/>
          <w:i/>
          <w:iCs/>
          <w:sz w:val="24"/>
        </w:rPr>
        <w:t>International Journal of Hospitality Management</w:t>
      </w:r>
      <w:r>
        <w:rPr>
          <w:rFonts w:ascii="Times New Roman" w:hAnsi="Times New Roman" w:cs="Times New Roman"/>
          <w:sz w:val="24"/>
        </w:rPr>
        <w:t>, 85, p. 102431.</w:t>
      </w:r>
    </w:p>
    <w:p>
      <w:pPr>
        <w:pStyle w:val="8"/>
        <w:spacing w:line="360" w:lineRule="auto"/>
        <w:rPr>
          <w:rFonts w:ascii="Times New Roman" w:hAnsi="Times New Roman" w:cs="Times New Roman"/>
          <w:sz w:val="24"/>
        </w:rPr>
      </w:pPr>
      <w:r>
        <w:rPr>
          <w:rFonts w:ascii="Times New Roman" w:hAnsi="Times New Roman" w:cs="Times New Roman"/>
          <w:sz w:val="24"/>
        </w:rPr>
        <w:t xml:space="preserve">Wang, Y. (2021) ‘Artificial intelligence in educational leadership: a symbiotic role of human-artificial intelligence decision-making’, </w:t>
      </w:r>
      <w:r>
        <w:rPr>
          <w:rFonts w:ascii="Times New Roman" w:hAnsi="Times New Roman" w:cs="Times New Roman"/>
          <w:i/>
          <w:iCs/>
          <w:sz w:val="24"/>
        </w:rPr>
        <w:t>Journal of Educational Administration</w:t>
      </w:r>
      <w:r>
        <w:rPr>
          <w:rFonts w:ascii="Times New Roman" w:hAnsi="Times New Roman" w:cs="Times New Roman"/>
          <w:sz w:val="24"/>
        </w:rPr>
        <w:t>, 59(3), pp. 256–270.</w:t>
      </w:r>
    </w:p>
    <w:p>
      <w:pPr>
        <w:spacing w:before="100" w:beforeAutospacing="1" w:after="100" w:afterAutospacing="1" w:line="360" w:lineRule="auto"/>
        <w:rPr>
          <w:rFonts w:hint="eastAsia" w:ascii="Times New Roman" w:hAnsi="Times New Roman" w:eastAsia="宋体" w:cs="Times New Roman"/>
          <w:color w:val="05073B"/>
          <w:kern w:val="0"/>
          <w:sz w:val="24"/>
          <w:szCs w:val="24"/>
          <w14:ligatures w14:val="none"/>
        </w:rPr>
      </w:pPr>
      <w:r>
        <w:rPr>
          <w:rFonts w:ascii="Times New Roman" w:hAnsi="Times New Roman" w:eastAsia="宋体" w:cs="Times New Roman"/>
          <w:color w:val="05073B"/>
          <w:kern w:val="0"/>
          <w:sz w:val="24"/>
          <w:szCs w:val="24"/>
          <w14:ligatures w14:val="none"/>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0000000000000000000"/>
    <w:charset w:val="86"/>
    <w:family w:val="roman"/>
    <w:pitch w:val="default"/>
    <w:sig w:usb0="00000000" w:usb1="00000000" w:usb2="00000000" w:usb3="00000000" w:csb0="00000000" w:csb1="00000000"/>
  </w:font>
  <w:font w:name="汉仪雅酷黑 75W">
    <w:altName w:val="黑体"/>
    <w:panose1 w:val="020B0804020202020204"/>
    <w:charset w:val="86"/>
    <w:family w:val="auto"/>
    <w:pitch w:val="default"/>
    <w:sig w:usb0="00000000" w:usb1="00000000" w:usb2="00000016" w:usb3="00000000" w:csb0="2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QwNTIzMmYyMjk0MGRiN2Q5MTA2NjVlY2ZiNGEwNmYifQ=="/>
  </w:docVars>
  <w:rsids>
    <w:rsidRoot w:val="000826BE"/>
    <w:rsid w:val="000079EE"/>
    <w:rsid w:val="00034428"/>
    <w:rsid w:val="000826BE"/>
    <w:rsid w:val="00093296"/>
    <w:rsid w:val="000A45E8"/>
    <w:rsid w:val="000E3FA1"/>
    <w:rsid w:val="00147E23"/>
    <w:rsid w:val="00175219"/>
    <w:rsid w:val="001F15B8"/>
    <w:rsid w:val="00280F9D"/>
    <w:rsid w:val="002900D7"/>
    <w:rsid w:val="0029735E"/>
    <w:rsid w:val="002B0339"/>
    <w:rsid w:val="002B515C"/>
    <w:rsid w:val="002F2CDF"/>
    <w:rsid w:val="00410E97"/>
    <w:rsid w:val="00487214"/>
    <w:rsid w:val="004A675D"/>
    <w:rsid w:val="004B0381"/>
    <w:rsid w:val="004D260C"/>
    <w:rsid w:val="00524065"/>
    <w:rsid w:val="00532715"/>
    <w:rsid w:val="0053448B"/>
    <w:rsid w:val="00571287"/>
    <w:rsid w:val="0058363F"/>
    <w:rsid w:val="005A3560"/>
    <w:rsid w:val="005F1B85"/>
    <w:rsid w:val="006343FB"/>
    <w:rsid w:val="0064579B"/>
    <w:rsid w:val="00653295"/>
    <w:rsid w:val="006B7018"/>
    <w:rsid w:val="006C0DC8"/>
    <w:rsid w:val="006E55F0"/>
    <w:rsid w:val="00733F91"/>
    <w:rsid w:val="0075268B"/>
    <w:rsid w:val="00755E32"/>
    <w:rsid w:val="007E6CFB"/>
    <w:rsid w:val="0083164B"/>
    <w:rsid w:val="00831DAF"/>
    <w:rsid w:val="00847152"/>
    <w:rsid w:val="008E79DA"/>
    <w:rsid w:val="009631CC"/>
    <w:rsid w:val="00964633"/>
    <w:rsid w:val="009928F0"/>
    <w:rsid w:val="009D18A8"/>
    <w:rsid w:val="009F2D84"/>
    <w:rsid w:val="00A82A9F"/>
    <w:rsid w:val="00AC15ED"/>
    <w:rsid w:val="00B01CAA"/>
    <w:rsid w:val="00B10EEC"/>
    <w:rsid w:val="00B67384"/>
    <w:rsid w:val="00B832F3"/>
    <w:rsid w:val="00B95338"/>
    <w:rsid w:val="00BA1F94"/>
    <w:rsid w:val="00BA3D91"/>
    <w:rsid w:val="00BC284C"/>
    <w:rsid w:val="00C03755"/>
    <w:rsid w:val="00C0512E"/>
    <w:rsid w:val="00C27965"/>
    <w:rsid w:val="00C41061"/>
    <w:rsid w:val="00C639AE"/>
    <w:rsid w:val="00CE47F8"/>
    <w:rsid w:val="00D258FA"/>
    <w:rsid w:val="00D854BF"/>
    <w:rsid w:val="00D92C42"/>
    <w:rsid w:val="00DA798B"/>
    <w:rsid w:val="00DF1C4F"/>
    <w:rsid w:val="00E053BF"/>
    <w:rsid w:val="00EA140C"/>
    <w:rsid w:val="00EA4CB9"/>
    <w:rsid w:val="00EC7107"/>
    <w:rsid w:val="00ED1ADC"/>
    <w:rsid w:val="00F056B8"/>
    <w:rsid w:val="00F2665A"/>
    <w:rsid w:val="00F32AC6"/>
    <w:rsid w:val="00FA129E"/>
    <w:rsid w:val="00FB2514"/>
    <w:rsid w:val="393F08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5">
    <w:name w:val="Default Paragraph Font"/>
    <w:autoRedefine/>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autoRedefine/>
    <w:unhideWhenUsed/>
    <w:uiPriority w:val="99"/>
    <w:pPr>
      <w:tabs>
        <w:tab w:val="center" w:pos="4153"/>
        <w:tab w:val="right" w:pos="8306"/>
      </w:tabs>
      <w:snapToGrid w:val="0"/>
      <w:jc w:val="left"/>
    </w:pPr>
    <w:rPr>
      <w:sz w:val="18"/>
      <w:szCs w:val="18"/>
    </w:rPr>
  </w:style>
  <w:style w:type="paragraph" w:styleId="3">
    <w:name w:val="header"/>
    <w:basedOn w:val="1"/>
    <w:link w:val="6"/>
    <w:autoRedefine/>
    <w:unhideWhenUsed/>
    <w:uiPriority w:val="99"/>
    <w:pPr>
      <w:tabs>
        <w:tab w:val="center" w:pos="4153"/>
        <w:tab w:val="right" w:pos="8306"/>
      </w:tabs>
      <w:snapToGrid w:val="0"/>
      <w:jc w:val="center"/>
    </w:pPr>
    <w:rPr>
      <w:sz w:val="18"/>
      <w:szCs w:val="18"/>
    </w:rPr>
  </w:style>
  <w:style w:type="character" w:customStyle="1" w:styleId="6">
    <w:name w:val="页眉 字符"/>
    <w:basedOn w:val="5"/>
    <w:link w:val="3"/>
    <w:autoRedefine/>
    <w:uiPriority w:val="99"/>
    <w:rPr>
      <w:sz w:val="18"/>
      <w:szCs w:val="18"/>
    </w:rPr>
  </w:style>
  <w:style w:type="character" w:customStyle="1" w:styleId="7">
    <w:name w:val="页脚 字符"/>
    <w:basedOn w:val="5"/>
    <w:link w:val="2"/>
    <w:autoRedefine/>
    <w:qFormat/>
    <w:uiPriority w:val="99"/>
    <w:rPr>
      <w:sz w:val="18"/>
      <w:szCs w:val="18"/>
    </w:rPr>
  </w:style>
  <w:style w:type="paragraph" w:customStyle="1" w:styleId="8">
    <w:name w:val="Bibliography"/>
    <w:basedOn w:val="1"/>
    <w:next w:val="1"/>
    <w:unhideWhenUsed/>
    <w:uiPriority w:val="37"/>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6524</Words>
  <Characters>37188</Characters>
  <Lines>309</Lines>
  <Paragraphs>87</Paragraphs>
  <TotalTime>0</TotalTime>
  <ScaleCrop>false</ScaleCrop>
  <LinksUpToDate>false</LinksUpToDate>
  <CharactersWithSpaces>43625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2024-03-20T03:38:00Z</dcterms:created>
  <dc:creator>Jinghua Zeng</dc:creator>
  <cp:lastModifiedBy>rua</cp:lastModifiedBy>
  <dcterms:modified xsi:type="dcterms:W3CDTF">2024-04-14T10:43:15Z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id="DciWlq0H"/&gt;&lt;style id="http://www.zotero.org/styles/harvard-cite-them-right" hasBibliography="1" bibliographyStyleHasBeenSet="1"/&gt;&lt;prefs&gt;&lt;pref name="fieldType" value="Field"/&gt;&lt;/prefs&gt;&lt;/data&gt;</vt:lpwstr>
  </property>
  <property fmtid="{D5CDD505-2E9C-101B-9397-08002B2CF9AE}" pid="3" name="KSOProductBuildVer">
    <vt:lpwstr>2052-12.1.0.16729</vt:lpwstr>
  </property>
  <property fmtid="{D5CDD505-2E9C-101B-9397-08002B2CF9AE}" pid="4" name="ICV">
    <vt:lpwstr>E6C63245481A492FBFDA1F4D8B28EC3E_12</vt:lpwstr>
  </property>
</Properties>
</file>