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74731" w14:textId="696046C6" w:rsidR="00B17094" w:rsidRPr="005D5B4B" w:rsidRDefault="005D5B4B">
      <w:pPr>
        <w:rPr>
          <w:rFonts w:ascii="Arial" w:hAnsi="Arial" w:cs="Arial"/>
          <w:sz w:val="24"/>
          <w:szCs w:val="24"/>
        </w:rPr>
      </w:pPr>
      <w:r w:rsidRPr="005D5B4B">
        <w:rPr>
          <w:rFonts w:ascii="Arial" w:hAnsi="Arial" w:cs="Arial"/>
          <w:sz w:val="24"/>
          <w:szCs w:val="24"/>
        </w:rPr>
        <w:t xml:space="preserve">Introduction: </w:t>
      </w:r>
    </w:p>
    <w:p w14:paraId="2D880E38" w14:textId="57965096" w:rsidR="005D5B4B" w:rsidRPr="005D5B4B" w:rsidRDefault="005D5B4B">
      <w:pPr>
        <w:rPr>
          <w:rFonts w:ascii="Arial" w:hAnsi="Arial" w:cs="Arial"/>
          <w:sz w:val="24"/>
          <w:szCs w:val="24"/>
        </w:rPr>
      </w:pPr>
    </w:p>
    <w:p w14:paraId="1D2D76FC" w14:textId="7BCC3DF7" w:rsidR="00FB56DF" w:rsidRDefault="00D12823" w:rsidP="00EB7960">
      <w:pPr>
        <w:rPr>
          <w:rFonts w:ascii="Arial" w:hAnsi="Arial" w:cs="Arial"/>
          <w:sz w:val="24"/>
          <w:szCs w:val="24"/>
        </w:rPr>
      </w:pPr>
      <w:r w:rsidRPr="00D12823">
        <w:rPr>
          <w:rFonts w:ascii="Arial" w:hAnsi="Arial" w:cs="Arial"/>
          <w:sz w:val="24"/>
          <w:szCs w:val="24"/>
        </w:rPr>
        <w:t>Influenza, an acute viral respiratory illness, is a major cause of morbidity and mortality around the world. There are three influenza strains that can infect people. Influenza A is the kind that is most likely to cause pandemics due to its great vulnerability to antigenic alteration. The symptoms of influenza, which include fever, cough, chills or sweats, myalgias, and malaise, are extremely contagious and manifest very quickly. It can lead to mild to severe illness, and occasionally even death. The majority of the time, flu virus droplets are expelled when a person coughs, sneezes, or speaks. These droplets can end up in nearby individuals' mouths or nostrils. A person can catch the flu by touching their own mouth, nose, or eyes, however it doesn't happen very often</w:t>
      </w:r>
      <w:r w:rsidR="000B46E9">
        <w:rPr>
          <w:rFonts w:ascii="Arial" w:hAnsi="Arial" w:cs="Arial"/>
          <w:sz w:val="24"/>
          <w:szCs w:val="24"/>
        </w:rPr>
        <w:t xml:space="preserve"> </w:t>
      </w:r>
      <w:r w:rsidR="00B73C6D" w:rsidRPr="00B73C6D">
        <w:rPr>
          <w:rFonts w:ascii="Arial" w:hAnsi="Arial" w:cs="Arial"/>
          <w:sz w:val="24"/>
          <w:szCs w:val="24"/>
        </w:rPr>
        <w:t>(</w:t>
      </w:r>
      <w:proofErr w:type="spellStart"/>
      <w:r w:rsidR="00B73C6D" w:rsidRPr="00B73C6D">
        <w:rPr>
          <w:rFonts w:ascii="Arial" w:hAnsi="Arial" w:cs="Arial"/>
          <w:sz w:val="24"/>
          <w:szCs w:val="24"/>
        </w:rPr>
        <w:t>Stallknecht</w:t>
      </w:r>
      <w:proofErr w:type="spellEnd"/>
      <w:r w:rsidR="00B73C6D" w:rsidRPr="00B73C6D">
        <w:rPr>
          <w:rFonts w:ascii="Arial" w:hAnsi="Arial" w:cs="Arial"/>
          <w:sz w:val="24"/>
          <w:szCs w:val="24"/>
        </w:rPr>
        <w:t xml:space="preserve"> </w:t>
      </w:r>
      <w:r w:rsidR="00B73C6D" w:rsidRPr="00B73C6D">
        <w:rPr>
          <w:rFonts w:ascii="Arial" w:hAnsi="Arial" w:cs="Arial"/>
          <w:i/>
          <w:iCs/>
          <w:sz w:val="24"/>
          <w:szCs w:val="24"/>
        </w:rPr>
        <w:t>et al.</w:t>
      </w:r>
      <w:r w:rsidR="00B73C6D" w:rsidRPr="00B73C6D">
        <w:rPr>
          <w:rFonts w:ascii="Arial" w:hAnsi="Arial" w:cs="Arial"/>
          <w:sz w:val="24"/>
          <w:szCs w:val="24"/>
        </w:rPr>
        <w:t>, 2010)</w:t>
      </w:r>
      <w:r w:rsidR="00B73C6D">
        <w:rPr>
          <w:rFonts w:ascii="Arial" w:hAnsi="Arial" w:cs="Arial"/>
          <w:sz w:val="24"/>
          <w:szCs w:val="24"/>
        </w:rPr>
        <w:t>.</w:t>
      </w:r>
    </w:p>
    <w:p w14:paraId="65722D9B" w14:textId="684C7D54" w:rsidR="00B73C6D" w:rsidRDefault="00B73C6D" w:rsidP="00EB7960">
      <w:pPr>
        <w:rPr>
          <w:rFonts w:ascii="Arial" w:hAnsi="Arial" w:cs="Arial"/>
          <w:sz w:val="24"/>
          <w:szCs w:val="24"/>
        </w:rPr>
      </w:pPr>
    </w:p>
    <w:p w14:paraId="5971008A" w14:textId="5C9F3A3D" w:rsidR="00B73C6D" w:rsidRDefault="005F03AD" w:rsidP="00EB7960">
      <w:pPr>
        <w:rPr>
          <w:color w:val="000000"/>
          <w:sz w:val="27"/>
          <w:szCs w:val="27"/>
        </w:rPr>
      </w:pPr>
      <w:r>
        <w:rPr>
          <w:color w:val="000000"/>
          <w:sz w:val="27"/>
          <w:szCs w:val="27"/>
        </w:rPr>
        <w:t>Measure:</w:t>
      </w:r>
    </w:p>
    <w:p w14:paraId="07694590" w14:textId="5FD76757" w:rsidR="00350AA8" w:rsidRDefault="00350AA8" w:rsidP="00EB7960">
      <w:pPr>
        <w:rPr>
          <w:rFonts w:ascii="Arial" w:hAnsi="Arial" w:cs="Arial"/>
          <w:sz w:val="24"/>
          <w:szCs w:val="24"/>
        </w:rPr>
      </w:pPr>
      <w:r w:rsidRPr="00350AA8">
        <w:rPr>
          <w:rFonts w:ascii="Arial" w:hAnsi="Arial" w:cs="Arial"/>
          <w:sz w:val="24"/>
          <w:szCs w:val="24"/>
        </w:rPr>
        <w:t>A staggering number of diseases are brought on by influenza each year. Even in years without a pandemic, it is estimated that between 250,000 and 500,000 people worldwide will die from influenza. In some years, the burden may rise significantly. The second wave of the 2009 pandemic infected 49% of young children, 59% of people aged 5 to 14, 35% of people aged 15 to 24, and 25% of people aged 25 to 44, according to serological tests. Even though the majority of influenza episodes are mild, serious complications may occur from time to time, particularly in elderly people and very young children. To lessen the effects of influenza, it is essential to know who is most likely to catch it. Despite the epidemic's high incidence, there is a lack of quantitative data on risk variables that could guide subsequent influenza prevention strategies</w:t>
      </w:r>
      <w:r w:rsidR="00AD2A77">
        <w:rPr>
          <w:rFonts w:ascii="Arial" w:hAnsi="Arial" w:cs="Arial"/>
          <w:sz w:val="24"/>
          <w:szCs w:val="24"/>
        </w:rPr>
        <w:t xml:space="preserve">. </w:t>
      </w:r>
      <w:r w:rsidR="00AD2A77" w:rsidRPr="002A0DB3">
        <w:rPr>
          <w:rFonts w:ascii="Arial" w:hAnsi="Arial" w:cs="Arial"/>
          <w:sz w:val="24"/>
          <w:szCs w:val="24"/>
        </w:rPr>
        <w:t xml:space="preserve">The overall risk was determined by dividing the total number of positive reports by the total number of reports </w:t>
      </w:r>
      <w:r w:rsidR="00521F76" w:rsidRPr="00521F76">
        <w:rPr>
          <w:rFonts w:ascii="Arial" w:hAnsi="Arial" w:cs="Arial"/>
          <w:sz w:val="24"/>
          <w:szCs w:val="24"/>
        </w:rPr>
        <w:t>(Adler, 2014)</w:t>
      </w:r>
      <w:r w:rsidR="00521F76">
        <w:rPr>
          <w:rFonts w:ascii="Arial" w:hAnsi="Arial" w:cs="Arial"/>
          <w:sz w:val="24"/>
          <w:szCs w:val="24"/>
        </w:rPr>
        <w:t>.</w:t>
      </w:r>
    </w:p>
    <w:p w14:paraId="5F543A13" w14:textId="373C9763" w:rsidR="00AD2A77" w:rsidRDefault="00E43016" w:rsidP="00EB7960">
      <w:pPr>
        <w:rPr>
          <w:rFonts w:ascii="Arial" w:hAnsi="Arial" w:cs="Arial"/>
          <w:sz w:val="24"/>
          <w:szCs w:val="24"/>
        </w:rPr>
      </w:pPr>
      <w:r w:rsidRPr="00E43016">
        <w:rPr>
          <w:rFonts w:ascii="Arial" w:hAnsi="Arial" w:cs="Arial"/>
          <w:sz w:val="24"/>
          <w:szCs w:val="24"/>
        </w:rPr>
        <w:t xml:space="preserve">Examining the efficacy of vaccines is yet another method for determining the incidence of influenza. The Test Negative Case (TNCC) control strategy was used to evaluate the effectiveness of influenza vaccines against laboratory-confirmed influenza infections that led to primary care visits for acute influenza-like illness </w:t>
      </w:r>
      <w:r w:rsidR="00D51E24" w:rsidRPr="00D51E24">
        <w:rPr>
          <w:rFonts w:ascii="Arial" w:hAnsi="Arial" w:cs="Arial"/>
          <w:sz w:val="24"/>
          <w:szCs w:val="24"/>
        </w:rPr>
        <w:t xml:space="preserve">(Russell </w:t>
      </w:r>
      <w:r w:rsidR="00D51E24" w:rsidRPr="00D51E24">
        <w:rPr>
          <w:rFonts w:ascii="Arial" w:hAnsi="Arial" w:cs="Arial"/>
          <w:i/>
          <w:iCs/>
          <w:sz w:val="24"/>
          <w:szCs w:val="24"/>
        </w:rPr>
        <w:t>et al.</w:t>
      </w:r>
      <w:r w:rsidR="00D51E24" w:rsidRPr="00D51E24">
        <w:rPr>
          <w:rFonts w:ascii="Arial" w:hAnsi="Arial" w:cs="Arial"/>
          <w:sz w:val="24"/>
          <w:szCs w:val="24"/>
        </w:rPr>
        <w:t>, 2020)</w:t>
      </w:r>
      <w:r w:rsidR="00D51E24">
        <w:rPr>
          <w:rFonts w:ascii="Arial" w:hAnsi="Arial" w:cs="Arial"/>
          <w:sz w:val="24"/>
          <w:szCs w:val="24"/>
        </w:rPr>
        <w:t>.</w:t>
      </w:r>
    </w:p>
    <w:p w14:paraId="4695D64A" w14:textId="7D4AB337" w:rsidR="00925168" w:rsidRDefault="00925168" w:rsidP="00EB7960">
      <w:pPr>
        <w:rPr>
          <w:rFonts w:ascii="Arial" w:hAnsi="Arial" w:cs="Arial"/>
          <w:sz w:val="24"/>
          <w:szCs w:val="24"/>
        </w:rPr>
      </w:pPr>
    </w:p>
    <w:p w14:paraId="35CA391F" w14:textId="267DDA1F" w:rsidR="00925168" w:rsidRDefault="00925168" w:rsidP="00C12A4B">
      <w:pPr>
        <w:tabs>
          <w:tab w:val="left" w:pos="1790"/>
        </w:tabs>
        <w:rPr>
          <w:color w:val="000000"/>
          <w:sz w:val="27"/>
          <w:szCs w:val="27"/>
        </w:rPr>
      </w:pPr>
      <w:r>
        <w:rPr>
          <w:color w:val="000000"/>
          <w:sz w:val="27"/>
          <w:szCs w:val="27"/>
        </w:rPr>
        <w:t>Monitor:</w:t>
      </w:r>
      <w:r w:rsidR="00C12A4B">
        <w:rPr>
          <w:color w:val="000000"/>
          <w:sz w:val="27"/>
          <w:szCs w:val="27"/>
        </w:rPr>
        <w:tab/>
      </w:r>
    </w:p>
    <w:p w14:paraId="32E014AB" w14:textId="16DE5340" w:rsidR="00E55173" w:rsidRDefault="004332C5" w:rsidP="00EB7960">
      <w:pPr>
        <w:rPr>
          <w:rFonts w:ascii="Arial" w:hAnsi="Arial" w:cs="Arial"/>
          <w:sz w:val="24"/>
          <w:szCs w:val="24"/>
        </w:rPr>
      </w:pPr>
      <w:r w:rsidRPr="004332C5">
        <w:rPr>
          <w:color w:val="000000"/>
          <w:sz w:val="27"/>
          <w:szCs w:val="27"/>
        </w:rPr>
        <w:t>Data from sentinel GP surveillance and telephone-health lines make up the UK's current national syndromic surveillance capability; however, it is planned that this capability will be expanded to include ED attendances and GP out-of-hours services. Sentinel GP networks have been in use in the United Kingdom for more than 40 years</w:t>
      </w:r>
      <w:r w:rsidR="00775F25">
        <w:rPr>
          <w:color w:val="000000"/>
          <w:sz w:val="27"/>
          <w:szCs w:val="27"/>
        </w:rPr>
        <w:t xml:space="preserve"> </w:t>
      </w:r>
      <w:r w:rsidR="00775F25" w:rsidRPr="00775F25">
        <w:rPr>
          <w:color w:val="000000"/>
          <w:sz w:val="27"/>
          <w:szCs w:val="27"/>
        </w:rPr>
        <w:t>(Elliot, 2009)</w:t>
      </w:r>
      <w:r w:rsidR="00775F25">
        <w:rPr>
          <w:color w:val="000000"/>
          <w:sz w:val="27"/>
          <w:szCs w:val="27"/>
        </w:rPr>
        <w:t xml:space="preserve">. </w:t>
      </w:r>
      <w:r w:rsidR="00E0077E">
        <w:rPr>
          <w:color w:val="000000"/>
          <w:sz w:val="27"/>
          <w:szCs w:val="27"/>
        </w:rPr>
        <w:t xml:space="preserve"> </w:t>
      </w:r>
      <w:r w:rsidR="003755E4" w:rsidRPr="003755E4">
        <w:rPr>
          <w:color w:val="000000"/>
          <w:sz w:val="27"/>
          <w:szCs w:val="27"/>
        </w:rPr>
        <w:t xml:space="preserve">Following the 2009 H1N1 influenza pandemic in England, a sentinel network of 23 Trusts was established under the name UK Severe Influenza Surveillance System (USISS) to monitor confirmed seasonal </w:t>
      </w:r>
      <w:r w:rsidR="003755E4" w:rsidRPr="003755E4">
        <w:rPr>
          <w:color w:val="000000"/>
          <w:sz w:val="27"/>
          <w:szCs w:val="27"/>
        </w:rPr>
        <w:lastRenderedPageBreak/>
        <w:t>influenza hospitalizations (Bolotin et al., 2012).</w:t>
      </w:r>
      <w:r w:rsidR="00667DDA">
        <w:rPr>
          <w:color w:val="000000"/>
          <w:sz w:val="27"/>
          <w:szCs w:val="27"/>
        </w:rPr>
        <w:t xml:space="preserve"> </w:t>
      </w:r>
      <w:r w:rsidR="00512DFE" w:rsidRPr="00512DFE">
        <w:rPr>
          <w:color w:val="000000"/>
          <w:sz w:val="27"/>
          <w:szCs w:val="27"/>
        </w:rPr>
        <w:t>On April 27, 2009, the UK's first cases of the 2009 H1N1 pandemic were reported. During the first wave of the pandemic (H1N1), the number of influenza cases in England in 2009 ranged from 144 000 to 670 000, with a mean estimate of 320 000. Each suspected clinical case was examined microbiologically and treated with antivirals as the initial response in England; Antiviral prophylaxis was administered and monitored to each individual's close contacts. As a result, only virologically proven instances were subject to surveillance</w:t>
      </w:r>
      <w:r w:rsidR="00A15400">
        <w:rPr>
          <w:color w:val="000000"/>
          <w:sz w:val="27"/>
          <w:szCs w:val="27"/>
        </w:rPr>
        <w:t xml:space="preserve">. </w:t>
      </w:r>
      <w:r w:rsidR="00A15400" w:rsidRPr="00A15400">
        <w:rPr>
          <w:color w:val="000000"/>
          <w:sz w:val="27"/>
          <w:szCs w:val="27"/>
        </w:rPr>
        <w:t>On July 2, 2009, a nationwide "treatment-only" phase without prophylaxis for contacts began in an effort to contain the pandemic as the number of cases increased. At this point, the focus of monitoring shifted to population-based systems that can track cases with clinical symptoms resembling those of influenza</w:t>
      </w:r>
      <w:r w:rsidR="00EC4495">
        <w:rPr>
          <w:color w:val="000000"/>
          <w:sz w:val="27"/>
          <w:szCs w:val="27"/>
        </w:rPr>
        <w:t xml:space="preserve"> </w:t>
      </w:r>
      <w:r w:rsidR="00EC4495" w:rsidRPr="00EC4495">
        <w:rPr>
          <w:color w:val="000000"/>
          <w:sz w:val="27"/>
          <w:szCs w:val="27"/>
        </w:rPr>
        <w:t xml:space="preserve">(Harcourt, </w:t>
      </w:r>
      <w:r w:rsidR="00EC4495">
        <w:rPr>
          <w:color w:val="000000"/>
          <w:sz w:val="27"/>
          <w:szCs w:val="27"/>
        </w:rPr>
        <w:t>2012</w:t>
      </w:r>
      <w:r w:rsidR="00EC4495" w:rsidRPr="00EC4495">
        <w:rPr>
          <w:color w:val="000000"/>
          <w:sz w:val="27"/>
          <w:szCs w:val="27"/>
        </w:rPr>
        <w:t>)</w:t>
      </w:r>
      <w:r w:rsidR="00EC4495">
        <w:rPr>
          <w:color w:val="000000"/>
          <w:sz w:val="27"/>
          <w:szCs w:val="27"/>
        </w:rPr>
        <w:t>.</w:t>
      </w:r>
      <w:r w:rsidR="006C797A">
        <w:rPr>
          <w:color w:val="000000"/>
          <w:sz w:val="27"/>
          <w:szCs w:val="27"/>
        </w:rPr>
        <w:t xml:space="preserve"> </w:t>
      </w:r>
      <w:r w:rsidR="00E55173" w:rsidRPr="00E55173">
        <w:rPr>
          <w:color w:val="000000"/>
          <w:sz w:val="27"/>
          <w:szCs w:val="27"/>
        </w:rPr>
        <w:t>NHS 111 calls, the Emergency Department Syndromic Surveillance System (EDSSS), and online assessments are some of England's national UKHSA real-time syndromic surveillance services</w:t>
      </w:r>
      <w:r w:rsidR="000E2ADE">
        <w:rPr>
          <w:color w:val="000000"/>
          <w:sz w:val="27"/>
          <w:szCs w:val="27"/>
        </w:rPr>
        <w:t xml:space="preserve">. </w:t>
      </w:r>
      <w:r w:rsidR="000E2ADE" w:rsidRPr="000E2ADE">
        <w:rPr>
          <w:color w:val="000000"/>
          <w:sz w:val="27"/>
          <w:szCs w:val="27"/>
        </w:rPr>
        <w:t>In the UK, the "Flu survey" web-based surveillance programme was introduced in July 2009, at the height of the influenza pandemic</w:t>
      </w:r>
      <w:r w:rsidR="000E2ADE">
        <w:rPr>
          <w:color w:val="000000"/>
          <w:sz w:val="27"/>
          <w:szCs w:val="27"/>
        </w:rPr>
        <w:t xml:space="preserve"> </w:t>
      </w:r>
      <w:r w:rsidR="00C01E0E" w:rsidRPr="00521F76">
        <w:rPr>
          <w:rFonts w:ascii="Arial" w:hAnsi="Arial" w:cs="Arial"/>
          <w:sz w:val="24"/>
          <w:szCs w:val="24"/>
        </w:rPr>
        <w:t>(Adler, 2014)</w:t>
      </w:r>
      <w:r w:rsidR="00C01E0E">
        <w:rPr>
          <w:rFonts w:ascii="Arial" w:hAnsi="Arial" w:cs="Arial"/>
          <w:sz w:val="24"/>
          <w:szCs w:val="24"/>
        </w:rPr>
        <w:t>.</w:t>
      </w:r>
      <w:r w:rsidR="00EE0E63">
        <w:rPr>
          <w:rFonts w:ascii="Arial" w:hAnsi="Arial" w:cs="Arial"/>
          <w:sz w:val="24"/>
          <w:szCs w:val="24"/>
        </w:rPr>
        <w:t xml:space="preserve"> </w:t>
      </w:r>
    </w:p>
    <w:p w14:paraId="41CB6ABA" w14:textId="77777777" w:rsidR="00986042" w:rsidRDefault="00986042" w:rsidP="00EB7960">
      <w:pPr>
        <w:rPr>
          <w:rFonts w:ascii="Arial" w:hAnsi="Arial" w:cs="Arial"/>
          <w:sz w:val="24"/>
          <w:szCs w:val="24"/>
        </w:rPr>
      </w:pPr>
    </w:p>
    <w:p w14:paraId="6D819D67" w14:textId="3721072B" w:rsidR="00986042" w:rsidRDefault="00986042" w:rsidP="00EB7960">
      <w:pPr>
        <w:rPr>
          <w:rFonts w:ascii="Arial" w:hAnsi="Arial" w:cs="Arial"/>
          <w:sz w:val="24"/>
          <w:szCs w:val="24"/>
        </w:rPr>
      </w:pPr>
      <w:r>
        <w:rPr>
          <w:rFonts w:ascii="Arial" w:hAnsi="Arial" w:cs="Arial"/>
          <w:sz w:val="24"/>
          <w:szCs w:val="24"/>
        </w:rPr>
        <w:t>Control:</w:t>
      </w:r>
    </w:p>
    <w:p w14:paraId="30F7CE94" w14:textId="77777777" w:rsidR="00986042" w:rsidRDefault="00986042" w:rsidP="00EB7960">
      <w:pPr>
        <w:rPr>
          <w:rFonts w:ascii="Arial" w:hAnsi="Arial" w:cs="Arial"/>
          <w:sz w:val="24"/>
          <w:szCs w:val="24"/>
        </w:rPr>
      </w:pPr>
    </w:p>
    <w:p w14:paraId="3D94C2C3" w14:textId="77777777" w:rsidR="00986042" w:rsidRDefault="00986042" w:rsidP="00EB7960">
      <w:pPr>
        <w:rPr>
          <w:color w:val="000000"/>
          <w:sz w:val="27"/>
          <w:szCs w:val="27"/>
        </w:rPr>
      </w:pPr>
    </w:p>
    <w:p w14:paraId="50BA3054" w14:textId="4A3A2548" w:rsidR="00E24179" w:rsidRDefault="00C73CC0" w:rsidP="00EB7960">
      <w:pPr>
        <w:rPr>
          <w:color w:val="000000"/>
          <w:sz w:val="27"/>
          <w:szCs w:val="27"/>
        </w:rPr>
      </w:pPr>
      <w:r w:rsidRPr="00C73CC0">
        <w:rPr>
          <w:color w:val="000000"/>
          <w:sz w:val="27"/>
          <w:szCs w:val="27"/>
        </w:rPr>
        <w:t xml:space="preserve">To control epidemics, two basic public health measures can be used: </w:t>
      </w:r>
      <w:r w:rsidR="00C1563B">
        <w:rPr>
          <w:color w:val="000000"/>
          <w:sz w:val="27"/>
          <w:szCs w:val="27"/>
        </w:rPr>
        <w:t>(</w:t>
      </w:r>
      <w:proofErr w:type="spellStart"/>
      <w:r w:rsidR="00C1563B" w:rsidRPr="0093708F">
        <w:rPr>
          <w:color w:val="000000"/>
          <w:sz w:val="27"/>
          <w:szCs w:val="27"/>
        </w:rPr>
        <w:t>i</w:t>
      </w:r>
      <w:proofErr w:type="spellEnd"/>
      <w:r w:rsidR="00C1563B">
        <w:rPr>
          <w:color w:val="000000"/>
          <w:sz w:val="27"/>
          <w:szCs w:val="27"/>
        </w:rPr>
        <w:t xml:space="preserve">) </w:t>
      </w:r>
      <w:r w:rsidRPr="00C73CC0">
        <w:rPr>
          <w:color w:val="000000"/>
          <w:sz w:val="27"/>
          <w:szCs w:val="27"/>
        </w:rPr>
        <w:t xml:space="preserve">find individuals who are showing signs, </w:t>
      </w:r>
      <w:r w:rsidR="0093708F" w:rsidRPr="0093708F">
        <w:rPr>
          <w:color w:val="000000"/>
          <w:sz w:val="27"/>
          <w:szCs w:val="27"/>
        </w:rPr>
        <w:t>(ii) locate and quarantine their contact</w:t>
      </w:r>
      <w:r w:rsidR="00C1563B">
        <w:rPr>
          <w:color w:val="000000"/>
          <w:sz w:val="27"/>
          <w:szCs w:val="27"/>
        </w:rPr>
        <w:t xml:space="preserve"> </w:t>
      </w:r>
      <w:r w:rsidRPr="00C73CC0">
        <w:rPr>
          <w:color w:val="000000"/>
          <w:sz w:val="27"/>
          <w:szCs w:val="27"/>
        </w:rPr>
        <w:t xml:space="preserve"> and isolate them. We utilise a mathematical model to examine the connection between infectiousness and symptom onset because these measures depend on the identification of particular illness symptoms. For the prevention of sickness, there are many options available, including face masks and vaccines. These include medication, dietary changes, and behavioural adjustments. antifungal, antiviral, and antibiotic medications Environmental modifications</w:t>
      </w:r>
      <w:r w:rsidR="002D1580">
        <w:rPr>
          <w:color w:val="000000"/>
          <w:sz w:val="27"/>
          <w:szCs w:val="27"/>
        </w:rPr>
        <w:t>. T</w:t>
      </w:r>
      <w:r w:rsidR="002D1580" w:rsidRPr="002D1580">
        <w:rPr>
          <w:color w:val="000000"/>
          <w:sz w:val="27"/>
          <w:szCs w:val="27"/>
        </w:rPr>
        <w:t xml:space="preserve">he significance of timely administration of antiviral medications and the contribution hospitals and communities make to transmission prevention. This is in line with the preparedness strategies of the United Kingdom and the Netherlands. At low coverage and efficacy levels, our findings demonstrate that the use of a vaccine results in the greatest reduction in morbidity and mortality when compared to the use of antivirals alone. Antivirals, on the other hand, become more effective as these levels of efficacy and coverage increase </w:t>
      </w:r>
      <w:r w:rsidR="00C86902" w:rsidRPr="007925C6">
        <w:rPr>
          <w:color w:val="000000"/>
          <w:sz w:val="27"/>
          <w:szCs w:val="27"/>
        </w:rPr>
        <w:t>(</w:t>
      </w:r>
      <w:proofErr w:type="spellStart"/>
      <w:r w:rsidR="00C86902" w:rsidRPr="007925C6">
        <w:rPr>
          <w:color w:val="000000"/>
          <w:sz w:val="27"/>
          <w:szCs w:val="27"/>
        </w:rPr>
        <w:t>Nuño</w:t>
      </w:r>
      <w:proofErr w:type="spellEnd"/>
      <w:r w:rsidR="00C86902" w:rsidRPr="007925C6">
        <w:rPr>
          <w:color w:val="000000"/>
          <w:sz w:val="27"/>
          <w:szCs w:val="27"/>
        </w:rPr>
        <w:t xml:space="preserve">, </w:t>
      </w:r>
      <w:proofErr w:type="spellStart"/>
      <w:r w:rsidR="00C86902" w:rsidRPr="007925C6">
        <w:rPr>
          <w:color w:val="000000"/>
          <w:sz w:val="27"/>
          <w:szCs w:val="27"/>
        </w:rPr>
        <w:t>Chowell</w:t>
      </w:r>
      <w:proofErr w:type="spellEnd"/>
      <w:r w:rsidR="00C86902" w:rsidRPr="007925C6">
        <w:rPr>
          <w:color w:val="000000"/>
          <w:sz w:val="27"/>
          <w:szCs w:val="27"/>
        </w:rPr>
        <w:t xml:space="preserve"> and Gumel, 2006)</w:t>
      </w:r>
      <w:r w:rsidR="00C86902">
        <w:rPr>
          <w:color w:val="000000"/>
          <w:sz w:val="27"/>
          <w:szCs w:val="27"/>
        </w:rPr>
        <w:t xml:space="preserve">. </w:t>
      </w:r>
      <w:r w:rsidR="00BE5473">
        <w:rPr>
          <w:color w:val="000000"/>
          <w:sz w:val="27"/>
          <w:szCs w:val="27"/>
        </w:rPr>
        <w:t xml:space="preserve"> </w:t>
      </w:r>
    </w:p>
    <w:p w14:paraId="45F600AB" w14:textId="4DE9B4E9" w:rsidR="00BE5473" w:rsidRDefault="00BE5473" w:rsidP="00EB7960">
      <w:pPr>
        <w:rPr>
          <w:color w:val="000000"/>
          <w:sz w:val="27"/>
          <w:szCs w:val="27"/>
        </w:rPr>
      </w:pPr>
      <w:r w:rsidRPr="00664D95">
        <w:rPr>
          <w:rFonts w:ascii="Arial" w:hAnsi="Arial" w:cs="Arial"/>
          <w:sz w:val="24"/>
          <w:szCs w:val="24"/>
        </w:rPr>
        <w:lastRenderedPageBreak/>
        <w:t>In the UK, fewer doses of the annual influenza vaccination are being administered, even to people who are most at risk for contracting serious illnesses, such as children and pregnant women. When the vaccine was given along with the COVID-19 booster in the UK, influenza vaccination rates fell from 77% in 2020–21 to 61% in 2021–22. 3 Because the public is primarily worried about COVID-19 and planned fall booster vaccinations, safety concerns and public mistrust of COVID-19 vaccines may promote scepticism of the influenza vaccine. Engaging communities, particularly members of ethnic minority groups, and training vaccine providers to stress the safety and effectiveness of co-administering influenza and COVID-19 immunisations are two techniques for overcoming vaccination obstacles</w:t>
      </w:r>
      <w:r w:rsidR="007A7D4B">
        <w:rPr>
          <w:rFonts w:ascii="Arial" w:hAnsi="Arial" w:cs="Arial"/>
          <w:sz w:val="24"/>
          <w:szCs w:val="24"/>
        </w:rPr>
        <w:t xml:space="preserve"> </w:t>
      </w:r>
      <w:r w:rsidR="007A7D4B" w:rsidRPr="007A7D4B">
        <w:rPr>
          <w:rFonts w:ascii="Arial" w:hAnsi="Arial" w:cs="Arial"/>
          <w:sz w:val="24"/>
          <w:szCs w:val="24"/>
        </w:rPr>
        <w:t>(Nazareth, 2022)</w:t>
      </w:r>
      <w:r w:rsidR="007A7D4B">
        <w:rPr>
          <w:rFonts w:ascii="Arial" w:hAnsi="Arial" w:cs="Arial"/>
          <w:sz w:val="24"/>
          <w:szCs w:val="24"/>
        </w:rPr>
        <w:t>.</w:t>
      </w:r>
    </w:p>
    <w:p w14:paraId="7431B7A7" w14:textId="77777777" w:rsidR="00925168" w:rsidRDefault="00925168" w:rsidP="00EB7960">
      <w:pPr>
        <w:rPr>
          <w:color w:val="000000"/>
          <w:sz w:val="27"/>
          <w:szCs w:val="27"/>
        </w:rPr>
      </w:pPr>
    </w:p>
    <w:p w14:paraId="4084FF7E" w14:textId="77777777" w:rsidR="0078319B" w:rsidRDefault="0078319B" w:rsidP="00EB7960">
      <w:pPr>
        <w:rPr>
          <w:rFonts w:ascii="Arial" w:hAnsi="Arial" w:cs="Arial"/>
          <w:sz w:val="24"/>
          <w:szCs w:val="24"/>
        </w:rPr>
      </w:pPr>
    </w:p>
    <w:p w14:paraId="434513EB" w14:textId="79F857F3" w:rsidR="0078319B" w:rsidRDefault="0078319B" w:rsidP="00EB7960">
      <w:pPr>
        <w:rPr>
          <w:rFonts w:ascii="Arial" w:hAnsi="Arial" w:cs="Arial"/>
          <w:sz w:val="24"/>
          <w:szCs w:val="24"/>
        </w:rPr>
      </w:pPr>
      <w:r>
        <w:rPr>
          <w:rFonts w:ascii="Arial" w:hAnsi="Arial" w:cs="Arial"/>
          <w:sz w:val="24"/>
          <w:szCs w:val="24"/>
        </w:rPr>
        <w:t>Conclusion:</w:t>
      </w:r>
    </w:p>
    <w:p w14:paraId="190F5B6A" w14:textId="77777777" w:rsidR="0078319B" w:rsidRDefault="0078319B" w:rsidP="00EB7960">
      <w:pPr>
        <w:rPr>
          <w:rFonts w:ascii="Arial" w:hAnsi="Arial" w:cs="Arial"/>
          <w:sz w:val="24"/>
          <w:szCs w:val="24"/>
        </w:rPr>
      </w:pPr>
    </w:p>
    <w:p w14:paraId="59B0358F" w14:textId="098E996A" w:rsidR="00664D95" w:rsidRDefault="00BE5473" w:rsidP="00EB7960">
      <w:pPr>
        <w:rPr>
          <w:rFonts w:ascii="Arial" w:hAnsi="Arial" w:cs="Arial"/>
          <w:sz w:val="24"/>
          <w:szCs w:val="24"/>
        </w:rPr>
      </w:pPr>
      <w:r w:rsidRPr="00BE5473">
        <w:rPr>
          <w:rFonts w:ascii="Arial" w:hAnsi="Arial" w:cs="Arial"/>
          <w:sz w:val="24"/>
          <w:szCs w:val="24"/>
        </w:rPr>
        <w:t>The COVID-19 pandemic containment procedures have posed new difficulties in seasonal influenza management. The decision of the UK Joint Committee on Vaccination and Immunization to exclude people between the ages of 11 and 15 and those between the ages of 50 and 64 from the groups eligible to receive the influenza vaccination in 2022 and 2023 must be re-examined.  Children between the ages of 11 and 15 should be immunized because they are the primary carriers of influenza. Inequities in the vaccination of high-risk populations (such as children and healthcare professionals) must be addressed if vaccination efforts are to be successful</w:t>
      </w:r>
      <w:r w:rsidR="007A7D4B">
        <w:rPr>
          <w:rFonts w:ascii="Arial" w:hAnsi="Arial" w:cs="Arial"/>
          <w:sz w:val="24"/>
          <w:szCs w:val="24"/>
        </w:rPr>
        <w:t xml:space="preserve"> </w:t>
      </w:r>
      <w:r w:rsidR="007A7D4B" w:rsidRPr="007A7D4B">
        <w:rPr>
          <w:rFonts w:ascii="Arial" w:hAnsi="Arial" w:cs="Arial"/>
          <w:sz w:val="24"/>
          <w:szCs w:val="24"/>
        </w:rPr>
        <w:t>(Nazareth, 2022)</w:t>
      </w:r>
      <w:r w:rsidR="007A7D4B">
        <w:rPr>
          <w:rFonts w:ascii="Arial" w:hAnsi="Arial" w:cs="Arial"/>
          <w:sz w:val="24"/>
          <w:szCs w:val="24"/>
        </w:rPr>
        <w:t>.</w:t>
      </w:r>
    </w:p>
    <w:p w14:paraId="6BD90D7A" w14:textId="77777777" w:rsidR="00FB56DF" w:rsidRDefault="00FB56DF">
      <w:pPr>
        <w:rPr>
          <w:rFonts w:ascii="Arial" w:hAnsi="Arial" w:cs="Arial"/>
          <w:sz w:val="24"/>
          <w:szCs w:val="24"/>
        </w:rPr>
      </w:pPr>
      <w:r>
        <w:rPr>
          <w:rFonts w:ascii="Arial" w:hAnsi="Arial" w:cs="Arial"/>
          <w:sz w:val="24"/>
          <w:szCs w:val="24"/>
        </w:rPr>
        <w:br w:type="page"/>
      </w:r>
    </w:p>
    <w:p w14:paraId="3C9E66F4" w14:textId="76BA54D6" w:rsidR="005D5B4B" w:rsidRPr="005D5B4B" w:rsidRDefault="005D5B4B" w:rsidP="000B7947">
      <w:pPr>
        <w:rPr>
          <w:rFonts w:ascii="Arial" w:hAnsi="Arial" w:cs="Arial"/>
          <w:sz w:val="24"/>
          <w:szCs w:val="24"/>
        </w:rPr>
      </w:pPr>
    </w:p>
    <w:sectPr w:rsidR="005D5B4B" w:rsidRPr="005D5B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43289" w14:textId="77777777" w:rsidR="00673C9C" w:rsidRDefault="00673C9C" w:rsidP="007F757C">
      <w:pPr>
        <w:spacing w:after="0" w:line="240" w:lineRule="auto"/>
      </w:pPr>
      <w:r>
        <w:separator/>
      </w:r>
    </w:p>
  </w:endnote>
  <w:endnote w:type="continuationSeparator" w:id="0">
    <w:p w14:paraId="0903B696" w14:textId="77777777" w:rsidR="00673C9C" w:rsidRDefault="00673C9C" w:rsidP="007F7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858DF" w14:textId="77777777" w:rsidR="00673C9C" w:rsidRDefault="00673C9C" w:rsidP="007F757C">
      <w:pPr>
        <w:spacing w:after="0" w:line="240" w:lineRule="auto"/>
      </w:pPr>
      <w:r>
        <w:separator/>
      </w:r>
    </w:p>
  </w:footnote>
  <w:footnote w:type="continuationSeparator" w:id="0">
    <w:p w14:paraId="26AAC88F" w14:textId="77777777" w:rsidR="00673C9C" w:rsidRDefault="00673C9C" w:rsidP="007F75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B4B"/>
    <w:rsid w:val="00086469"/>
    <w:rsid w:val="000B46E9"/>
    <w:rsid w:val="000B7947"/>
    <w:rsid w:val="000E2ADE"/>
    <w:rsid w:val="002737A3"/>
    <w:rsid w:val="002A0DB3"/>
    <w:rsid w:val="002D1580"/>
    <w:rsid w:val="00350AA8"/>
    <w:rsid w:val="00365E1A"/>
    <w:rsid w:val="003755E4"/>
    <w:rsid w:val="003D27A2"/>
    <w:rsid w:val="00423A49"/>
    <w:rsid w:val="004332C5"/>
    <w:rsid w:val="004528DC"/>
    <w:rsid w:val="00471D21"/>
    <w:rsid w:val="004B3A32"/>
    <w:rsid w:val="00512DFE"/>
    <w:rsid w:val="00521F76"/>
    <w:rsid w:val="005D5B4B"/>
    <w:rsid w:val="005F03AD"/>
    <w:rsid w:val="00664D95"/>
    <w:rsid w:val="00667DDA"/>
    <w:rsid w:val="00673C9C"/>
    <w:rsid w:val="006C797A"/>
    <w:rsid w:val="00717537"/>
    <w:rsid w:val="007351F9"/>
    <w:rsid w:val="00775F25"/>
    <w:rsid w:val="0078319B"/>
    <w:rsid w:val="007925C6"/>
    <w:rsid w:val="007A7D4B"/>
    <w:rsid w:val="007C76B3"/>
    <w:rsid w:val="007F696D"/>
    <w:rsid w:val="007F757C"/>
    <w:rsid w:val="008B692F"/>
    <w:rsid w:val="00925168"/>
    <w:rsid w:val="0093708F"/>
    <w:rsid w:val="00986042"/>
    <w:rsid w:val="00A15400"/>
    <w:rsid w:val="00A629F0"/>
    <w:rsid w:val="00AD2A77"/>
    <w:rsid w:val="00B17094"/>
    <w:rsid w:val="00B73C6D"/>
    <w:rsid w:val="00BE5473"/>
    <w:rsid w:val="00C01E0E"/>
    <w:rsid w:val="00C12A4B"/>
    <w:rsid w:val="00C1563B"/>
    <w:rsid w:val="00C6171C"/>
    <w:rsid w:val="00C73CC0"/>
    <w:rsid w:val="00C86902"/>
    <w:rsid w:val="00C9584E"/>
    <w:rsid w:val="00CA061C"/>
    <w:rsid w:val="00CD6CB5"/>
    <w:rsid w:val="00D12823"/>
    <w:rsid w:val="00D445FD"/>
    <w:rsid w:val="00D51E24"/>
    <w:rsid w:val="00D87ADA"/>
    <w:rsid w:val="00DA57C3"/>
    <w:rsid w:val="00E0077E"/>
    <w:rsid w:val="00E24179"/>
    <w:rsid w:val="00E43016"/>
    <w:rsid w:val="00E43042"/>
    <w:rsid w:val="00E55173"/>
    <w:rsid w:val="00E60251"/>
    <w:rsid w:val="00E75C01"/>
    <w:rsid w:val="00EB7960"/>
    <w:rsid w:val="00EC4495"/>
    <w:rsid w:val="00EE0E63"/>
    <w:rsid w:val="00F104E7"/>
    <w:rsid w:val="00F32EFA"/>
    <w:rsid w:val="00FB56DF"/>
    <w:rsid w:val="00FF3A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86328B"/>
  <w15:docId w15:val="{50801426-AE87-4A43-90EF-21BF70C8D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51F9"/>
    <w:rPr>
      <w:color w:val="0563C1" w:themeColor="hyperlink"/>
      <w:u w:val="single"/>
    </w:rPr>
  </w:style>
  <w:style w:type="character" w:styleId="UnresolvedMention">
    <w:name w:val="Unresolved Mention"/>
    <w:basedOn w:val="DefaultParagraphFont"/>
    <w:uiPriority w:val="99"/>
    <w:semiHidden/>
    <w:unhideWhenUsed/>
    <w:rsid w:val="007351F9"/>
    <w:rPr>
      <w:color w:val="605E5C"/>
      <w:shd w:val="clear" w:color="auto" w:fill="E1DFDD"/>
    </w:rPr>
  </w:style>
  <w:style w:type="paragraph" w:styleId="Header">
    <w:name w:val="header"/>
    <w:basedOn w:val="Normal"/>
    <w:link w:val="HeaderChar"/>
    <w:uiPriority w:val="99"/>
    <w:unhideWhenUsed/>
    <w:rsid w:val="007F75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57C"/>
  </w:style>
  <w:style w:type="paragraph" w:styleId="Footer">
    <w:name w:val="footer"/>
    <w:basedOn w:val="Normal"/>
    <w:link w:val="FooterChar"/>
    <w:uiPriority w:val="99"/>
    <w:unhideWhenUsed/>
    <w:rsid w:val="007F75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5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989</Words>
  <Characters>5641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6617</CharactersWithSpaces>
  <SharedDoc>false</SharedDoc>
  <HLinks>
    <vt:vector size="54" baseType="variant">
      <vt:variant>
        <vt:i4>6422575</vt:i4>
      </vt:variant>
      <vt:variant>
        <vt:i4>24</vt:i4>
      </vt:variant>
      <vt:variant>
        <vt:i4>0</vt:i4>
      </vt:variant>
      <vt:variant>
        <vt:i4>5</vt:i4>
      </vt:variant>
      <vt:variant>
        <vt:lpwstr>https://meridian.allenpress.com/avian-diseases/article-abstract/54/s1/461/136164/Avian-Influenza-Virus-in-Aquatic-Habitats-What-Do</vt:lpwstr>
      </vt:variant>
      <vt:variant>
        <vt:lpwstr/>
      </vt:variant>
      <vt:variant>
        <vt:i4>6029396</vt:i4>
      </vt:variant>
      <vt:variant>
        <vt:i4>21</vt:i4>
      </vt:variant>
      <vt:variant>
        <vt:i4>0</vt:i4>
      </vt:variant>
      <vt:variant>
        <vt:i4>5</vt:i4>
      </vt:variant>
      <vt:variant>
        <vt:lpwstr>https://meridian.allenpress.com/jgme/article/12/3/264/442004/Peabody-s-Paradox-Balancing-Patient-Care-and</vt:lpwstr>
      </vt:variant>
      <vt:variant>
        <vt:lpwstr/>
      </vt:variant>
      <vt:variant>
        <vt:i4>4849741</vt:i4>
      </vt:variant>
      <vt:variant>
        <vt:i4>18</vt:i4>
      </vt:variant>
      <vt:variant>
        <vt:i4>0</vt:i4>
      </vt:variant>
      <vt:variant>
        <vt:i4>5</vt:i4>
      </vt:variant>
      <vt:variant>
        <vt:lpwstr>https://www.eurosurveillance.org/content/10.2807/esw.11.25.02980-en?crawler=true</vt:lpwstr>
      </vt:variant>
      <vt:variant>
        <vt:lpwstr/>
      </vt:variant>
      <vt:variant>
        <vt:i4>2359401</vt:i4>
      </vt:variant>
      <vt:variant>
        <vt:i4>15</vt:i4>
      </vt:variant>
      <vt:variant>
        <vt:i4>0</vt:i4>
      </vt:variant>
      <vt:variant>
        <vt:i4>5</vt:i4>
      </vt:variant>
      <vt:variant>
        <vt:lpwstr>https://doi.org/10.1098/rsif.2006.0186</vt:lpwstr>
      </vt:variant>
      <vt:variant>
        <vt:lpwstr/>
      </vt:variant>
      <vt:variant>
        <vt:i4>196611</vt:i4>
      </vt:variant>
      <vt:variant>
        <vt:i4>12</vt:i4>
      </vt:variant>
      <vt:variant>
        <vt:i4>0</vt:i4>
      </vt:variant>
      <vt:variant>
        <vt:i4>5</vt:i4>
      </vt:variant>
      <vt:variant>
        <vt:lpwstr>https://bmjopen.bmj.com/content/6/9/e012149.short</vt:lpwstr>
      </vt:variant>
      <vt:variant>
        <vt:lpwstr/>
      </vt:variant>
      <vt:variant>
        <vt:i4>4456513</vt:i4>
      </vt:variant>
      <vt:variant>
        <vt:i4>9</vt:i4>
      </vt:variant>
      <vt:variant>
        <vt:i4>0</vt:i4>
      </vt:variant>
      <vt:variant>
        <vt:i4>5</vt:i4>
      </vt:variant>
      <vt:variant>
        <vt:lpwstr>https://www.cambridge.org/core/journals/epidemiology-and-infection/article/use-of-a-large-general-practice-syndromic-surveillance-system-to-monitor-the-progress-of-the-influenza-ah1n1-pandemic-2009-in-the-uk/72F66C5000E52D73B7D239E829EB90A8</vt:lpwstr>
      </vt:variant>
      <vt:variant>
        <vt:lpwstr/>
      </vt:variant>
      <vt:variant>
        <vt:i4>5439556</vt:i4>
      </vt:variant>
      <vt:variant>
        <vt:i4>6</vt:i4>
      </vt:variant>
      <vt:variant>
        <vt:i4>0</vt:i4>
      </vt:variant>
      <vt:variant>
        <vt:i4>5</vt:i4>
      </vt:variant>
      <vt:variant>
        <vt:lpwstr>https://www.eurosurveillance.org/content/10.2807/ese.14.44.19391-en?crawler=true</vt:lpwstr>
      </vt:variant>
      <vt:variant>
        <vt:lpwstr/>
      </vt:variant>
      <vt:variant>
        <vt:i4>4456514</vt:i4>
      </vt:variant>
      <vt:variant>
        <vt:i4>3</vt:i4>
      </vt:variant>
      <vt:variant>
        <vt:i4>0</vt:i4>
      </vt:variant>
      <vt:variant>
        <vt:i4>5</vt:i4>
      </vt:variant>
      <vt:variant>
        <vt:lpwstr>https://doi.org/10.1371/journal.pone.0030279</vt:lpwstr>
      </vt:variant>
      <vt:variant>
        <vt:lpwstr/>
      </vt:variant>
      <vt:variant>
        <vt:i4>4522008</vt:i4>
      </vt:variant>
      <vt:variant>
        <vt:i4>0</vt:i4>
      </vt:variant>
      <vt:variant>
        <vt:i4>0</vt:i4>
      </vt:variant>
      <vt:variant>
        <vt:i4>5</vt:i4>
      </vt:variant>
      <vt:variant>
        <vt:lpwstr>https://bmcinfectdis.biomedcentral.com/articles/10.1186/1471-2334-14-232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Kanwal (2211905)</dc:creator>
  <cp:keywords/>
  <dc:description/>
  <cp:lastModifiedBy>Aisha Kanwal (2211905)</cp:lastModifiedBy>
  <cp:revision>3</cp:revision>
  <dcterms:created xsi:type="dcterms:W3CDTF">2023-03-05T20:09:00Z</dcterms:created>
  <dcterms:modified xsi:type="dcterms:W3CDTF">2023-03-05T20:10:00Z</dcterms:modified>
</cp:coreProperties>
</file>