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Georgia" w:cs="Georgia" w:eastAsia="Georgia" w:hAnsi="Georgia"/>
          <w:sz w:val="16"/>
          <w:szCs w:val="16"/>
        </w:rPr>
      </w:pPr>
      <w:r w:rsidDel="00000000" w:rsidR="00000000" w:rsidRPr="00000000">
        <w:rPr>
          <w:rFonts w:ascii="Georgia" w:cs="Georgia" w:eastAsia="Georgia" w:hAnsi="Georgia"/>
          <w:sz w:val="16"/>
          <w:szCs w:val="16"/>
        </w:rPr>
        <w:drawing>
          <wp:inline distB="114300" distT="114300" distL="114300" distR="114300">
            <wp:extent cx="1938338" cy="660246"/>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38338" cy="660246"/>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rFonts w:ascii="Georgia" w:cs="Georgia" w:eastAsia="Georgia" w:hAnsi="Georgia"/>
          <w:sz w:val="16"/>
          <w:szCs w:val="16"/>
        </w:rPr>
      </w:pPr>
      <w:r w:rsidDel="00000000" w:rsidR="00000000" w:rsidRPr="00000000">
        <w:rPr>
          <w:rtl w:val="0"/>
        </w:rPr>
      </w:r>
    </w:p>
    <w:p w:rsidR="00000000" w:rsidDel="00000000" w:rsidP="00000000" w:rsidRDefault="00000000" w:rsidRPr="00000000" w14:paraId="00000003">
      <w:pPr>
        <w:jc w:val="center"/>
        <w:rPr>
          <w:b w:val="1"/>
          <w:sz w:val="21"/>
          <w:szCs w:val="21"/>
        </w:rPr>
      </w:pPr>
      <w:r w:rsidDel="00000000" w:rsidR="00000000" w:rsidRPr="00000000">
        <w:rPr>
          <w:b w:val="1"/>
          <w:sz w:val="21"/>
          <w:szCs w:val="21"/>
          <w:rtl w:val="0"/>
        </w:rPr>
        <w:t xml:space="preserve">Postgraduate/Distance Learning </w:t>
      </w:r>
    </w:p>
    <w:p w:rsidR="00000000" w:rsidDel="00000000" w:rsidP="00000000" w:rsidRDefault="00000000" w:rsidRPr="00000000" w14:paraId="00000004">
      <w:pPr>
        <w:spacing w:after="120" w:lineRule="auto"/>
        <w:jc w:val="center"/>
        <w:rPr>
          <w:b w:val="1"/>
          <w:sz w:val="21"/>
          <w:szCs w:val="21"/>
        </w:rPr>
      </w:pPr>
      <w:r w:rsidDel="00000000" w:rsidR="00000000" w:rsidRPr="00000000">
        <w:rPr>
          <w:b w:val="1"/>
          <w:sz w:val="21"/>
          <w:szCs w:val="21"/>
          <w:rtl w:val="0"/>
        </w:rPr>
        <w:t xml:space="preserve">Assignment cover sheet &amp; feedback form</w:t>
      </w:r>
    </w:p>
    <w:p w:rsidR="00000000" w:rsidDel="00000000" w:rsidP="00000000" w:rsidRDefault="00000000" w:rsidRPr="00000000" w14:paraId="00000005">
      <w:pPr>
        <w:jc w:val="center"/>
        <w:rPr>
          <w:sz w:val="21"/>
          <w:szCs w:val="21"/>
        </w:rPr>
      </w:pPr>
      <w:r w:rsidDel="00000000" w:rsidR="00000000" w:rsidRPr="00000000">
        <w:rPr>
          <w:rtl w:val="0"/>
        </w:rPr>
      </w:r>
    </w:p>
    <w:p w:rsidR="00000000" w:rsidDel="00000000" w:rsidP="00000000" w:rsidRDefault="00000000" w:rsidRPr="00000000" w14:paraId="00000006">
      <w:pPr>
        <w:ind w:left="540" w:firstLine="0"/>
        <w:jc w:val="center"/>
        <w:rPr>
          <w:rFonts w:ascii="Times New Roman" w:cs="Times New Roman" w:eastAsia="Times New Roman" w:hAnsi="Times New Roman"/>
          <w:b w:val="1"/>
          <w:sz w:val="15"/>
          <w:szCs w:val="15"/>
        </w:rPr>
      </w:pPr>
      <w:r w:rsidDel="00000000" w:rsidR="00000000" w:rsidRPr="00000000">
        <w:rPr>
          <w:rFonts w:ascii="Times New Roman" w:cs="Times New Roman" w:eastAsia="Times New Roman" w:hAnsi="Times New Roman"/>
          <w:b w:val="1"/>
          <w:sz w:val="15"/>
          <w:szCs w:val="15"/>
          <w:rtl w:val="0"/>
        </w:rPr>
        <w:t xml:space="preserve">THIS SHEET MUST BE THE FIRST PAGE OF THE ASSIGNMENT YOU ARE SUBMITTING  (DO NOT SEND AS A SEPARATE FILE)</w:t>
      </w:r>
    </w:p>
    <w:p w:rsidR="00000000" w:rsidDel="00000000" w:rsidP="00000000" w:rsidRDefault="00000000" w:rsidRPr="00000000" w14:paraId="00000007">
      <w:pPr>
        <w:ind w:left="540" w:firstLine="0"/>
        <w:jc w:val="center"/>
        <w:rPr>
          <w:rFonts w:ascii="Trebuchet MS" w:cs="Trebuchet MS" w:eastAsia="Trebuchet MS" w:hAnsi="Trebuchet MS"/>
          <w:sz w:val="15"/>
          <w:szCs w:val="15"/>
        </w:rPr>
      </w:pPr>
      <w:r w:rsidDel="00000000" w:rsidR="00000000" w:rsidRPr="00000000">
        <w:rPr>
          <w:rtl w:val="0"/>
        </w:rPr>
      </w:r>
    </w:p>
    <w:tbl>
      <w:tblPr>
        <w:tblStyle w:val="Table1"/>
        <w:tblW w:w="9360.0" w:type="dxa"/>
        <w:jc w:val="left"/>
        <w:tblInd w:w="6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530.5882352941176"/>
        <w:gridCol w:w="2022.3529411764707"/>
        <w:gridCol w:w="1927.058823529412"/>
        <w:gridCol w:w="1927.058823529412"/>
        <w:gridCol w:w="952.9411764705883"/>
        <w:tblGridChange w:id="0">
          <w:tblGrid>
            <w:gridCol w:w="2530.5882352941176"/>
            <w:gridCol w:w="2022.3529411764707"/>
            <w:gridCol w:w="1927.058823529412"/>
            <w:gridCol w:w="1927.058823529412"/>
            <w:gridCol w:w="952.9411764705883"/>
          </w:tblGrid>
        </w:tblGridChange>
      </w:tblGrid>
      <w:tr>
        <w:trPr>
          <w:cantSplit w:val="0"/>
          <w:trHeight w:val="330" w:hRule="atLeast"/>
          <w:tblHeader w:val="0"/>
        </w:trPr>
        <w:tc>
          <w:tcPr>
            <w:gridSpan w:val="5"/>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08">
            <w:pPr>
              <w:jc w:val="center"/>
              <w:rPr>
                <w:sz w:val="17"/>
                <w:szCs w:val="17"/>
              </w:rPr>
            </w:pPr>
            <w:r w:rsidDel="00000000" w:rsidR="00000000" w:rsidRPr="00000000">
              <w:rPr>
                <w:b w:val="1"/>
                <w:sz w:val="17"/>
                <w:szCs w:val="17"/>
                <w:rtl w:val="0"/>
              </w:rPr>
              <w:t xml:space="preserve">For completion by the student</w:t>
            </w:r>
            <w:r w:rsidDel="00000000" w:rsidR="00000000" w:rsidRPr="00000000">
              <w:rPr>
                <w:sz w:val="17"/>
                <w:szCs w:val="17"/>
                <w:rtl w:val="0"/>
              </w:rPr>
              <w:t xml:space="preserve">:</w:t>
            </w:r>
          </w:p>
        </w:tc>
      </w:tr>
      <w:tr>
        <w:trPr>
          <w:cantSplit w:val="0"/>
          <w:trHeight w:val="420" w:hRule="atLeast"/>
          <w:tblHeader w:val="0"/>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0D">
            <w:pPr>
              <w:jc w:val="center"/>
              <w:rPr>
                <w:sz w:val="17"/>
                <w:szCs w:val="17"/>
              </w:rPr>
            </w:pPr>
            <w:r w:rsidDel="00000000" w:rsidR="00000000" w:rsidRPr="00000000">
              <w:rPr>
                <w:sz w:val="17"/>
                <w:szCs w:val="17"/>
                <w:rtl w:val="0"/>
              </w:rPr>
              <w:t xml:space="preserve">Student Name: Maya Mercer-Bell</w:t>
            </w:r>
          </w:p>
        </w:tc>
      </w:tr>
      <w:tr>
        <w:trPr>
          <w:cantSplit w:val="0"/>
          <w:trHeight w:val="1065" w:hRule="atLeast"/>
          <w:tblHeader w:val="0"/>
        </w:trPr>
        <w:tc>
          <w:tcPr>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2">
            <w:pPr>
              <w:jc w:val="center"/>
              <w:rPr>
                <w:sz w:val="17"/>
                <w:szCs w:val="17"/>
              </w:rPr>
            </w:pPr>
            <w:r w:rsidDel="00000000" w:rsidR="00000000" w:rsidRPr="00000000">
              <w:rPr>
                <w:sz w:val="17"/>
                <w:szCs w:val="17"/>
                <w:rtl w:val="0"/>
              </w:rPr>
              <w:t xml:space="preserve">Module code:  HPCA7023</w:t>
            </w:r>
          </w:p>
          <w:p w:rsidR="00000000" w:rsidDel="00000000" w:rsidP="00000000" w:rsidRDefault="00000000" w:rsidRPr="00000000" w14:paraId="00000013">
            <w:pPr>
              <w:jc w:val="center"/>
              <w:rPr>
                <w:sz w:val="17"/>
                <w:szCs w:val="17"/>
              </w:rPr>
            </w:pPr>
            <w:r w:rsidDel="00000000" w:rsidR="00000000" w:rsidRPr="00000000">
              <w:rPr>
                <w:rtl w:val="0"/>
              </w:rPr>
            </w:r>
          </w:p>
          <w:p w:rsidR="00000000" w:rsidDel="00000000" w:rsidP="00000000" w:rsidRDefault="00000000" w:rsidRPr="00000000" w14:paraId="00000014">
            <w:pPr>
              <w:jc w:val="center"/>
              <w:rPr>
                <w:sz w:val="17"/>
                <w:szCs w:val="17"/>
              </w:rPr>
            </w:pPr>
            <w:r w:rsidDel="00000000" w:rsidR="00000000" w:rsidRPr="00000000">
              <w:rPr>
                <w:sz w:val="17"/>
                <w:szCs w:val="17"/>
                <w:rtl w:val="0"/>
              </w:rPr>
              <w:t xml:space="preserve">Module title:  Ecology and Spirituality</w:t>
            </w:r>
          </w:p>
          <w:p w:rsidR="00000000" w:rsidDel="00000000" w:rsidP="00000000" w:rsidRDefault="00000000" w:rsidRPr="00000000" w14:paraId="00000015">
            <w:pPr>
              <w:jc w:val="center"/>
              <w:rPr>
                <w:rFonts w:ascii="Times New Roman" w:cs="Times New Roman" w:eastAsia="Times New Roman" w:hAnsi="Times New Roman"/>
                <w:sz w:val="18"/>
                <w:szCs w:val="18"/>
              </w:rPr>
            </w:pPr>
            <w:r w:rsidDel="00000000" w:rsidR="00000000" w:rsidRPr="00000000">
              <w:rPr>
                <w:rtl w:val="0"/>
              </w:rPr>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6">
            <w:pPr>
              <w:jc w:val="center"/>
              <w:rPr>
                <w:sz w:val="17"/>
                <w:szCs w:val="17"/>
              </w:rPr>
            </w:pPr>
            <w:r w:rsidDel="00000000" w:rsidR="00000000" w:rsidRPr="00000000">
              <w:rPr>
                <w:sz w:val="17"/>
                <w:szCs w:val="17"/>
                <w:rtl w:val="0"/>
              </w:rPr>
              <w:t xml:space="preserve">Student ID number:  1700895</w:t>
            </w:r>
          </w:p>
        </w:tc>
        <w:tc>
          <w:tcPr>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9">
            <w:pPr>
              <w:jc w:val="center"/>
              <w:rPr>
                <w:sz w:val="17"/>
                <w:szCs w:val="17"/>
              </w:rPr>
            </w:pPr>
            <w:r w:rsidDel="00000000" w:rsidR="00000000" w:rsidRPr="00000000">
              <w:rPr>
                <w:sz w:val="17"/>
                <w:szCs w:val="17"/>
                <w:rtl w:val="0"/>
              </w:rPr>
              <w:t xml:space="preserve">Educational support needs:</w:t>
            </w:r>
          </w:p>
          <w:p w:rsidR="00000000" w:rsidDel="00000000" w:rsidP="00000000" w:rsidRDefault="00000000" w:rsidRPr="00000000" w14:paraId="0000001A">
            <w:pPr>
              <w:jc w:val="center"/>
              <w:rPr>
                <w:b w:val="1"/>
                <w:sz w:val="17"/>
                <w:szCs w:val="17"/>
              </w:rPr>
            </w:pPr>
            <w:r w:rsidDel="00000000" w:rsidR="00000000" w:rsidRPr="00000000">
              <w:rPr>
                <w:sz w:val="17"/>
                <w:szCs w:val="17"/>
                <w:rtl w:val="0"/>
              </w:rPr>
              <w:t xml:space="preserve">Yes/</w:t>
            </w:r>
            <w:r w:rsidDel="00000000" w:rsidR="00000000" w:rsidRPr="00000000">
              <w:rPr>
                <w:b w:val="1"/>
                <w:sz w:val="17"/>
                <w:szCs w:val="17"/>
                <w:rtl w:val="0"/>
              </w:rPr>
              <w:t xml:space="preserve">No</w:t>
            </w:r>
          </w:p>
        </w:tc>
      </w:tr>
      <w:tr>
        <w:trPr>
          <w:cantSplit w:val="0"/>
          <w:trHeight w:val="855" w:hRule="atLeast"/>
          <w:tblHeader w:val="0"/>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B">
            <w:pPr>
              <w:jc w:val="center"/>
              <w:rPr>
                <w:sz w:val="17"/>
                <w:szCs w:val="17"/>
              </w:rPr>
            </w:pPr>
            <w:r w:rsidDel="00000000" w:rsidR="00000000" w:rsidRPr="00000000">
              <w:rPr>
                <w:sz w:val="17"/>
                <w:szCs w:val="17"/>
                <w:rtl w:val="0"/>
              </w:rPr>
              <w:t xml:space="preserve">Module tutor:  Jack Hunter, Nick Campion</w:t>
            </w:r>
          </w:p>
          <w:p w:rsidR="00000000" w:rsidDel="00000000" w:rsidP="00000000" w:rsidRDefault="00000000" w:rsidRPr="00000000" w14:paraId="0000001C">
            <w:pPr>
              <w:jc w:val="center"/>
              <w:rPr>
                <w:sz w:val="17"/>
                <w:szCs w:val="17"/>
              </w:rPr>
            </w:pPr>
            <w:r w:rsidDel="00000000" w:rsidR="00000000" w:rsidRPr="00000000">
              <w:rPr>
                <w:rtl w:val="0"/>
              </w:rPr>
            </w:r>
          </w:p>
          <w:p w:rsidR="00000000" w:rsidDel="00000000" w:rsidP="00000000" w:rsidRDefault="00000000" w:rsidRPr="00000000" w14:paraId="0000001D">
            <w:pPr>
              <w:jc w:val="center"/>
              <w:rPr>
                <w:sz w:val="17"/>
                <w:szCs w:val="17"/>
              </w:rPr>
            </w:pPr>
            <w:r w:rsidDel="00000000" w:rsidR="00000000" w:rsidRPr="00000000">
              <w:rPr>
                <w:rtl w:val="0"/>
              </w:rPr>
            </w:r>
          </w:p>
          <w:p w:rsidR="00000000" w:rsidDel="00000000" w:rsidP="00000000" w:rsidRDefault="00000000" w:rsidRPr="00000000" w14:paraId="0000001E">
            <w:pPr>
              <w:jc w:val="center"/>
              <w:rPr>
                <w:sz w:val="17"/>
                <w:szCs w:val="17"/>
              </w:rPr>
            </w:pPr>
            <w:r w:rsidDel="00000000" w:rsidR="00000000" w:rsidRPr="00000000">
              <w:rPr>
                <w:sz w:val="17"/>
                <w:szCs w:val="17"/>
                <w:rtl w:val="0"/>
              </w:rPr>
              <w:t xml:space="preserve">Assignment due date: 17/11/21</w:t>
            </w:r>
          </w:p>
        </w:tc>
      </w:tr>
      <w:tr>
        <w:trPr>
          <w:cantSplit w:val="0"/>
          <w:trHeight w:val="1065" w:hRule="atLeast"/>
          <w:tblHeader w:val="0"/>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23">
            <w:pPr>
              <w:spacing w:after="120" w:lineRule="auto"/>
              <w:jc w:val="center"/>
              <w:rPr>
                <w:sz w:val="18"/>
                <w:szCs w:val="18"/>
              </w:rPr>
            </w:pPr>
            <w:r w:rsidDel="00000000" w:rsidR="00000000" w:rsidRPr="00000000">
              <w:rPr>
                <w:sz w:val="18"/>
                <w:szCs w:val="18"/>
                <w:rtl w:val="0"/>
              </w:rPr>
              <w:t xml:space="preserve">If your module has multiple submissions please indicate which piece of work this is.</w:t>
            </w:r>
          </w:p>
          <w:p w:rsidR="00000000" w:rsidDel="00000000" w:rsidP="00000000" w:rsidRDefault="00000000" w:rsidRPr="00000000" w14:paraId="00000024">
            <w:pPr>
              <w:spacing w:after="120" w:lineRule="auto"/>
              <w:jc w:val="center"/>
              <w:rPr>
                <w:sz w:val="18"/>
                <w:szCs w:val="18"/>
              </w:rPr>
            </w:pPr>
            <w:r w:rsidDel="00000000" w:rsidR="00000000" w:rsidRPr="00000000">
              <w:rPr>
                <w:rtl w:val="0"/>
              </w:rPr>
            </w:r>
          </w:p>
          <w:p w:rsidR="00000000" w:rsidDel="00000000" w:rsidP="00000000" w:rsidRDefault="00000000" w:rsidRPr="00000000" w14:paraId="00000025">
            <w:pPr>
              <w:jc w:val="center"/>
              <w:rPr>
                <w:sz w:val="18"/>
                <w:szCs w:val="18"/>
              </w:rPr>
            </w:pPr>
            <w:r w:rsidDel="00000000" w:rsidR="00000000" w:rsidRPr="00000000">
              <w:rPr>
                <w:sz w:val="18"/>
                <w:szCs w:val="18"/>
                <w:rtl w:val="0"/>
              </w:rPr>
              <w:t xml:space="preserve">1</w:t>
            </w:r>
            <w:r w:rsidDel="00000000" w:rsidR="00000000" w:rsidRPr="00000000">
              <w:rPr>
                <w:sz w:val="12"/>
                <w:szCs w:val="12"/>
                <w:vertAlign w:val="superscript"/>
                <w:rtl w:val="0"/>
              </w:rPr>
              <w:t xml:space="preserve">st </w:t>
            </w:r>
            <w:r w:rsidDel="00000000" w:rsidR="00000000" w:rsidRPr="00000000">
              <w:rPr>
                <w:sz w:val="18"/>
                <w:szCs w:val="18"/>
                <w:rtl w:val="0"/>
              </w:rPr>
              <w:t xml:space="preserve">    2</w:t>
            </w:r>
            <w:r w:rsidDel="00000000" w:rsidR="00000000" w:rsidRPr="00000000">
              <w:rPr>
                <w:sz w:val="12"/>
                <w:szCs w:val="12"/>
                <w:vertAlign w:val="superscript"/>
                <w:rtl w:val="0"/>
              </w:rPr>
              <w:t xml:space="preserve">nd</w:t>
            </w:r>
            <w:r w:rsidDel="00000000" w:rsidR="00000000" w:rsidRPr="00000000">
              <w:rPr>
                <w:sz w:val="18"/>
                <w:szCs w:val="18"/>
                <w:rtl w:val="0"/>
              </w:rPr>
              <w:t xml:space="preserve">       3</w:t>
            </w:r>
            <w:r w:rsidDel="00000000" w:rsidR="00000000" w:rsidRPr="00000000">
              <w:rPr>
                <w:sz w:val="12"/>
                <w:szCs w:val="12"/>
                <w:vertAlign w:val="superscript"/>
                <w:rtl w:val="0"/>
              </w:rPr>
              <w:t xml:space="preserve">rd</w:t>
            </w:r>
            <w:r w:rsidDel="00000000" w:rsidR="00000000" w:rsidRPr="00000000">
              <w:rPr>
                <w:sz w:val="18"/>
                <w:szCs w:val="18"/>
                <w:rtl w:val="0"/>
              </w:rPr>
              <w:t xml:space="preserve">        4</w:t>
            </w:r>
            <w:r w:rsidDel="00000000" w:rsidR="00000000" w:rsidRPr="00000000">
              <w:rPr>
                <w:sz w:val="12"/>
                <w:szCs w:val="12"/>
                <w:vertAlign w:val="superscript"/>
                <w:rtl w:val="0"/>
              </w:rPr>
              <w:t xml:space="preserve">th</w:t>
            </w:r>
            <w:r w:rsidDel="00000000" w:rsidR="00000000" w:rsidRPr="00000000">
              <w:rPr>
                <w:sz w:val="18"/>
                <w:szCs w:val="18"/>
                <w:rtl w:val="0"/>
              </w:rPr>
              <w:t xml:space="preserve">       5</w:t>
            </w:r>
            <w:r w:rsidDel="00000000" w:rsidR="00000000" w:rsidRPr="00000000">
              <w:rPr>
                <w:sz w:val="12"/>
                <w:szCs w:val="12"/>
                <w:vertAlign w:val="superscript"/>
                <w:rtl w:val="0"/>
              </w:rPr>
              <w:t xml:space="preserve">th</w:t>
            </w:r>
            <w:r w:rsidDel="00000000" w:rsidR="00000000" w:rsidRPr="00000000">
              <w:rPr>
                <w:sz w:val="18"/>
                <w:szCs w:val="18"/>
                <w:rtl w:val="0"/>
              </w:rPr>
              <w:t xml:space="preserve">       6</w:t>
            </w:r>
            <w:r w:rsidDel="00000000" w:rsidR="00000000" w:rsidRPr="00000000">
              <w:rPr>
                <w:sz w:val="12"/>
                <w:szCs w:val="12"/>
                <w:vertAlign w:val="superscript"/>
                <w:rtl w:val="0"/>
              </w:rPr>
              <w:t xml:space="preserve">th</w:t>
            </w:r>
            <w:r w:rsidDel="00000000" w:rsidR="00000000" w:rsidRPr="00000000">
              <w:rPr>
                <w:sz w:val="18"/>
                <w:szCs w:val="18"/>
                <w:rtl w:val="0"/>
              </w:rPr>
              <w:t xml:space="preserve"> </w:t>
            </w:r>
          </w:p>
        </w:tc>
      </w:tr>
      <w:tr>
        <w:trPr>
          <w:cantSplit w:val="0"/>
          <w:trHeight w:val="1140" w:hRule="atLeast"/>
          <w:tblHeader w:val="0"/>
        </w:trPr>
        <w:tc>
          <w:tcPr>
            <w:gridSpan w:val="5"/>
            <w:tcBorders>
              <w:top w:color="000000" w:space="0" w:sz="6" w:val="single"/>
              <w:left w:color="000000" w:space="0" w:sz="6" w:val="single"/>
              <w:bottom w:color="000000" w:space="0" w:sz="6" w:val="single"/>
              <w:right w:color="000000" w:space="0" w:sz="6" w:val="single"/>
            </w:tcBorders>
            <w:shd w:fill="d0d0d0" w:val="clear"/>
            <w:tcMar>
              <w:top w:w="60.0" w:type="dxa"/>
              <w:left w:w="60.0" w:type="dxa"/>
              <w:bottom w:w="60.0" w:type="dxa"/>
              <w:right w:w="60.0" w:type="dxa"/>
            </w:tcMar>
            <w:vAlign w:val="top"/>
          </w:tcPr>
          <w:p w:rsidR="00000000" w:rsidDel="00000000" w:rsidP="00000000" w:rsidRDefault="00000000" w:rsidRPr="00000000" w14:paraId="0000002A">
            <w:pPr>
              <w:jc w:val="center"/>
              <w:rPr>
                <w:sz w:val="17"/>
                <w:szCs w:val="17"/>
              </w:rPr>
            </w:pPr>
            <w:r w:rsidDel="00000000" w:rsidR="00000000" w:rsidRPr="00000000">
              <w:rPr>
                <w:sz w:val="17"/>
                <w:szCs w:val="17"/>
                <w:rtl w:val="0"/>
              </w:rPr>
              <w:t xml:space="preserve">I confirm that this is my original work and that I have adhered to the University policy on plagiarism.</w:t>
            </w:r>
          </w:p>
          <w:p w:rsidR="00000000" w:rsidDel="00000000" w:rsidP="00000000" w:rsidRDefault="00000000" w:rsidRPr="00000000" w14:paraId="0000002B">
            <w:pPr>
              <w:jc w:val="center"/>
              <w:rPr>
                <w:sz w:val="17"/>
                <w:szCs w:val="17"/>
              </w:rPr>
            </w:pPr>
            <w:r w:rsidDel="00000000" w:rsidR="00000000" w:rsidRPr="00000000">
              <w:rPr>
                <w:sz w:val="17"/>
                <w:szCs w:val="17"/>
                <w:rtl w:val="0"/>
              </w:rPr>
              <w:t xml:space="preserve">Signed (type your name in) Maya Mercer-Bell……………… ……………………………………………</w:t>
            </w:r>
          </w:p>
          <w:p w:rsidR="00000000" w:rsidDel="00000000" w:rsidP="00000000" w:rsidRDefault="00000000" w:rsidRPr="00000000" w14:paraId="0000002C">
            <w:pPr>
              <w:jc w:val="center"/>
              <w:rPr>
                <w:rFonts w:ascii="Times New Roman" w:cs="Times New Roman" w:eastAsia="Times New Roman" w:hAnsi="Times New Roman"/>
                <w:b w:val="1"/>
                <w:sz w:val="33"/>
                <w:szCs w:val="33"/>
              </w:rPr>
            </w:pPr>
            <w:r w:rsidDel="00000000" w:rsidR="00000000" w:rsidRPr="00000000">
              <w:rPr>
                <w:rFonts w:ascii="Times New Roman" w:cs="Times New Roman" w:eastAsia="Times New Roman" w:hAnsi="Times New Roman"/>
                <w:b w:val="1"/>
                <w:sz w:val="18"/>
                <w:szCs w:val="18"/>
                <w:rtl w:val="0"/>
              </w:rPr>
              <w:t xml:space="preserve">Email submission: if you are submitting this form via email, please tick this box </w:t>
            </w:r>
            <w:r w:rsidDel="00000000" w:rsidR="00000000" w:rsidRPr="00000000">
              <w:rPr>
                <w:rFonts w:ascii="Times New Roman" w:cs="Times New Roman" w:eastAsia="Times New Roman" w:hAnsi="Times New Roman"/>
                <w:b w:val="1"/>
                <w:sz w:val="33"/>
                <w:szCs w:val="33"/>
                <w:rtl w:val="0"/>
              </w:rPr>
              <w:t xml:space="preserve">□</w:t>
            </w:r>
          </w:p>
          <w:p w:rsidR="00000000" w:rsidDel="00000000" w:rsidP="00000000" w:rsidRDefault="00000000" w:rsidRPr="00000000" w14:paraId="0000002D">
            <w:pPr>
              <w:jc w:val="center"/>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(as a substitute for your signature) to confirm that you agree to the above declaration.</w:t>
            </w:r>
          </w:p>
        </w:tc>
      </w:tr>
      <w:tr>
        <w:trPr>
          <w:cantSplit w:val="0"/>
          <w:trHeight w:val="3000" w:hRule="atLeast"/>
          <w:tblHeader w:val="0"/>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32">
            <w:pPr>
              <w:jc w:val="center"/>
              <w:rPr>
                <w:sz w:val="18"/>
                <w:szCs w:val="18"/>
              </w:rPr>
            </w:pPr>
            <w:r w:rsidDel="00000000" w:rsidR="00000000" w:rsidRPr="00000000">
              <w:rPr>
                <w:rtl w:val="0"/>
              </w:rPr>
            </w:r>
          </w:p>
          <w:p w:rsidR="00000000" w:rsidDel="00000000" w:rsidP="00000000" w:rsidRDefault="00000000" w:rsidRPr="00000000" w14:paraId="00000033">
            <w:pPr>
              <w:spacing w:after="120" w:lineRule="auto"/>
              <w:jc w:val="center"/>
              <w:rPr>
                <w:b w:val="1"/>
                <w:sz w:val="18"/>
                <w:szCs w:val="18"/>
              </w:rPr>
            </w:pPr>
            <w:r w:rsidDel="00000000" w:rsidR="00000000" w:rsidRPr="00000000">
              <w:rPr>
                <w:b w:val="1"/>
                <w:sz w:val="18"/>
                <w:szCs w:val="18"/>
                <w:rtl w:val="0"/>
              </w:rPr>
              <w:t xml:space="preserve">Assignment Mark</w:t>
            </w:r>
          </w:p>
          <w:p w:rsidR="00000000" w:rsidDel="00000000" w:rsidP="00000000" w:rsidRDefault="00000000" w:rsidRPr="00000000" w14:paraId="00000034">
            <w:pPr>
              <w:spacing w:after="120" w:lineRule="auto"/>
              <w:jc w:val="center"/>
              <w:rPr>
                <w:sz w:val="15"/>
                <w:szCs w:val="15"/>
              </w:rPr>
            </w:pPr>
            <w:r w:rsidDel="00000000" w:rsidR="00000000" w:rsidRPr="00000000">
              <w:rPr>
                <w:rtl w:val="0"/>
              </w:rPr>
            </w:r>
          </w:p>
          <w:p w:rsidR="00000000" w:rsidDel="00000000" w:rsidP="00000000" w:rsidRDefault="00000000" w:rsidRPr="00000000" w14:paraId="00000035">
            <w:pPr>
              <w:spacing w:after="120" w:lineRule="auto"/>
              <w:jc w:val="center"/>
              <w:rPr>
                <w:b w:val="1"/>
                <w:sz w:val="15"/>
                <w:szCs w:val="15"/>
              </w:rPr>
            </w:pPr>
            <w:r w:rsidDel="00000000" w:rsidR="00000000" w:rsidRPr="00000000">
              <w:rPr>
                <w:b w:val="1"/>
                <w:sz w:val="15"/>
                <w:szCs w:val="15"/>
                <w:rtl w:val="0"/>
              </w:rPr>
              <w:t xml:space="preserve">Final Mark</w:t>
            </w:r>
          </w:p>
          <w:p w:rsidR="00000000" w:rsidDel="00000000" w:rsidP="00000000" w:rsidRDefault="00000000" w:rsidRPr="00000000" w14:paraId="00000036">
            <w:pPr>
              <w:jc w:val="center"/>
              <w:rPr>
                <w:sz w:val="15"/>
                <w:szCs w:val="15"/>
              </w:rPr>
            </w:pPr>
            <w:r w:rsidDel="00000000" w:rsidR="00000000" w:rsidRPr="00000000">
              <w:rPr>
                <w:b w:val="1"/>
                <w:sz w:val="15"/>
                <w:szCs w:val="15"/>
                <w:rtl w:val="0"/>
              </w:rPr>
              <w:tab/>
            </w:r>
            <w:r w:rsidDel="00000000" w:rsidR="00000000" w:rsidRPr="00000000">
              <w:rPr>
                <w:sz w:val="15"/>
                <w:szCs w:val="15"/>
                <w:rtl w:val="0"/>
              </w:rPr>
              <w:t xml:space="preserve">WILL BE GIVEN ON TURNITIN</w:t>
            </w:r>
          </w:p>
          <w:p w:rsidR="00000000" w:rsidDel="00000000" w:rsidP="00000000" w:rsidRDefault="00000000" w:rsidRPr="00000000" w14:paraId="00000037">
            <w:pPr>
              <w:ind w:left="100" w:firstLine="0"/>
              <w:jc w:val="center"/>
              <w:rPr>
                <w:sz w:val="17"/>
                <w:szCs w:val="17"/>
              </w:rPr>
            </w:pPr>
            <w:r w:rsidDel="00000000" w:rsidR="00000000" w:rsidRPr="00000000">
              <w:rPr>
                <w:rtl w:val="0"/>
              </w:rPr>
            </w:r>
          </w:p>
          <w:p w:rsidR="00000000" w:rsidDel="00000000" w:rsidP="00000000" w:rsidRDefault="00000000" w:rsidRPr="00000000" w14:paraId="00000038">
            <w:pPr>
              <w:ind w:left="100" w:firstLine="0"/>
              <w:jc w:val="center"/>
              <w:rPr>
                <w:sz w:val="17"/>
                <w:szCs w:val="17"/>
              </w:rPr>
            </w:pPr>
            <w:r w:rsidDel="00000000" w:rsidR="00000000" w:rsidRPr="00000000">
              <w:rPr>
                <w:b w:val="1"/>
                <w:sz w:val="17"/>
                <w:szCs w:val="17"/>
                <w:rtl w:val="0"/>
              </w:rPr>
              <w:t xml:space="preserve">NB.</w:t>
            </w:r>
            <w:r w:rsidDel="00000000" w:rsidR="00000000" w:rsidRPr="00000000">
              <w:rPr>
                <w:sz w:val="17"/>
                <w:szCs w:val="17"/>
                <w:rtl w:val="0"/>
              </w:rPr>
              <w:t xml:space="preserve">  All marks are provisional until confirmed by the Final Examination Board.</w:t>
            </w:r>
          </w:p>
          <w:p w:rsidR="00000000" w:rsidDel="00000000" w:rsidP="00000000" w:rsidRDefault="00000000" w:rsidRPr="00000000" w14:paraId="00000039">
            <w:pPr>
              <w:jc w:val="center"/>
              <w:rPr>
                <w:sz w:val="17"/>
                <w:szCs w:val="17"/>
              </w:rPr>
            </w:pPr>
            <w:r w:rsidDel="00000000" w:rsidR="00000000" w:rsidRPr="00000000">
              <w:rPr>
                <w:rtl w:val="0"/>
              </w:rPr>
            </w:r>
          </w:p>
          <w:p w:rsidR="00000000" w:rsidDel="00000000" w:rsidP="00000000" w:rsidRDefault="00000000" w:rsidRPr="00000000" w14:paraId="0000003A">
            <w:pPr>
              <w:jc w:val="center"/>
              <w:rPr>
                <w:b w:val="1"/>
                <w:sz w:val="17"/>
                <w:szCs w:val="17"/>
              </w:rPr>
            </w:pPr>
            <w:r w:rsidDel="00000000" w:rsidR="00000000" w:rsidRPr="00000000">
              <w:rPr>
                <w:b w:val="1"/>
                <w:sz w:val="17"/>
                <w:szCs w:val="17"/>
                <w:rtl w:val="0"/>
              </w:rPr>
              <w:t xml:space="preserve">PLEASE NOTE: ALL COMMENTS WILL BE POSTED ON TURNITIN</w:t>
            </w:r>
          </w:p>
          <w:p w:rsidR="00000000" w:rsidDel="00000000" w:rsidP="00000000" w:rsidRDefault="00000000" w:rsidRPr="00000000" w14:paraId="0000003B">
            <w:pPr>
              <w:jc w:val="center"/>
              <w:rPr>
                <w:sz w:val="17"/>
                <w:szCs w:val="17"/>
              </w:rPr>
            </w:pPr>
            <w:r w:rsidDel="00000000" w:rsidR="00000000" w:rsidRPr="00000000">
              <w:rPr>
                <w:rtl w:val="0"/>
              </w:rPr>
            </w:r>
          </w:p>
          <w:p w:rsidR="00000000" w:rsidDel="00000000" w:rsidP="00000000" w:rsidRDefault="00000000" w:rsidRPr="00000000" w14:paraId="0000003C">
            <w:pPr>
              <w:jc w:val="center"/>
              <w:rPr>
                <w:sz w:val="17"/>
                <w:szCs w:val="17"/>
              </w:rPr>
            </w:pPr>
            <w:r w:rsidDel="00000000" w:rsidR="00000000" w:rsidRPr="00000000">
              <w:rPr>
                <w:rtl w:val="0"/>
              </w:rPr>
            </w:r>
          </w:p>
          <w:p w:rsidR="00000000" w:rsidDel="00000000" w:rsidP="00000000" w:rsidRDefault="00000000" w:rsidRPr="00000000" w14:paraId="0000003D">
            <w:pPr>
              <w:spacing w:after="80" w:lineRule="auto"/>
              <w:jc w:val="center"/>
              <w:rPr>
                <w:b w:val="1"/>
                <w:sz w:val="17"/>
                <w:szCs w:val="17"/>
              </w:rPr>
            </w:pPr>
            <w:r w:rsidDel="00000000" w:rsidR="00000000" w:rsidRPr="00000000">
              <w:rPr>
                <w:b w:val="1"/>
                <w:sz w:val="17"/>
                <w:szCs w:val="17"/>
                <w:rtl w:val="0"/>
              </w:rPr>
              <w:t xml:space="preserve">For completion by Marker 1 :</w:t>
            </w:r>
          </w:p>
          <w:p w:rsidR="00000000" w:rsidDel="00000000" w:rsidP="00000000" w:rsidRDefault="00000000" w:rsidRPr="00000000" w14:paraId="0000003E">
            <w:pPr>
              <w:spacing w:after="80" w:lineRule="auto"/>
              <w:jc w:val="center"/>
              <w:rPr>
                <w:sz w:val="17"/>
                <w:szCs w:val="17"/>
              </w:rPr>
            </w:pPr>
            <w:r w:rsidDel="00000000" w:rsidR="00000000" w:rsidRPr="00000000">
              <w:rPr>
                <w:sz w:val="17"/>
                <w:szCs w:val="17"/>
                <w:rtl w:val="0"/>
              </w:rPr>
              <w:t xml:space="preserve">Comments:</w:t>
            </w:r>
          </w:p>
        </w:tc>
      </w:tr>
      <w:tr>
        <w:trPr>
          <w:cantSplit w:val="0"/>
          <w:trHeight w:val="390" w:hRule="atLeast"/>
          <w:tblHeader w:val="0"/>
        </w:trPr>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3">
            <w:pPr>
              <w:spacing w:after="80" w:lineRule="auto"/>
              <w:ind w:left="100" w:firstLine="0"/>
              <w:jc w:val="center"/>
              <w:rPr>
                <w:sz w:val="17"/>
                <w:szCs w:val="17"/>
              </w:rPr>
            </w:pPr>
            <w:r w:rsidDel="00000000" w:rsidR="00000000" w:rsidRPr="00000000">
              <w:rPr>
                <w:sz w:val="17"/>
                <w:szCs w:val="17"/>
                <w:rtl w:val="0"/>
              </w:rPr>
              <w:t xml:space="preserve">Marker’s signature:</w:t>
            </w:r>
          </w:p>
        </w:tc>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6">
            <w:pPr>
              <w:spacing w:after="80" w:lineRule="auto"/>
              <w:ind w:left="100" w:firstLine="0"/>
              <w:jc w:val="center"/>
              <w:rPr>
                <w:sz w:val="17"/>
                <w:szCs w:val="17"/>
              </w:rPr>
            </w:pPr>
            <w:r w:rsidDel="00000000" w:rsidR="00000000" w:rsidRPr="00000000">
              <w:rPr>
                <w:sz w:val="17"/>
                <w:szCs w:val="17"/>
                <w:rtl w:val="0"/>
              </w:rPr>
              <w:t xml:space="preserve">Date:</w:t>
            </w:r>
          </w:p>
        </w:tc>
      </w:tr>
      <w:tr>
        <w:trPr>
          <w:cantSplit w:val="0"/>
          <w:trHeight w:val="1260" w:hRule="atLeast"/>
          <w:tblHeader w:val="0"/>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8">
            <w:pPr>
              <w:jc w:val="center"/>
              <w:rPr>
                <w:sz w:val="17"/>
                <w:szCs w:val="17"/>
              </w:rPr>
            </w:pPr>
            <w:r w:rsidDel="00000000" w:rsidR="00000000" w:rsidRPr="00000000">
              <w:rPr>
                <w:rtl w:val="0"/>
              </w:rPr>
            </w:r>
          </w:p>
          <w:p w:rsidR="00000000" w:rsidDel="00000000" w:rsidP="00000000" w:rsidRDefault="00000000" w:rsidRPr="00000000" w14:paraId="00000049">
            <w:pPr>
              <w:jc w:val="center"/>
              <w:rPr>
                <w:b w:val="1"/>
                <w:sz w:val="17"/>
                <w:szCs w:val="17"/>
              </w:rPr>
            </w:pPr>
            <w:r w:rsidDel="00000000" w:rsidR="00000000" w:rsidRPr="00000000">
              <w:rPr>
                <w:b w:val="1"/>
                <w:sz w:val="17"/>
                <w:szCs w:val="17"/>
                <w:rtl w:val="0"/>
              </w:rPr>
              <w:t xml:space="preserve">For completion by Marker 2/Moderator:</w:t>
            </w:r>
          </w:p>
          <w:p w:rsidR="00000000" w:rsidDel="00000000" w:rsidP="00000000" w:rsidRDefault="00000000" w:rsidRPr="00000000" w14:paraId="0000004A">
            <w:pPr>
              <w:jc w:val="center"/>
              <w:rPr>
                <w:sz w:val="17"/>
                <w:szCs w:val="17"/>
              </w:rPr>
            </w:pPr>
            <w:r w:rsidDel="00000000" w:rsidR="00000000" w:rsidRPr="00000000">
              <w:rPr>
                <w:rtl w:val="0"/>
              </w:rPr>
            </w:r>
          </w:p>
          <w:p w:rsidR="00000000" w:rsidDel="00000000" w:rsidP="00000000" w:rsidRDefault="00000000" w:rsidRPr="00000000" w14:paraId="0000004B">
            <w:pPr>
              <w:jc w:val="center"/>
              <w:rPr>
                <w:sz w:val="17"/>
                <w:szCs w:val="17"/>
              </w:rPr>
            </w:pPr>
            <w:r w:rsidDel="00000000" w:rsidR="00000000" w:rsidRPr="00000000">
              <w:rPr>
                <w:sz w:val="17"/>
                <w:szCs w:val="17"/>
                <w:rtl w:val="0"/>
              </w:rPr>
              <w:t xml:space="preserve">Comments:</w:t>
            </w:r>
          </w:p>
          <w:p w:rsidR="00000000" w:rsidDel="00000000" w:rsidP="00000000" w:rsidRDefault="00000000" w:rsidRPr="00000000" w14:paraId="0000004C">
            <w:pPr>
              <w:jc w:val="center"/>
              <w:rPr>
                <w:sz w:val="17"/>
                <w:szCs w:val="17"/>
              </w:rPr>
            </w:pPr>
            <w:r w:rsidDel="00000000" w:rsidR="00000000" w:rsidRPr="00000000">
              <w:rPr>
                <w:rtl w:val="0"/>
              </w:rPr>
            </w:r>
          </w:p>
          <w:p w:rsidR="00000000" w:rsidDel="00000000" w:rsidP="00000000" w:rsidRDefault="00000000" w:rsidRPr="00000000" w14:paraId="0000004D">
            <w:pPr>
              <w:jc w:val="center"/>
              <w:rPr>
                <w:rFonts w:ascii="Times New Roman" w:cs="Times New Roman" w:eastAsia="Times New Roman" w:hAnsi="Times New Roman"/>
                <w:sz w:val="18"/>
                <w:szCs w:val="18"/>
              </w:rPr>
            </w:pPr>
            <w:r w:rsidDel="00000000" w:rsidR="00000000" w:rsidRPr="00000000">
              <w:rPr>
                <w:rtl w:val="0"/>
              </w:rPr>
            </w:r>
          </w:p>
        </w:tc>
      </w:tr>
      <w:tr>
        <w:trPr>
          <w:cantSplit w:val="0"/>
          <w:trHeight w:val="420" w:hRule="atLeast"/>
          <w:tblHeader w:val="0"/>
        </w:trPr>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52">
            <w:pPr>
              <w:jc w:val="center"/>
              <w:rPr>
                <w:sz w:val="17"/>
                <w:szCs w:val="17"/>
              </w:rPr>
            </w:pPr>
            <w:r w:rsidDel="00000000" w:rsidR="00000000" w:rsidRPr="00000000">
              <w:rPr>
                <w:sz w:val="17"/>
                <w:szCs w:val="17"/>
                <w:rtl w:val="0"/>
              </w:rPr>
              <w:t xml:space="preserve">Marker’s Signature:</w:t>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54">
            <w:pPr>
              <w:jc w:val="center"/>
              <w:rPr>
                <w:sz w:val="17"/>
                <w:szCs w:val="17"/>
              </w:rPr>
            </w:pPr>
            <w:r w:rsidDel="00000000" w:rsidR="00000000" w:rsidRPr="00000000">
              <w:rPr>
                <w:sz w:val="17"/>
                <w:szCs w:val="17"/>
                <w:rtl w:val="0"/>
              </w:rPr>
              <w:t xml:space="preserve">Date:</w:t>
            </w:r>
          </w:p>
        </w:tc>
      </w:tr>
      <w:tr>
        <w:trPr>
          <w:cantSplit w:val="0"/>
          <w:trHeight w:val="3315" w:hRule="atLeast"/>
          <w:tblHeader w:val="0"/>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57">
            <w:pPr>
              <w:spacing w:after="120" w:lineRule="auto"/>
              <w:jc w:val="center"/>
              <w:rPr>
                <w:b w:val="1"/>
                <w:sz w:val="18"/>
                <w:szCs w:val="18"/>
              </w:rPr>
            </w:pPr>
            <w:r w:rsidDel="00000000" w:rsidR="00000000" w:rsidRPr="00000000">
              <w:rPr>
                <w:b w:val="1"/>
                <w:sz w:val="18"/>
                <w:szCs w:val="18"/>
                <w:rtl w:val="0"/>
              </w:rPr>
              <w:t xml:space="preserve">AGREED INTERNAL MARK (where necessary):</w:t>
            </w:r>
          </w:p>
          <w:p w:rsidR="00000000" w:rsidDel="00000000" w:rsidP="00000000" w:rsidRDefault="00000000" w:rsidRPr="00000000" w14:paraId="00000058">
            <w:pPr>
              <w:spacing w:after="120" w:lineRule="auto"/>
              <w:jc w:val="center"/>
              <w:rPr>
                <w:sz w:val="18"/>
                <w:szCs w:val="18"/>
              </w:rPr>
            </w:pPr>
            <w:r w:rsidDel="00000000" w:rsidR="00000000" w:rsidRPr="00000000">
              <w:rPr>
                <w:rtl w:val="0"/>
              </w:rPr>
            </w:r>
          </w:p>
          <w:p w:rsidR="00000000" w:rsidDel="00000000" w:rsidP="00000000" w:rsidRDefault="00000000" w:rsidRPr="00000000" w14:paraId="00000059">
            <w:pPr>
              <w:spacing w:after="120" w:lineRule="auto"/>
              <w:jc w:val="center"/>
              <w:rPr>
                <w:b w:val="1"/>
                <w:sz w:val="18"/>
                <w:szCs w:val="18"/>
              </w:rPr>
            </w:pPr>
            <w:r w:rsidDel="00000000" w:rsidR="00000000" w:rsidRPr="00000000">
              <w:rPr>
                <w:b w:val="1"/>
                <w:sz w:val="18"/>
                <w:szCs w:val="18"/>
                <w:rtl w:val="0"/>
              </w:rPr>
              <w:t xml:space="preserve">Comment on process of arriving at agreed mark:</w:t>
            </w:r>
          </w:p>
          <w:p w:rsidR="00000000" w:rsidDel="00000000" w:rsidP="00000000" w:rsidRDefault="00000000" w:rsidRPr="00000000" w14:paraId="0000005A">
            <w:pPr>
              <w:spacing w:after="120" w:lineRule="auto"/>
              <w:jc w:val="center"/>
              <w:rPr>
                <w:sz w:val="18"/>
                <w:szCs w:val="18"/>
              </w:rPr>
            </w:pPr>
            <w:r w:rsidDel="00000000" w:rsidR="00000000" w:rsidRPr="00000000">
              <w:rPr>
                <w:rtl w:val="0"/>
              </w:rPr>
            </w:r>
          </w:p>
          <w:p w:rsidR="00000000" w:rsidDel="00000000" w:rsidP="00000000" w:rsidRDefault="00000000" w:rsidRPr="00000000" w14:paraId="0000005B">
            <w:pPr>
              <w:spacing w:after="120" w:lineRule="auto"/>
              <w:jc w:val="center"/>
              <w:rPr>
                <w:sz w:val="18"/>
                <w:szCs w:val="18"/>
              </w:rPr>
            </w:pPr>
            <w:r w:rsidDel="00000000" w:rsidR="00000000" w:rsidRPr="00000000">
              <w:rPr>
                <w:rtl w:val="0"/>
              </w:rPr>
            </w:r>
          </w:p>
          <w:p w:rsidR="00000000" w:rsidDel="00000000" w:rsidP="00000000" w:rsidRDefault="00000000" w:rsidRPr="00000000" w14:paraId="0000005C">
            <w:pPr>
              <w:spacing w:after="120" w:lineRule="auto"/>
              <w:jc w:val="center"/>
              <w:rPr>
                <w:sz w:val="18"/>
                <w:szCs w:val="18"/>
              </w:rPr>
            </w:pPr>
            <w:r w:rsidDel="00000000" w:rsidR="00000000" w:rsidRPr="00000000">
              <w:rPr>
                <w:rtl w:val="0"/>
              </w:rPr>
            </w:r>
          </w:p>
          <w:p w:rsidR="00000000" w:rsidDel="00000000" w:rsidP="00000000" w:rsidRDefault="00000000" w:rsidRPr="00000000" w14:paraId="0000005D">
            <w:pPr>
              <w:spacing w:after="120" w:lineRule="auto"/>
              <w:jc w:val="center"/>
              <w:rPr>
                <w:sz w:val="18"/>
                <w:szCs w:val="18"/>
              </w:rPr>
            </w:pPr>
            <w:r w:rsidDel="00000000" w:rsidR="00000000" w:rsidRPr="00000000">
              <w:rPr>
                <w:rtl w:val="0"/>
              </w:rPr>
            </w:r>
          </w:p>
          <w:p w:rsidR="00000000" w:rsidDel="00000000" w:rsidP="00000000" w:rsidRDefault="00000000" w:rsidRPr="00000000" w14:paraId="0000005E">
            <w:pPr>
              <w:spacing w:after="120" w:lineRule="auto"/>
              <w:jc w:val="center"/>
              <w:rPr>
                <w:sz w:val="18"/>
                <w:szCs w:val="18"/>
              </w:rPr>
            </w:pPr>
            <w:r w:rsidDel="00000000" w:rsidR="00000000" w:rsidRPr="00000000">
              <w:rPr>
                <w:rtl w:val="0"/>
              </w:rPr>
            </w:r>
          </w:p>
          <w:p w:rsidR="00000000" w:rsidDel="00000000" w:rsidP="00000000" w:rsidRDefault="00000000" w:rsidRPr="00000000" w14:paraId="0000005F">
            <w:pPr>
              <w:spacing w:after="120" w:lineRule="auto"/>
              <w:jc w:val="center"/>
              <w:rPr>
                <w:sz w:val="18"/>
                <w:szCs w:val="18"/>
              </w:rPr>
            </w:pPr>
            <w:r w:rsidDel="00000000" w:rsidR="00000000" w:rsidRPr="00000000">
              <w:rPr>
                <w:rtl w:val="0"/>
              </w:rPr>
            </w:r>
          </w:p>
          <w:p w:rsidR="00000000" w:rsidDel="00000000" w:rsidP="00000000" w:rsidRDefault="00000000" w:rsidRPr="00000000" w14:paraId="00000060">
            <w:pPr>
              <w:jc w:val="center"/>
              <w:rPr>
                <w:sz w:val="18"/>
                <w:szCs w:val="18"/>
              </w:rPr>
            </w:pPr>
            <w:r w:rsidDel="00000000" w:rsidR="00000000" w:rsidRPr="00000000">
              <w:rPr>
                <w:rtl w:val="0"/>
              </w:rPr>
            </w:r>
          </w:p>
        </w:tc>
      </w:tr>
      <w:tr>
        <w:trPr>
          <w:cantSplit w:val="0"/>
          <w:trHeight w:val="1455" w:hRule="atLeast"/>
          <w:tblHeader w:val="0"/>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5">
            <w:pPr>
              <w:jc w:val="center"/>
              <w:rPr>
                <w:b w:val="1"/>
                <w:sz w:val="18"/>
                <w:szCs w:val="18"/>
              </w:rPr>
            </w:pPr>
            <w:r w:rsidDel="00000000" w:rsidR="00000000" w:rsidRPr="00000000">
              <w:rPr>
                <w:b w:val="1"/>
                <w:sz w:val="18"/>
                <w:szCs w:val="18"/>
                <w:rtl w:val="0"/>
              </w:rPr>
              <w:t xml:space="preserve">External Examiner’s comments (if relevant)</w:t>
            </w:r>
          </w:p>
          <w:p w:rsidR="00000000" w:rsidDel="00000000" w:rsidP="00000000" w:rsidRDefault="00000000" w:rsidRPr="00000000" w14:paraId="00000066">
            <w:pPr>
              <w:jc w:val="center"/>
              <w:rPr>
                <w:sz w:val="17"/>
                <w:szCs w:val="17"/>
              </w:rPr>
            </w:pPr>
            <w:r w:rsidDel="00000000" w:rsidR="00000000" w:rsidRPr="00000000">
              <w:rPr>
                <w:rtl w:val="0"/>
              </w:rPr>
            </w:r>
          </w:p>
          <w:p w:rsidR="00000000" w:rsidDel="00000000" w:rsidP="00000000" w:rsidRDefault="00000000" w:rsidRPr="00000000" w14:paraId="00000067">
            <w:pPr>
              <w:jc w:val="center"/>
              <w:rPr>
                <w:sz w:val="17"/>
                <w:szCs w:val="17"/>
              </w:rPr>
            </w:pPr>
            <w:r w:rsidDel="00000000" w:rsidR="00000000" w:rsidRPr="00000000">
              <w:rPr>
                <w:rtl w:val="0"/>
              </w:rPr>
            </w:r>
          </w:p>
          <w:p w:rsidR="00000000" w:rsidDel="00000000" w:rsidP="00000000" w:rsidRDefault="00000000" w:rsidRPr="00000000" w14:paraId="00000068">
            <w:pPr>
              <w:jc w:val="center"/>
              <w:rPr>
                <w:sz w:val="17"/>
                <w:szCs w:val="17"/>
              </w:rPr>
            </w:pPr>
            <w:r w:rsidDel="00000000" w:rsidR="00000000" w:rsidRPr="00000000">
              <w:rPr>
                <w:rtl w:val="0"/>
              </w:rPr>
            </w:r>
          </w:p>
          <w:p w:rsidR="00000000" w:rsidDel="00000000" w:rsidP="00000000" w:rsidRDefault="00000000" w:rsidRPr="00000000" w14:paraId="00000069">
            <w:pPr>
              <w:jc w:val="center"/>
              <w:rPr>
                <w:sz w:val="17"/>
                <w:szCs w:val="17"/>
              </w:rPr>
            </w:pPr>
            <w:r w:rsidDel="00000000" w:rsidR="00000000" w:rsidRPr="00000000">
              <w:rPr>
                <w:rtl w:val="0"/>
              </w:rPr>
            </w:r>
          </w:p>
          <w:p w:rsidR="00000000" w:rsidDel="00000000" w:rsidP="00000000" w:rsidRDefault="00000000" w:rsidRPr="00000000" w14:paraId="0000006A">
            <w:pPr>
              <w:jc w:val="center"/>
              <w:rPr>
                <w:sz w:val="17"/>
                <w:szCs w:val="17"/>
              </w:rPr>
            </w:pPr>
            <w:r w:rsidDel="00000000" w:rsidR="00000000" w:rsidRPr="00000000">
              <w:rPr>
                <w:rtl w:val="0"/>
              </w:rPr>
            </w:r>
          </w:p>
          <w:p w:rsidR="00000000" w:rsidDel="00000000" w:rsidP="00000000" w:rsidRDefault="00000000" w:rsidRPr="00000000" w14:paraId="0000006B">
            <w:pPr>
              <w:jc w:val="center"/>
              <w:rPr>
                <w:rFonts w:ascii="Times New Roman" w:cs="Times New Roman" w:eastAsia="Times New Roman" w:hAnsi="Times New Roman"/>
                <w:sz w:val="18"/>
                <w:szCs w:val="18"/>
              </w:rPr>
            </w:pPr>
            <w:r w:rsidDel="00000000" w:rsidR="00000000" w:rsidRPr="00000000">
              <w:rPr>
                <w:rtl w:val="0"/>
              </w:rPr>
            </w:r>
          </w:p>
        </w:tc>
      </w:tr>
      <w:tr>
        <w:trPr>
          <w:cantSplit w:val="0"/>
          <w:trHeight w:val="420" w:hRule="atLeast"/>
          <w:tblHeader w:val="0"/>
        </w:trPr>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70">
            <w:pPr>
              <w:jc w:val="center"/>
              <w:rPr>
                <w:sz w:val="18"/>
                <w:szCs w:val="18"/>
              </w:rPr>
            </w:pPr>
            <w:r w:rsidDel="00000000" w:rsidR="00000000" w:rsidRPr="00000000">
              <w:rPr>
                <w:sz w:val="18"/>
                <w:szCs w:val="18"/>
                <w:rtl w:val="0"/>
              </w:rPr>
              <w:t xml:space="preserve">External Examiner’s Signature:</w:t>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72">
            <w:pPr>
              <w:jc w:val="center"/>
              <w:rPr>
                <w:sz w:val="18"/>
                <w:szCs w:val="18"/>
              </w:rPr>
            </w:pPr>
            <w:r w:rsidDel="00000000" w:rsidR="00000000" w:rsidRPr="00000000">
              <w:rPr>
                <w:sz w:val="18"/>
                <w:szCs w:val="18"/>
                <w:rtl w:val="0"/>
              </w:rPr>
              <w:t xml:space="preserve">Date:</w:t>
            </w:r>
          </w:p>
        </w:tc>
      </w:tr>
    </w:tbl>
    <w:p w:rsidR="00000000" w:rsidDel="00000000" w:rsidP="00000000" w:rsidRDefault="00000000" w:rsidRPr="00000000" w14:paraId="00000075">
      <w:pPr>
        <w:jc w:val="center"/>
        <w:rPr>
          <w:rFonts w:ascii="Trebuchet MS" w:cs="Trebuchet MS" w:eastAsia="Trebuchet MS" w:hAnsi="Trebuchet MS"/>
          <w:sz w:val="15"/>
          <w:szCs w:val="15"/>
        </w:rPr>
      </w:pPr>
      <w:r w:rsidDel="00000000" w:rsidR="00000000" w:rsidRPr="00000000">
        <w:rPr>
          <w:rtl w:val="0"/>
        </w:rPr>
      </w:r>
    </w:p>
    <w:p w:rsidR="00000000" w:rsidDel="00000000" w:rsidP="00000000" w:rsidRDefault="00000000" w:rsidRPr="00000000" w14:paraId="00000076">
      <w:pPr>
        <w:jc w:val="center"/>
        <w:rPr>
          <w:rFonts w:ascii="Trebuchet MS" w:cs="Trebuchet MS" w:eastAsia="Trebuchet MS" w:hAnsi="Trebuchet MS"/>
          <w:sz w:val="15"/>
          <w:szCs w:val="15"/>
        </w:rPr>
      </w:pPr>
      <w:r w:rsidDel="00000000" w:rsidR="00000000" w:rsidRPr="00000000">
        <w:rPr>
          <w:rtl w:val="0"/>
        </w:rPr>
      </w:r>
    </w:p>
    <w:p w:rsidR="00000000" w:rsidDel="00000000" w:rsidP="00000000" w:rsidRDefault="00000000" w:rsidRPr="00000000" w14:paraId="00000077">
      <w:pPr>
        <w:jc w:val="center"/>
        <w:rPr>
          <w:rFonts w:ascii="Trebuchet MS" w:cs="Trebuchet MS" w:eastAsia="Trebuchet MS" w:hAnsi="Trebuchet MS"/>
          <w:sz w:val="15"/>
          <w:szCs w:val="15"/>
        </w:rPr>
      </w:pPr>
      <w:r w:rsidDel="00000000" w:rsidR="00000000" w:rsidRPr="00000000">
        <w:rPr>
          <w:rtl w:val="0"/>
        </w:rPr>
      </w:r>
    </w:p>
    <w:p w:rsidR="00000000" w:rsidDel="00000000" w:rsidP="00000000" w:rsidRDefault="00000000" w:rsidRPr="00000000" w14:paraId="00000078">
      <w:pPr>
        <w:jc w:val="center"/>
        <w:rPr>
          <w:rFonts w:ascii="Trebuchet MS" w:cs="Trebuchet MS" w:eastAsia="Trebuchet MS" w:hAnsi="Trebuchet MS"/>
          <w:sz w:val="15"/>
          <w:szCs w:val="15"/>
        </w:rPr>
      </w:pPr>
      <w:r w:rsidDel="00000000" w:rsidR="00000000" w:rsidRPr="00000000">
        <w:rPr>
          <w:rtl w:val="0"/>
        </w:rPr>
      </w:r>
    </w:p>
    <w:p w:rsidR="00000000" w:rsidDel="00000000" w:rsidP="00000000" w:rsidRDefault="00000000" w:rsidRPr="00000000" w14:paraId="00000079">
      <w:pPr>
        <w:jc w:val="center"/>
        <w:rPr>
          <w:rFonts w:ascii="Trebuchet MS" w:cs="Trebuchet MS" w:eastAsia="Trebuchet MS" w:hAnsi="Trebuchet MS"/>
          <w:sz w:val="15"/>
          <w:szCs w:val="15"/>
        </w:rPr>
      </w:pPr>
      <w:r w:rsidDel="00000000" w:rsidR="00000000" w:rsidRPr="00000000">
        <w:rPr>
          <w:rtl w:val="0"/>
        </w:rPr>
      </w:r>
    </w:p>
    <w:p w:rsidR="00000000" w:rsidDel="00000000" w:rsidP="00000000" w:rsidRDefault="00000000" w:rsidRPr="00000000" w14:paraId="0000007A">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7B">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7C">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7D">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7E">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7F">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80">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81">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82">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83">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84">
      <w:pPr>
        <w:jc w:val="center"/>
        <w:rPr>
          <w:rFonts w:ascii="Times New Roman" w:cs="Times New Roman" w:eastAsia="Times New Roman" w:hAnsi="Times New Roman"/>
          <w:color w:val="231f20"/>
          <w:sz w:val="30"/>
          <w:szCs w:val="30"/>
        </w:rPr>
      </w:pPr>
      <w:r w:rsidDel="00000000" w:rsidR="00000000" w:rsidRPr="00000000">
        <w:rPr>
          <w:rFonts w:ascii="Times New Roman" w:cs="Times New Roman" w:eastAsia="Times New Roman" w:hAnsi="Times New Roman"/>
          <w:color w:val="231f20"/>
          <w:sz w:val="30"/>
          <w:szCs w:val="30"/>
          <w:rtl w:val="0"/>
        </w:rPr>
        <w:t xml:space="preserve">A Critical Comparison of Two Secondary Sources</w:t>
      </w:r>
    </w:p>
    <w:p w:rsidR="00000000" w:rsidDel="00000000" w:rsidP="00000000" w:rsidRDefault="00000000" w:rsidRPr="00000000" w14:paraId="00000085">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86">
      <w:pPr>
        <w:rPr>
          <w:rFonts w:ascii="Times New Roman" w:cs="Times New Roman" w:eastAsia="Times New Roman" w:hAnsi="Times New Roman"/>
          <w:b w:val="1"/>
          <w:color w:val="231f20"/>
          <w:sz w:val="24"/>
          <w:szCs w:val="24"/>
          <w:u w:val="single"/>
        </w:rPr>
      </w:pPr>
      <w:r w:rsidDel="00000000" w:rsidR="00000000" w:rsidRPr="00000000">
        <w:rPr>
          <w:rtl w:val="0"/>
        </w:rPr>
      </w:r>
    </w:p>
    <w:p w:rsidR="00000000" w:rsidDel="00000000" w:rsidP="00000000" w:rsidRDefault="00000000" w:rsidRPr="00000000" w14:paraId="00000087">
      <w:pPr>
        <w:rPr>
          <w:rFonts w:ascii="Times New Roman" w:cs="Times New Roman" w:eastAsia="Times New Roman" w:hAnsi="Times New Roman"/>
          <w:b w:val="1"/>
          <w:color w:val="231f20"/>
          <w:sz w:val="24"/>
          <w:szCs w:val="24"/>
          <w:u w:val="single"/>
        </w:rPr>
      </w:pPr>
      <w:r w:rsidDel="00000000" w:rsidR="00000000" w:rsidRPr="00000000">
        <w:rPr>
          <w:rFonts w:ascii="Times New Roman" w:cs="Times New Roman" w:eastAsia="Times New Roman" w:hAnsi="Times New Roman"/>
          <w:color w:val="231f20"/>
          <w:sz w:val="24"/>
          <w:szCs w:val="24"/>
          <w:rtl w:val="0"/>
        </w:rPr>
        <w:t xml:space="preserve">This essay aims to examine and critically compare two secondary sources. The first secondary source is </w:t>
      </w:r>
      <w:r w:rsidDel="00000000" w:rsidR="00000000" w:rsidRPr="00000000">
        <w:rPr>
          <w:rFonts w:ascii="Times New Roman" w:cs="Times New Roman" w:eastAsia="Times New Roman" w:hAnsi="Times New Roman"/>
          <w:i w:val="1"/>
          <w:color w:val="231f20"/>
          <w:sz w:val="24"/>
          <w:szCs w:val="24"/>
          <w:rtl w:val="0"/>
        </w:rPr>
        <w:t xml:space="preserve">The Greening of Religion Hypothesis (Part One), </w:t>
      </w:r>
      <w:r w:rsidDel="00000000" w:rsidR="00000000" w:rsidRPr="00000000">
        <w:rPr>
          <w:rFonts w:ascii="Times New Roman" w:cs="Times New Roman" w:eastAsia="Times New Roman" w:hAnsi="Times New Roman"/>
          <w:color w:val="231f20"/>
          <w:sz w:val="24"/>
          <w:szCs w:val="24"/>
          <w:rtl w:val="0"/>
        </w:rPr>
        <w:t xml:space="preserve">written by Bron Taylor and published in Journal for the Study of Religion Nature and Culture in 2016. The second source is taken from an autobiographical reflection written by Mark Schroll, titled; </w:t>
      </w:r>
      <w:r w:rsidDel="00000000" w:rsidR="00000000" w:rsidRPr="00000000">
        <w:rPr>
          <w:rFonts w:ascii="Times New Roman" w:cs="Times New Roman" w:eastAsia="Times New Roman" w:hAnsi="Times New Roman"/>
          <w:i w:val="1"/>
          <w:color w:val="231f20"/>
          <w:sz w:val="24"/>
          <w:szCs w:val="24"/>
          <w:rtl w:val="0"/>
        </w:rPr>
        <w:t xml:space="preserve">From Ecopsychology to Transpersonal Ecosophy: Shamanism, Psychedelics and Transpersonal Psychology, </w:t>
      </w:r>
      <w:r w:rsidDel="00000000" w:rsidR="00000000" w:rsidRPr="00000000">
        <w:rPr>
          <w:rFonts w:ascii="Times New Roman" w:cs="Times New Roman" w:eastAsia="Times New Roman" w:hAnsi="Times New Roman"/>
          <w:color w:val="231f20"/>
          <w:sz w:val="24"/>
          <w:szCs w:val="24"/>
          <w:rtl w:val="0"/>
        </w:rPr>
        <w:t xml:space="preserve">published</w:t>
      </w:r>
      <w:r w:rsidDel="00000000" w:rsidR="00000000" w:rsidRPr="00000000">
        <w:rPr>
          <w:rFonts w:ascii="Times New Roman" w:cs="Times New Roman" w:eastAsia="Times New Roman" w:hAnsi="Times New Roman"/>
          <w:color w:val="231f20"/>
          <w:sz w:val="24"/>
          <w:szCs w:val="24"/>
          <w:rtl w:val="0"/>
        </w:rPr>
        <w:t xml:space="preserve"> in the European Journal of Ecopsychology in 2013.</w:t>
      </w:r>
      <w:r w:rsidDel="00000000" w:rsidR="00000000" w:rsidRPr="00000000">
        <w:rPr>
          <w:rtl w:val="0"/>
        </w:rPr>
      </w:r>
    </w:p>
    <w:p w:rsidR="00000000" w:rsidDel="00000000" w:rsidP="00000000" w:rsidRDefault="00000000" w:rsidRPr="00000000" w14:paraId="00000088">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89">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Paper 1 largely focuses on Lynn White Jr’s work ‘The Historical Roots of Our Ecologic Crisis’, published in Science in 1967, which Taylor cites as having played a critically important role in subsequent environmental studies through its offering of a diagnosis and prescription that was provocative, plausible, and controversial, as well as difficult to prove or falsify</w:t>
      </w:r>
      <w:r w:rsidDel="00000000" w:rsidR="00000000" w:rsidRPr="00000000">
        <w:rPr>
          <w:rFonts w:ascii="Times New Roman" w:cs="Times New Roman" w:eastAsia="Times New Roman" w:hAnsi="Times New Roman"/>
          <w:color w:val="231f20"/>
          <w:sz w:val="24"/>
          <w:szCs w:val="24"/>
          <w:vertAlign w:val="superscript"/>
        </w:rPr>
        <w:footnoteReference w:customMarkFollows="0" w:id="0"/>
      </w:r>
      <w:r w:rsidDel="00000000" w:rsidR="00000000" w:rsidRPr="00000000">
        <w:rPr>
          <w:rFonts w:ascii="Times New Roman" w:cs="Times New Roman" w:eastAsia="Times New Roman" w:hAnsi="Times New Roman"/>
          <w:color w:val="231f20"/>
          <w:sz w:val="24"/>
          <w:szCs w:val="24"/>
          <w:rtl w:val="0"/>
        </w:rPr>
        <w:t xml:space="preserve">. Within part one of Taylor’s Greening of Religion Hypothesis, he explores ideas regarding environmental stewardship and indigenous and nature-based religions alongside the effects of anthropocentric western religions on the environmental crisis as raised by White. In reflecting on White’s work he is able to analyse issues for which his greening of religion hypothesis is a seemingly good antidote. Taylor’s theory of the greening of religion is outlined in his 2010 book </w:t>
      </w:r>
      <w:r w:rsidDel="00000000" w:rsidR="00000000" w:rsidRPr="00000000">
        <w:rPr>
          <w:rFonts w:ascii="Times New Roman" w:cs="Times New Roman" w:eastAsia="Times New Roman" w:hAnsi="Times New Roman"/>
          <w:i w:val="1"/>
          <w:color w:val="231f20"/>
          <w:sz w:val="24"/>
          <w:szCs w:val="24"/>
          <w:rtl w:val="0"/>
        </w:rPr>
        <w:t xml:space="preserve">Dark Green Religion</w:t>
      </w:r>
      <w:r w:rsidDel="00000000" w:rsidR="00000000" w:rsidRPr="00000000">
        <w:rPr>
          <w:rFonts w:ascii="Times New Roman" w:cs="Times New Roman" w:eastAsia="Times New Roman" w:hAnsi="Times New Roman"/>
          <w:color w:val="231f20"/>
          <w:sz w:val="24"/>
          <w:szCs w:val="24"/>
          <w:rtl w:val="0"/>
        </w:rPr>
        <w:t xml:space="preserve">, a take on religion that he describes as being: </w:t>
      </w:r>
    </w:p>
    <w:p w:rsidR="00000000" w:rsidDel="00000000" w:rsidP="00000000" w:rsidRDefault="00000000" w:rsidRPr="00000000" w14:paraId="0000008A">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8B">
      <w:pPr>
        <w:ind w:firstLine="720"/>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deep[ly] ecological, biocentric, or ecocentric, considering all species to be intrinsically valuable, that is, valuable apart from their usefulness to human beings. This value system is generally based on a felt kinship with all life… and accompanied by feelings of humility and a corresponding critique of human moral superiority.</w:t>
      </w:r>
      <w:r w:rsidDel="00000000" w:rsidR="00000000" w:rsidRPr="00000000">
        <w:rPr>
          <w:rFonts w:ascii="Times New Roman" w:cs="Times New Roman" w:eastAsia="Times New Roman" w:hAnsi="Times New Roman"/>
          <w:color w:val="231f20"/>
          <w:sz w:val="24"/>
          <w:szCs w:val="24"/>
          <w:vertAlign w:val="superscript"/>
        </w:rPr>
        <w:footnoteReference w:customMarkFollows="0" w:id="1"/>
      </w:r>
      <w:r w:rsidDel="00000000" w:rsidR="00000000" w:rsidRPr="00000000">
        <w:rPr>
          <w:rtl w:val="0"/>
        </w:rPr>
      </w:r>
    </w:p>
    <w:p w:rsidR="00000000" w:rsidDel="00000000" w:rsidP="00000000" w:rsidRDefault="00000000" w:rsidRPr="00000000" w14:paraId="0000008C">
      <w:pPr>
        <w:shd w:fill="ffffff" w:val="clear"/>
        <w:spacing w:line="276.24" w:lineRule="auto"/>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8D">
      <w:pPr>
        <w:shd w:fill="ffffff" w:val="clear"/>
        <w:spacing w:line="276.24" w:lineRule="auto"/>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Through assessing the claims that christianity may promote environmentally destructive ideas, Taylor attempts to understand the role of religion in environmental behaviours, including the role of what he has termed ‘dark green religion’.</w:t>
      </w:r>
    </w:p>
    <w:p w:rsidR="00000000" w:rsidDel="00000000" w:rsidP="00000000" w:rsidRDefault="00000000" w:rsidRPr="00000000" w14:paraId="0000008E">
      <w:pPr>
        <w:rPr>
          <w:rFonts w:ascii="Times New Roman" w:cs="Times New Roman" w:eastAsia="Times New Roman" w:hAnsi="Times New Roman"/>
          <w:b w:val="1"/>
          <w:color w:val="231f20"/>
          <w:sz w:val="24"/>
          <w:szCs w:val="24"/>
          <w:u w:val="single"/>
        </w:rPr>
      </w:pPr>
      <w:r w:rsidDel="00000000" w:rsidR="00000000" w:rsidRPr="00000000">
        <w:rPr>
          <w:rtl w:val="0"/>
        </w:rPr>
      </w:r>
    </w:p>
    <w:p w:rsidR="00000000" w:rsidDel="00000000" w:rsidP="00000000" w:rsidRDefault="00000000" w:rsidRPr="00000000" w14:paraId="0000008F">
      <w:pPr>
        <w:shd w:fill="ffffff" w:val="clear"/>
        <w:spacing w:line="276.24" w:lineRule="auto"/>
        <w:rPr>
          <w:rFonts w:ascii="Times New Roman" w:cs="Times New Roman" w:eastAsia="Times New Roman" w:hAnsi="Times New Roman"/>
          <w:b w:val="1"/>
          <w:color w:val="231f20"/>
          <w:sz w:val="24"/>
          <w:szCs w:val="24"/>
          <w:u w:val="single"/>
        </w:rPr>
      </w:pPr>
      <w:r w:rsidDel="00000000" w:rsidR="00000000" w:rsidRPr="00000000">
        <w:rPr>
          <w:rFonts w:ascii="Times New Roman" w:cs="Times New Roman" w:eastAsia="Times New Roman" w:hAnsi="Times New Roman"/>
          <w:color w:val="231f20"/>
          <w:sz w:val="24"/>
          <w:szCs w:val="24"/>
          <w:rtl w:val="0"/>
        </w:rPr>
        <w:t xml:space="preserve">Paper 2 deals with discussion of  how the transpersonal psychological perspective aligns with studies of shamanism, psychedelics, ecopsychology, and the emergence of transpersonal ecosophy, especially in relation to the current ecological crisis. Written as an autobiographical reflection, Schroll uses his own experiential insight to analyse how the collective human consciousness and various worldviews may affect the way in which humans interact with their surroundings. In addition to these ideas, Schroll discusses the ‘eco-dissociated limitations within Hinduism, Taoism, and Buddhism...as a reminder of the fragmentation of theory and practice within traditions that are otherwise considered to be pathways to enlightenment.’</w:t>
      </w:r>
      <w:r w:rsidDel="00000000" w:rsidR="00000000" w:rsidRPr="00000000">
        <w:rPr>
          <w:rFonts w:ascii="Times New Roman" w:cs="Times New Roman" w:eastAsia="Times New Roman" w:hAnsi="Times New Roman"/>
          <w:color w:val="231f20"/>
          <w:sz w:val="24"/>
          <w:szCs w:val="24"/>
          <w:vertAlign w:val="superscript"/>
        </w:rPr>
        <w:footnoteReference w:customMarkFollows="0" w:id="2"/>
      </w:r>
      <w:r w:rsidDel="00000000" w:rsidR="00000000" w:rsidRPr="00000000">
        <w:rPr>
          <w:rtl w:val="0"/>
        </w:rPr>
      </w:r>
    </w:p>
    <w:p w:rsidR="00000000" w:rsidDel="00000000" w:rsidP="00000000" w:rsidRDefault="00000000" w:rsidRPr="00000000" w14:paraId="00000090">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Both of these secondary sources seek to analyse the way in which human ideologies and belief systems may contribute to a collective’s treatment of surrounding ecology and, subsequently, the ecological crisis. The main premise explored by Taylor is White’s argument that the most important variables contributing to environmental decline are Christianity’s deep anthropocentrism and its disenchantment of nature</w:t>
      </w:r>
      <w:r w:rsidDel="00000000" w:rsidR="00000000" w:rsidRPr="00000000">
        <w:rPr>
          <w:rFonts w:ascii="Times New Roman" w:cs="Times New Roman" w:eastAsia="Times New Roman" w:hAnsi="Times New Roman"/>
          <w:color w:val="231f20"/>
          <w:sz w:val="24"/>
          <w:szCs w:val="24"/>
          <w:vertAlign w:val="superscript"/>
        </w:rPr>
        <w:footnoteReference w:customMarkFollows="0" w:id="3"/>
      </w:r>
      <w:r w:rsidDel="00000000" w:rsidR="00000000" w:rsidRPr="00000000">
        <w:rPr>
          <w:rFonts w:ascii="Times New Roman" w:cs="Times New Roman" w:eastAsia="Times New Roman" w:hAnsi="Times New Roman"/>
          <w:color w:val="231f20"/>
          <w:sz w:val="24"/>
          <w:szCs w:val="24"/>
          <w:rtl w:val="0"/>
        </w:rPr>
        <w:t xml:space="preserve">. Taylor references White in saying that, This anthropocentrism was established in early Judaism in the Genesis texts of the Hebrew Bible, in which ‘man named all the animals, thus establishing his dominance over them’</w:t>
      </w:r>
      <w:r w:rsidDel="00000000" w:rsidR="00000000" w:rsidRPr="00000000">
        <w:rPr>
          <w:rFonts w:ascii="Times New Roman" w:cs="Times New Roman" w:eastAsia="Times New Roman" w:hAnsi="Times New Roman"/>
          <w:color w:val="231f20"/>
          <w:sz w:val="24"/>
          <w:szCs w:val="24"/>
          <w:vertAlign w:val="superscript"/>
        </w:rPr>
        <w:footnoteReference w:customMarkFollows="0" w:id="4"/>
      </w:r>
      <w:r w:rsidDel="00000000" w:rsidR="00000000" w:rsidRPr="00000000">
        <w:rPr>
          <w:rFonts w:ascii="Times New Roman" w:cs="Times New Roman" w:eastAsia="Times New Roman" w:hAnsi="Times New Roman"/>
          <w:color w:val="231f20"/>
          <w:sz w:val="24"/>
          <w:szCs w:val="24"/>
          <w:rtl w:val="0"/>
        </w:rPr>
        <w:t xml:space="preserve">. It is this dualistic perspective of man being not simply part of nature, but rather being made in God ’s image in Western culture that Taylor puts forward as the leading cause of modern man’s neglect and dissociation from the natural world</w:t>
      </w:r>
      <w:r w:rsidDel="00000000" w:rsidR="00000000" w:rsidRPr="00000000">
        <w:rPr>
          <w:rFonts w:ascii="Times New Roman" w:cs="Times New Roman" w:eastAsia="Times New Roman" w:hAnsi="Times New Roman"/>
          <w:color w:val="231f20"/>
          <w:sz w:val="24"/>
          <w:szCs w:val="24"/>
          <w:vertAlign w:val="superscript"/>
        </w:rPr>
        <w:footnoteReference w:customMarkFollows="0" w:id="5"/>
      </w:r>
      <w:r w:rsidDel="00000000" w:rsidR="00000000" w:rsidRPr="00000000">
        <w:rPr>
          <w:rFonts w:ascii="Times New Roman" w:cs="Times New Roman" w:eastAsia="Times New Roman" w:hAnsi="Times New Roman"/>
          <w:color w:val="231f20"/>
          <w:sz w:val="24"/>
          <w:szCs w:val="24"/>
          <w:rtl w:val="0"/>
        </w:rPr>
        <w:t xml:space="preserve">. He then goes on to discuss the influence of the newly monotheistic religions that demanded people to worship a creator, rather than creation itself, that led to the violent demonisation of any animistic and pagan religions. Through destroying pagan animistic traditions, Taylor shares White’s view that Christianity made it possible to exploit nature in a mood of indifference to the feelings of natural objects</w:t>
      </w:r>
      <w:r w:rsidDel="00000000" w:rsidR="00000000" w:rsidRPr="00000000">
        <w:rPr>
          <w:rFonts w:ascii="Times New Roman" w:cs="Times New Roman" w:eastAsia="Times New Roman" w:hAnsi="Times New Roman"/>
          <w:color w:val="231f20"/>
          <w:sz w:val="24"/>
          <w:szCs w:val="24"/>
          <w:vertAlign w:val="superscript"/>
        </w:rPr>
        <w:footnoteReference w:customMarkFollows="0" w:id="6"/>
      </w:r>
      <w:r w:rsidDel="00000000" w:rsidR="00000000" w:rsidRPr="00000000">
        <w:rPr>
          <w:rFonts w:ascii="Times New Roman" w:cs="Times New Roman" w:eastAsia="Times New Roman" w:hAnsi="Times New Roman"/>
          <w:color w:val="231f20"/>
          <w:sz w:val="24"/>
          <w:szCs w:val="24"/>
          <w:rtl w:val="0"/>
        </w:rPr>
        <w:t xml:space="preserve">. White comments that ‘the spirits in  natural objects, which formerly had protected nature from man evaporated…and the old inhibitions to the exploitation of nature crumbled’</w:t>
      </w:r>
      <w:r w:rsidDel="00000000" w:rsidR="00000000" w:rsidRPr="00000000">
        <w:rPr>
          <w:rFonts w:ascii="Times New Roman" w:cs="Times New Roman" w:eastAsia="Times New Roman" w:hAnsi="Times New Roman"/>
          <w:color w:val="231f20"/>
          <w:sz w:val="24"/>
          <w:szCs w:val="24"/>
          <w:vertAlign w:val="superscript"/>
        </w:rPr>
        <w:footnoteReference w:customMarkFollows="0" w:id="7"/>
      </w:r>
      <w:r w:rsidDel="00000000" w:rsidR="00000000" w:rsidRPr="00000000">
        <w:rPr>
          <w:rFonts w:ascii="Times New Roman" w:cs="Times New Roman" w:eastAsia="Times New Roman" w:hAnsi="Times New Roman"/>
          <w:color w:val="231f20"/>
          <w:sz w:val="24"/>
          <w:szCs w:val="24"/>
          <w:rtl w:val="0"/>
        </w:rPr>
        <w:t xml:space="preserve">. Taylor follows this up with White’s view  that although Western people were becoming increasingly secular, the West’s ‘set of basic values’ are nevertheless shaped by Christianity, and therefore it can be argued that, ‘we shall continue to have a worsening ecologic crisis until we reject the Christian axiom that nature has no reason for existence apart from to serve man’</w:t>
      </w:r>
      <w:r w:rsidDel="00000000" w:rsidR="00000000" w:rsidRPr="00000000">
        <w:rPr>
          <w:rFonts w:ascii="Times New Roman" w:cs="Times New Roman" w:eastAsia="Times New Roman" w:hAnsi="Times New Roman"/>
          <w:color w:val="231f20"/>
          <w:sz w:val="24"/>
          <w:szCs w:val="24"/>
          <w:vertAlign w:val="superscript"/>
        </w:rPr>
        <w:footnoteReference w:customMarkFollows="0" w:id="8"/>
      </w:r>
      <w:r w:rsidDel="00000000" w:rsidR="00000000" w:rsidRPr="00000000">
        <w:rPr>
          <w:rFonts w:ascii="Times New Roman" w:cs="Times New Roman" w:eastAsia="Times New Roman" w:hAnsi="Times New Roman"/>
          <w:color w:val="231f20"/>
          <w:sz w:val="24"/>
          <w:szCs w:val="24"/>
          <w:rtl w:val="0"/>
        </w:rPr>
        <w:t xml:space="preserve">.</w:t>
      </w:r>
    </w:p>
    <w:p w:rsidR="00000000" w:rsidDel="00000000" w:rsidP="00000000" w:rsidRDefault="00000000" w:rsidRPr="00000000" w14:paraId="00000091">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92">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93">
      <w:pPr>
        <w:rPr>
          <w:rFonts w:ascii="Times New Roman" w:cs="Times New Roman" w:eastAsia="Times New Roman" w:hAnsi="Times New Roman"/>
          <w:color w:val="231f20"/>
          <w:sz w:val="61"/>
          <w:szCs w:val="61"/>
        </w:rPr>
      </w:pPr>
      <w:r w:rsidDel="00000000" w:rsidR="00000000" w:rsidRPr="00000000">
        <w:rPr>
          <w:rFonts w:ascii="Times New Roman" w:cs="Times New Roman" w:eastAsia="Times New Roman" w:hAnsi="Times New Roman"/>
          <w:color w:val="231f20"/>
          <w:sz w:val="24"/>
          <w:szCs w:val="24"/>
          <w:rtl w:val="0"/>
        </w:rPr>
        <w:t xml:space="preserve">This idea of god-given dominion as a catalyst for environmental destruction saw some counteraction from scholars who emphasised the idea of religious stewardship for ecological protection. Work such as Sallie McFague’s </w:t>
      </w:r>
      <w:r w:rsidDel="00000000" w:rsidR="00000000" w:rsidRPr="00000000">
        <w:rPr>
          <w:rFonts w:ascii="Times New Roman" w:cs="Times New Roman" w:eastAsia="Times New Roman" w:hAnsi="Times New Roman"/>
          <w:i w:val="1"/>
          <w:color w:val="231f20"/>
          <w:sz w:val="24"/>
          <w:szCs w:val="24"/>
          <w:rtl w:val="0"/>
        </w:rPr>
        <w:t xml:space="preserve">Body of God: An Ecological Theology </w:t>
      </w:r>
      <w:r w:rsidDel="00000000" w:rsidR="00000000" w:rsidRPr="00000000">
        <w:rPr>
          <w:rFonts w:ascii="Times New Roman" w:cs="Times New Roman" w:eastAsia="Times New Roman" w:hAnsi="Times New Roman"/>
          <w:color w:val="231f20"/>
          <w:sz w:val="24"/>
          <w:szCs w:val="24"/>
          <w:rtl w:val="0"/>
        </w:rPr>
        <w:t xml:space="preserve">is an example of this idea, arguing for the re-sacralisation of nature due to the perceived immanence of God in all of creation</w:t>
      </w:r>
      <w:r w:rsidDel="00000000" w:rsidR="00000000" w:rsidRPr="00000000">
        <w:rPr>
          <w:rFonts w:ascii="Times New Roman" w:cs="Times New Roman" w:eastAsia="Times New Roman" w:hAnsi="Times New Roman"/>
          <w:color w:val="231f20"/>
          <w:sz w:val="24"/>
          <w:szCs w:val="24"/>
          <w:vertAlign w:val="superscript"/>
        </w:rPr>
        <w:footnoteReference w:customMarkFollows="0" w:id="9"/>
      </w:r>
      <w:r w:rsidDel="00000000" w:rsidR="00000000" w:rsidRPr="00000000">
        <w:rPr>
          <w:rFonts w:ascii="Times New Roman" w:cs="Times New Roman" w:eastAsia="Times New Roman" w:hAnsi="Times New Roman"/>
          <w:color w:val="231f20"/>
          <w:sz w:val="24"/>
          <w:szCs w:val="24"/>
          <w:rtl w:val="0"/>
        </w:rPr>
        <w:t xml:space="preserve">. This idea of a sort of panentheism is more akin to animism, which implies that a kind of animism can be accessed within Christianity. This supports Taylor’s claim that a process of ‘greening religion’, returning to more animistic roots that are already available within Christianity, may help in terms of the ecological crisis.  It is this facet of christianity that it seems that White was aiming for in a transformation of culture, calling for Christians to extend ‘comradeship’ not only to all living things but to glaciers, atoms, and the universe itself</w:t>
      </w:r>
      <w:r w:rsidDel="00000000" w:rsidR="00000000" w:rsidRPr="00000000">
        <w:rPr>
          <w:rFonts w:ascii="Times New Roman" w:cs="Times New Roman" w:eastAsia="Times New Roman" w:hAnsi="Times New Roman"/>
          <w:color w:val="231f20"/>
          <w:sz w:val="24"/>
          <w:szCs w:val="24"/>
          <w:vertAlign w:val="superscript"/>
        </w:rPr>
        <w:footnoteReference w:customMarkFollows="0" w:id="10"/>
      </w:r>
      <w:r w:rsidDel="00000000" w:rsidR="00000000" w:rsidRPr="00000000">
        <w:rPr>
          <w:rFonts w:ascii="Times New Roman" w:cs="Times New Roman" w:eastAsia="Times New Roman" w:hAnsi="Times New Roman"/>
          <w:color w:val="231f20"/>
          <w:sz w:val="24"/>
          <w:szCs w:val="24"/>
          <w:rtl w:val="0"/>
        </w:rPr>
        <w:t xml:space="preserve">. </w:t>
      </w:r>
      <w:r w:rsidDel="00000000" w:rsidR="00000000" w:rsidRPr="00000000">
        <w:rPr>
          <w:rtl w:val="0"/>
        </w:rPr>
      </w:r>
    </w:p>
    <w:p w:rsidR="00000000" w:rsidDel="00000000" w:rsidP="00000000" w:rsidRDefault="00000000" w:rsidRPr="00000000" w14:paraId="00000094">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As such, Taylor’s claims are supported by White’s work as he states that dark green religion is ultimately a revitalization movement in that it seeks to return religious people to valuable, if supposedly forgotten roots, in this case the ones that enjoin reverent care for nature and all living things</w:t>
      </w:r>
      <w:r w:rsidDel="00000000" w:rsidR="00000000" w:rsidRPr="00000000">
        <w:rPr>
          <w:rFonts w:ascii="Times New Roman" w:cs="Times New Roman" w:eastAsia="Times New Roman" w:hAnsi="Times New Roman"/>
          <w:color w:val="231f20"/>
          <w:sz w:val="24"/>
          <w:szCs w:val="24"/>
          <w:vertAlign w:val="superscript"/>
        </w:rPr>
        <w:footnoteReference w:customMarkFollows="0" w:id="11"/>
      </w:r>
      <w:r w:rsidDel="00000000" w:rsidR="00000000" w:rsidRPr="00000000">
        <w:rPr>
          <w:rFonts w:ascii="Times New Roman" w:cs="Times New Roman" w:eastAsia="Times New Roman" w:hAnsi="Times New Roman"/>
          <w:color w:val="231f20"/>
          <w:sz w:val="24"/>
          <w:szCs w:val="24"/>
          <w:rtl w:val="0"/>
        </w:rPr>
        <w:t xml:space="preserve">.</w:t>
      </w:r>
    </w:p>
    <w:p w:rsidR="00000000" w:rsidDel="00000000" w:rsidP="00000000" w:rsidRDefault="00000000" w:rsidRPr="00000000" w14:paraId="00000095">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96">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Despite the West’s increasing secularisation, Taylor writes that White’s perception of these deeply rooted religious western ideals led him to believe that the remedy to these harmful views must also be ‘essentially religious, whether we call it that or not’</w:t>
      </w:r>
      <w:r w:rsidDel="00000000" w:rsidR="00000000" w:rsidRPr="00000000">
        <w:rPr>
          <w:rFonts w:ascii="Times New Roman" w:cs="Times New Roman" w:eastAsia="Times New Roman" w:hAnsi="Times New Roman"/>
          <w:color w:val="231f20"/>
          <w:sz w:val="24"/>
          <w:szCs w:val="24"/>
          <w:vertAlign w:val="superscript"/>
        </w:rPr>
        <w:footnoteReference w:customMarkFollows="0" w:id="12"/>
      </w:r>
      <w:r w:rsidDel="00000000" w:rsidR="00000000" w:rsidRPr="00000000">
        <w:rPr>
          <w:rFonts w:ascii="Times New Roman" w:cs="Times New Roman" w:eastAsia="Times New Roman" w:hAnsi="Times New Roman"/>
          <w:color w:val="231f20"/>
          <w:sz w:val="24"/>
          <w:szCs w:val="24"/>
          <w:rtl w:val="0"/>
        </w:rPr>
        <w:t xml:space="preserve">. While White did indeed encourage a more animistic approach to religion and recognised that several eastern religions such as Zen Buddhism were more aligned with such beliefs, he argued that such ideas were too alien to the western world to bring about a change in western culture</w:t>
      </w:r>
      <w:r w:rsidDel="00000000" w:rsidR="00000000" w:rsidRPr="00000000">
        <w:rPr>
          <w:rFonts w:ascii="Times New Roman" w:cs="Times New Roman" w:eastAsia="Times New Roman" w:hAnsi="Times New Roman"/>
          <w:color w:val="231f20"/>
          <w:sz w:val="24"/>
          <w:szCs w:val="24"/>
          <w:vertAlign w:val="superscript"/>
        </w:rPr>
        <w:footnoteReference w:customMarkFollows="0" w:id="13"/>
      </w:r>
      <w:r w:rsidDel="00000000" w:rsidR="00000000" w:rsidRPr="00000000">
        <w:rPr>
          <w:rFonts w:ascii="Times New Roman" w:cs="Times New Roman" w:eastAsia="Times New Roman" w:hAnsi="Times New Roman"/>
          <w:color w:val="231f20"/>
          <w:sz w:val="24"/>
          <w:szCs w:val="24"/>
          <w:rtl w:val="0"/>
        </w:rPr>
        <w:t xml:space="preserve">. </w:t>
      </w:r>
    </w:p>
    <w:p w:rsidR="00000000" w:rsidDel="00000000" w:rsidP="00000000" w:rsidRDefault="00000000" w:rsidRPr="00000000" w14:paraId="00000097">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98">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Through his analysis of the claims made by White in </w:t>
      </w:r>
      <w:r w:rsidDel="00000000" w:rsidR="00000000" w:rsidRPr="00000000">
        <w:rPr>
          <w:rFonts w:ascii="Times New Roman" w:cs="Times New Roman" w:eastAsia="Times New Roman" w:hAnsi="Times New Roman"/>
          <w:i w:val="1"/>
          <w:color w:val="231f20"/>
          <w:sz w:val="24"/>
          <w:szCs w:val="24"/>
          <w:rtl w:val="0"/>
        </w:rPr>
        <w:t xml:space="preserve">The Historical Roots of Our Ecologic Crisis</w:t>
      </w:r>
      <w:r w:rsidDel="00000000" w:rsidR="00000000" w:rsidRPr="00000000">
        <w:rPr>
          <w:rFonts w:ascii="Times New Roman" w:cs="Times New Roman" w:eastAsia="Times New Roman" w:hAnsi="Times New Roman"/>
          <w:color w:val="231f20"/>
          <w:sz w:val="24"/>
          <w:szCs w:val="24"/>
          <w:rtl w:val="0"/>
        </w:rPr>
        <w:t xml:space="preserve">, Taylor summarised with the following propositions:</w:t>
      </w:r>
    </w:p>
    <w:p w:rsidR="00000000" w:rsidDel="00000000" w:rsidP="00000000" w:rsidRDefault="00000000" w:rsidRPr="00000000" w14:paraId="00000099">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9A">
      <w:pPr>
        <w:numPr>
          <w:ilvl w:val="0"/>
          <w:numId w:val="1"/>
        </w:numPr>
        <w:ind w:left="720" w:hanging="360"/>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The environmental and social systems that humans belong to are in a relatively constant state of change depending on advancing technologies and religious ideals. </w:t>
      </w:r>
    </w:p>
    <w:p w:rsidR="00000000" w:rsidDel="00000000" w:rsidP="00000000" w:rsidRDefault="00000000" w:rsidRPr="00000000" w14:paraId="0000009B">
      <w:pPr>
        <w:numPr>
          <w:ilvl w:val="0"/>
          <w:numId w:val="1"/>
        </w:numPr>
        <w:ind w:left="720" w:hanging="360"/>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Little is known about the effect of these variables on technological systems.</w:t>
      </w:r>
    </w:p>
    <w:p w:rsidR="00000000" w:rsidDel="00000000" w:rsidP="00000000" w:rsidRDefault="00000000" w:rsidRPr="00000000" w14:paraId="0000009C">
      <w:pPr>
        <w:numPr>
          <w:ilvl w:val="0"/>
          <w:numId w:val="1"/>
        </w:numPr>
        <w:ind w:left="720" w:hanging="360"/>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There is undeniable evidence that a mix of these variables have influenced anthropocentric attitudes and separated humans from their animistic beliefs and increased detachment from non-human organisms - all of which has contributed to the ecological crisis.</w:t>
      </w:r>
    </w:p>
    <w:p w:rsidR="00000000" w:rsidDel="00000000" w:rsidP="00000000" w:rsidRDefault="00000000" w:rsidRPr="00000000" w14:paraId="0000009D">
      <w:pPr>
        <w:numPr>
          <w:ilvl w:val="0"/>
          <w:numId w:val="1"/>
        </w:numPr>
        <w:ind w:left="720" w:hanging="360"/>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If hypothesis 3 holds true, then the ecological crisis will require a dramatic change in consciousness that will accommodate a return to the feeling of kinship with all life and foster behaviours that are in keeping with these ethics.</w:t>
      </w:r>
    </w:p>
    <w:p w:rsidR="00000000" w:rsidDel="00000000" w:rsidP="00000000" w:rsidRDefault="00000000" w:rsidRPr="00000000" w14:paraId="0000009E">
      <w:pPr>
        <w:numPr>
          <w:ilvl w:val="0"/>
          <w:numId w:val="1"/>
        </w:numPr>
        <w:ind w:left="720" w:hanging="360"/>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Some existing religious groups are more aligned with a more animistic way of thinking and being than others and as such may play a part in healing the environment. Religions such as Christianity may need to undergo a radical revision in ideologies, but may also have a place.</w:t>
      </w:r>
      <w:r w:rsidDel="00000000" w:rsidR="00000000" w:rsidRPr="00000000">
        <w:rPr>
          <w:rFonts w:ascii="Times New Roman" w:cs="Times New Roman" w:eastAsia="Times New Roman" w:hAnsi="Times New Roman"/>
          <w:color w:val="231f20"/>
          <w:sz w:val="24"/>
          <w:szCs w:val="24"/>
          <w:vertAlign w:val="superscript"/>
        </w:rPr>
        <w:footnoteReference w:customMarkFollows="0" w:id="14"/>
      </w:r>
      <w:r w:rsidDel="00000000" w:rsidR="00000000" w:rsidRPr="00000000">
        <w:rPr>
          <w:rtl w:val="0"/>
        </w:rPr>
      </w:r>
    </w:p>
    <w:p w:rsidR="00000000" w:rsidDel="00000000" w:rsidP="00000000" w:rsidRDefault="00000000" w:rsidRPr="00000000" w14:paraId="0000009F">
      <w:pPr>
        <w:ind w:left="0" w:firstLine="0"/>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A0">
      <w:pPr>
        <w:ind w:left="0" w:firstLine="0"/>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A1">
      <w:pPr>
        <w:ind w:left="0" w:firstLine="0"/>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In reviewing White’s ideas, Taylor comes to a conclusion that a transformation in consciousness is essentially needed in order to encourage a worldview that is built on kinship with the living earth. It seems that White’s ultimate goal for healing the ecological crisis was to bring about reformation rather than rejection of Christianity, of which he remained a devout believer for the remainder of his life. Taylor uses this idea to underpin his greening of religion hypothesis, advocating for the utilisation of religious beliefs in enabling humans to find kinship with all life and their surroundings. Taylor believes that world religions may be an important part of this process because they have ideas that can spur environmentally friendly behavior and increasingly are doing so; and, green religions are critically important in the quest for environmentally sustainable societies</w:t>
      </w:r>
      <w:r w:rsidDel="00000000" w:rsidR="00000000" w:rsidRPr="00000000">
        <w:rPr>
          <w:rFonts w:ascii="Times New Roman" w:cs="Times New Roman" w:eastAsia="Times New Roman" w:hAnsi="Times New Roman"/>
          <w:color w:val="231f20"/>
          <w:sz w:val="24"/>
          <w:szCs w:val="24"/>
          <w:vertAlign w:val="superscript"/>
        </w:rPr>
        <w:footnoteReference w:customMarkFollows="0" w:id="15"/>
      </w:r>
      <w:r w:rsidDel="00000000" w:rsidR="00000000" w:rsidRPr="00000000">
        <w:rPr>
          <w:rFonts w:ascii="Times New Roman" w:cs="Times New Roman" w:eastAsia="Times New Roman" w:hAnsi="Times New Roman"/>
          <w:color w:val="231f20"/>
          <w:sz w:val="24"/>
          <w:szCs w:val="24"/>
          <w:rtl w:val="0"/>
        </w:rPr>
        <w:t xml:space="preserve">. </w:t>
      </w:r>
    </w:p>
    <w:p w:rsidR="00000000" w:rsidDel="00000000" w:rsidP="00000000" w:rsidRDefault="00000000" w:rsidRPr="00000000" w14:paraId="000000A2">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A3">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In Paper 2, Schroll also mentions the idea of Western religious worldview through referencing White’s ideas that Christianity is the most anthropocentric religion the world has seen</w:t>
      </w:r>
      <w:r w:rsidDel="00000000" w:rsidR="00000000" w:rsidRPr="00000000">
        <w:rPr>
          <w:rFonts w:ascii="Times New Roman" w:cs="Times New Roman" w:eastAsia="Times New Roman" w:hAnsi="Times New Roman"/>
          <w:color w:val="231f20"/>
          <w:sz w:val="24"/>
          <w:szCs w:val="24"/>
          <w:vertAlign w:val="superscript"/>
        </w:rPr>
        <w:footnoteReference w:customMarkFollows="0" w:id="16"/>
      </w:r>
      <w:r w:rsidDel="00000000" w:rsidR="00000000" w:rsidRPr="00000000">
        <w:rPr>
          <w:rFonts w:ascii="Times New Roman" w:cs="Times New Roman" w:eastAsia="Times New Roman" w:hAnsi="Times New Roman"/>
          <w:color w:val="231f20"/>
          <w:sz w:val="24"/>
          <w:szCs w:val="24"/>
          <w:rtl w:val="0"/>
        </w:rPr>
        <w:t xml:space="preserve">. He uses the same quote as featured by Taylor, the idea that “the roots of ecological  trouble are so largely religious, the remedy must also be essentially religious, whether we call it that or not"</w:t>
      </w:r>
      <w:r w:rsidDel="00000000" w:rsidR="00000000" w:rsidRPr="00000000">
        <w:rPr>
          <w:rFonts w:ascii="Times New Roman" w:cs="Times New Roman" w:eastAsia="Times New Roman" w:hAnsi="Times New Roman"/>
          <w:color w:val="231f20"/>
          <w:sz w:val="24"/>
          <w:szCs w:val="24"/>
          <w:vertAlign w:val="superscript"/>
        </w:rPr>
        <w:footnoteReference w:customMarkFollows="0" w:id="17"/>
      </w:r>
      <w:r w:rsidDel="00000000" w:rsidR="00000000" w:rsidRPr="00000000">
        <w:rPr>
          <w:rFonts w:ascii="Times New Roman" w:cs="Times New Roman" w:eastAsia="Times New Roman" w:hAnsi="Times New Roman"/>
          <w:color w:val="231f20"/>
          <w:sz w:val="24"/>
          <w:szCs w:val="24"/>
          <w:rtl w:val="0"/>
        </w:rPr>
        <w:t xml:space="preserve">. Schroll, however, does not delve much deeper into the idea of western religion and instead goes into some detail about Eastern religions, with which he has some experience through his study of Zen Buddhism</w:t>
      </w:r>
      <w:r w:rsidDel="00000000" w:rsidR="00000000" w:rsidRPr="00000000">
        <w:rPr>
          <w:rFonts w:ascii="Times New Roman" w:cs="Times New Roman" w:eastAsia="Times New Roman" w:hAnsi="Times New Roman"/>
          <w:color w:val="231f20"/>
          <w:sz w:val="24"/>
          <w:szCs w:val="24"/>
          <w:vertAlign w:val="superscript"/>
        </w:rPr>
        <w:footnoteReference w:customMarkFollows="0" w:id="18"/>
      </w:r>
      <w:r w:rsidDel="00000000" w:rsidR="00000000" w:rsidRPr="00000000">
        <w:rPr>
          <w:rFonts w:ascii="Times New Roman" w:cs="Times New Roman" w:eastAsia="Times New Roman" w:hAnsi="Times New Roman"/>
          <w:color w:val="231f20"/>
          <w:sz w:val="24"/>
          <w:szCs w:val="24"/>
          <w:rtl w:val="0"/>
        </w:rPr>
        <w:t xml:space="preserve">. Similar to Taylor, Schroll identifies Eastern religions as holding more animistic beliefs, and notes that he personally finds that the Hindu myth of the universe resonates with his own unconscious and his psilocybin inspired experiential cosmology</w:t>
      </w:r>
      <w:r w:rsidDel="00000000" w:rsidR="00000000" w:rsidRPr="00000000">
        <w:rPr>
          <w:rFonts w:ascii="Times New Roman" w:cs="Times New Roman" w:eastAsia="Times New Roman" w:hAnsi="Times New Roman"/>
          <w:color w:val="231f20"/>
          <w:sz w:val="24"/>
          <w:szCs w:val="24"/>
          <w:vertAlign w:val="superscript"/>
        </w:rPr>
        <w:footnoteReference w:customMarkFollows="0" w:id="19"/>
      </w:r>
      <w:r w:rsidDel="00000000" w:rsidR="00000000" w:rsidRPr="00000000">
        <w:rPr>
          <w:rFonts w:ascii="Times New Roman" w:cs="Times New Roman" w:eastAsia="Times New Roman" w:hAnsi="Times New Roman"/>
          <w:color w:val="231f20"/>
          <w:sz w:val="24"/>
          <w:szCs w:val="24"/>
          <w:rtl w:val="0"/>
        </w:rPr>
        <w:t xml:space="preserve">. However, unlike Taylor, Schroll includes some critiques of Eastern religions through illuminating the contradiction of Asian religions' professed worldviews with their actual treatment of Nature. For example, he references the paradoxical nature of Vedic literature’s expression of deep reverence for the earth to the treatment of the sacred river Ganges by the Indian population</w:t>
      </w:r>
      <w:r w:rsidDel="00000000" w:rsidR="00000000" w:rsidRPr="00000000">
        <w:rPr>
          <w:rFonts w:ascii="Times New Roman" w:cs="Times New Roman" w:eastAsia="Times New Roman" w:hAnsi="Times New Roman"/>
          <w:color w:val="231f20"/>
          <w:sz w:val="24"/>
          <w:szCs w:val="24"/>
          <w:vertAlign w:val="superscript"/>
        </w:rPr>
        <w:footnoteReference w:customMarkFollows="0" w:id="20"/>
      </w:r>
      <w:r w:rsidDel="00000000" w:rsidR="00000000" w:rsidRPr="00000000">
        <w:rPr>
          <w:rFonts w:ascii="Times New Roman" w:cs="Times New Roman" w:eastAsia="Times New Roman" w:hAnsi="Times New Roman"/>
          <w:color w:val="231f20"/>
          <w:sz w:val="24"/>
          <w:szCs w:val="24"/>
          <w:rtl w:val="0"/>
        </w:rPr>
        <w:t xml:space="preserve">. It is estimated that 'at least 10,000 half-burned bodies are tossed into the river every year either at Varanasi or towns upstream and the city of Benares alone dumps 20,000,000 gallons of raw sewage into the river every day</w:t>
      </w:r>
      <w:r w:rsidDel="00000000" w:rsidR="00000000" w:rsidRPr="00000000">
        <w:rPr>
          <w:rFonts w:ascii="Times New Roman" w:cs="Times New Roman" w:eastAsia="Times New Roman" w:hAnsi="Times New Roman"/>
          <w:color w:val="231f20"/>
          <w:sz w:val="24"/>
          <w:szCs w:val="24"/>
          <w:vertAlign w:val="superscript"/>
        </w:rPr>
        <w:footnoteReference w:customMarkFollows="0" w:id="21"/>
      </w:r>
      <w:r w:rsidDel="00000000" w:rsidR="00000000" w:rsidRPr="00000000">
        <w:rPr>
          <w:rFonts w:ascii="Times New Roman" w:cs="Times New Roman" w:eastAsia="Times New Roman" w:hAnsi="Times New Roman"/>
          <w:color w:val="231f20"/>
          <w:sz w:val="24"/>
          <w:szCs w:val="24"/>
          <w:rtl w:val="0"/>
        </w:rPr>
        <w:t xml:space="preserve">. </w:t>
      </w:r>
    </w:p>
    <w:p w:rsidR="00000000" w:rsidDel="00000000" w:rsidP="00000000" w:rsidRDefault="00000000" w:rsidRPr="00000000" w14:paraId="000000A4">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A5">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Schroll uses this argument to express the idea that even though we may become a practitioner of such traditions, this does not automatically guarantee that our attitudes and behavior will be transformed regarding our relationship toward the environment</w:t>
      </w:r>
      <w:r w:rsidDel="00000000" w:rsidR="00000000" w:rsidRPr="00000000">
        <w:rPr>
          <w:rFonts w:ascii="Times New Roman" w:cs="Times New Roman" w:eastAsia="Times New Roman" w:hAnsi="Times New Roman"/>
          <w:color w:val="231f20"/>
          <w:sz w:val="24"/>
          <w:szCs w:val="24"/>
          <w:vertAlign w:val="superscript"/>
        </w:rPr>
        <w:footnoteReference w:customMarkFollows="0" w:id="22"/>
      </w:r>
      <w:r w:rsidDel="00000000" w:rsidR="00000000" w:rsidRPr="00000000">
        <w:rPr>
          <w:rFonts w:ascii="Times New Roman" w:cs="Times New Roman" w:eastAsia="Times New Roman" w:hAnsi="Times New Roman"/>
          <w:color w:val="231f20"/>
          <w:sz w:val="24"/>
          <w:szCs w:val="24"/>
          <w:rtl w:val="0"/>
        </w:rPr>
        <w:t xml:space="preserve">. That is to say that, even if we become practitioners of Hinduism, Taoism, or Buddhism we may still find ourselves falling victim to the effects of what Kremer and Donald Rothberg call our collective shadow; the idea that ‘little-known aspects of a society and culture [that continue to remain hidden in our unconscious because of voices emanating from] ... dominant discourses’</w:t>
      </w:r>
      <w:r w:rsidDel="00000000" w:rsidR="00000000" w:rsidRPr="00000000">
        <w:rPr>
          <w:rFonts w:ascii="Times New Roman" w:cs="Times New Roman" w:eastAsia="Times New Roman" w:hAnsi="Times New Roman"/>
          <w:color w:val="231f20"/>
          <w:sz w:val="24"/>
          <w:szCs w:val="24"/>
          <w:vertAlign w:val="superscript"/>
        </w:rPr>
        <w:footnoteReference w:customMarkFollows="0" w:id="23"/>
      </w:r>
      <w:r w:rsidDel="00000000" w:rsidR="00000000" w:rsidRPr="00000000">
        <w:rPr>
          <w:rFonts w:ascii="Times New Roman" w:cs="Times New Roman" w:eastAsia="Times New Roman" w:hAnsi="Times New Roman"/>
          <w:color w:val="231f20"/>
          <w:sz w:val="24"/>
          <w:szCs w:val="24"/>
          <w:rtl w:val="0"/>
        </w:rPr>
        <w:t xml:space="preserve">. This addresses issues not raised by Taylor in his paper; for example, the fact that it is difficult to allow for individual cosmologies within the spectrum of religion, as religious doctrine itself is so broad that it allows for many different views and, consequently, different actions. This confusion in identifying what might constitute a ‘western worldview’ can be seen as a running flaw throughout Taylor’s work, as his focus on Abrahamic religions generally assumes that every individual shares the same views. There is also the problem of varying levels of devoutness; a population may be culturally Hindu, for example, but that does not mean that all people will closely follow Vedic literature. It may be due to this that Schroll advocates for an almost self reflective approach to changing our ecological habits, one that is not bound by religion, as discussed below. </w:t>
      </w:r>
    </w:p>
    <w:p w:rsidR="00000000" w:rsidDel="00000000" w:rsidP="00000000" w:rsidRDefault="00000000" w:rsidRPr="00000000" w14:paraId="000000A6">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A7">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A8">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Schroll’s focus is largely based on the idea of human transpersonal psychology as the most important aspect of human nature that may affect the environment, quoting Maslow in saying that ‘without the transcendent and the transpersonal, we get sick, violent, and nihilistic, or else hopeless and apathetic’</w:t>
      </w:r>
      <w:r w:rsidDel="00000000" w:rsidR="00000000" w:rsidRPr="00000000">
        <w:rPr>
          <w:rFonts w:ascii="Times New Roman" w:cs="Times New Roman" w:eastAsia="Times New Roman" w:hAnsi="Times New Roman"/>
          <w:color w:val="231f20"/>
          <w:sz w:val="24"/>
          <w:szCs w:val="24"/>
          <w:vertAlign w:val="superscript"/>
        </w:rPr>
        <w:footnoteReference w:customMarkFollows="0" w:id="24"/>
      </w:r>
      <w:r w:rsidDel="00000000" w:rsidR="00000000" w:rsidRPr="00000000">
        <w:rPr>
          <w:rFonts w:ascii="Times New Roman" w:cs="Times New Roman" w:eastAsia="Times New Roman" w:hAnsi="Times New Roman"/>
          <w:color w:val="231f20"/>
          <w:sz w:val="24"/>
          <w:szCs w:val="24"/>
          <w:rtl w:val="0"/>
        </w:rPr>
        <w:t xml:space="preserve">. Schroll discusses the ecological crisis through what he terms as ‘internal pollution’ within the human mind, a kind of dissociation that causes outward pollution on earth</w:t>
      </w:r>
      <w:r w:rsidDel="00000000" w:rsidR="00000000" w:rsidRPr="00000000">
        <w:rPr>
          <w:rFonts w:ascii="Times New Roman" w:cs="Times New Roman" w:eastAsia="Times New Roman" w:hAnsi="Times New Roman"/>
          <w:color w:val="231f20"/>
          <w:sz w:val="24"/>
          <w:szCs w:val="24"/>
          <w:vertAlign w:val="superscript"/>
        </w:rPr>
        <w:footnoteReference w:customMarkFollows="0" w:id="25"/>
      </w:r>
      <w:r w:rsidDel="00000000" w:rsidR="00000000" w:rsidRPr="00000000">
        <w:rPr>
          <w:rFonts w:ascii="Times New Roman" w:cs="Times New Roman" w:eastAsia="Times New Roman" w:hAnsi="Times New Roman"/>
          <w:color w:val="231f20"/>
          <w:sz w:val="24"/>
          <w:szCs w:val="24"/>
          <w:rtl w:val="0"/>
        </w:rPr>
        <w:t xml:space="preserve">. On the subject, he mentions that he realised that stopping modern man’s assault on the climate was not going to come out of ‘creating new technologies and discontinuing the use of fossil fuels’, or by ‘rejecting the development of new technologies and trying to live more simply’</w:t>
      </w:r>
      <w:r w:rsidDel="00000000" w:rsidR="00000000" w:rsidRPr="00000000">
        <w:rPr>
          <w:rFonts w:ascii="Times New Roman" w:cs="Times New Roman" w:eastAsia="Times New Roman" w:hAnsi="Times New Roman"/>
          <w:color w:val="231f20"/>
          <w:sz w:val="24"/>
          <w:szCs w:val="24"/>
          <w:vertAlign w:val="superscript"/>
        </w:rPr>
        <w:footnoteReference w:customMarkFollows="0" w:id="26"/>
      </w:r>
      <w:r w:rsidDel="00000000" w:rsidR="00000000" w:rsidRPr="00000000">
        <w:rPr>
          <w:rFonts w:ascii="Times New Roman" w:cs="Times New Roman" w:eastAsia="Times New Roman" w:hAnsi="Times New Roman"/>
          <w:color w:val="231f20"/>
          <w:sz w:val="24"/>
          <w:szCs w:val="24"/>
          <w:rtl w:val="0"/>
        </w:rPr>
        <w:t xml:space="preserve">. Nor is it a matter of philosophers envisioning better environmental ethics to guide the practice of conservation biologists and urban planners, allowing us to serve as better stewards of the land. But rather he advocates that the real starting point toward healing the social and environmental crisis begins with self-confrontation and self examination, we need to examine the specific worldview influencing our attitudes and our behavior</w:t>
      </w:r>
      <w:r w:rsidDel="00000000" w:rsidR="00000000" w:rsidRPr="00000000">
        <w:rPr>
          <w:rFonts w:ascii="Times New Roman" w:cs="Times New Roman" w:eastAsia="Times New Roman" w:hAnsi="Times New Roman"/>
          <w:color w:val="231f20"/>
          <w:sz w:val="24"/>
          <w:szCs w:val="24"/>
          <w:vertAlign w:val="superscript"/>
        </w:rPr>
        <w:footnoteReference w:customMarkFollows="0" w:id="27"/>
      </w:r>
      <w:r w:rsidDel="00000000" w:rsidR="00000000" w:rsidRPr="00000000">
        <w:rPr>
          <w:rFonts w:ascii="Times New Roman" w:cs="Times New Roman" w:eastAsia="Times New Roman" w:hAnsi="Times New Roman"/>
          <w:color w:val="231f20"/>
          <w:sz w:val="24"/>
          <w:szCs w:val="24"/>
          <w:rtl w:val="0"/>
        </w:rPr>
        <w:t xml:space="preserve">. </w:t>
      </w:r>
    </w:p>
    <w:p w:rsidR="00000000" w:rsidDel="00000000" w:rsidP="00000000" w:rsidRDefault="00000000" w:rsidRPr="00000000" w14:paraId="000000A9">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AA">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One of the main ways that Schroll proposes for this personal shift is through the use of psychedelic drugs, for which he has been an advocate throughout his career and which he believes have the capacity to increase our appreciation of nature and all forms of life</w:t>
      </w:r>
      <w:r w:rsidDel="00000000" w:rsidR="00000000" w:rsidRPr="00000000">
        <w:rPr>
          <w:rFonts w:ascii="Times New Roman" w:cs="Times New Roman" w:eastAsia="Times New Roman" w:hAnsi="Times New Roman"/>
          <w:color w:val="231f20"/>
          <w:sz w:val="24"/>
          <w:szCs w:val="24"/>
          <w:vertAlign w:val="superscript"/>
        </w:rPr>
        <w:footnoteReference w:customMarkFollows="0" w:id="28"/>
      </w:r>
      <w:r w:rsidDel="00000000" w:rsidR="00000000" w:rsidRPr="00000000">
        <w:rPr>
          <w:rFonts w:ascii="Times New Roman" w:cs="Times New Roman" w:eastAsia="Times New Roman" w:hAnsi="Times New Roman"/>
          <w:color w:val="231f20"/>
          <w:sz w:val="24"/>
          <w:szCs w:val="24"/>
          <w:rtl w:val="0"/>
        </w:rPr>
        <w:t xml:space="preserve">. On this subject he quotes colleague Ralph Metzner: </w:t>
      </w:r>
    </w:p>
    <w:p w:rsidR="00000000" w:rsidDel="00000000" w:rsidP="00000000" w:rsidRDefault="00000000" w:rsidRPr="00000000" w14:paraId="000000AB">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AC">
      <w:pPr>
        <w:ind w:firstLine="720"/>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The potential of psychedelic drugs to act as catalysts to a transformation into gnosis, or direct, ongoing awareness of divine reality...would seem to be of the utmost significance. The discovery of psychedelics could be regarded as one very important factor in a general spiritual awakening of collective human consciousness... The knowledge derived from altered states has been, can be, and needs to be applied to the solution of the staggering problems that confront our species.</w:t>
      </w:r>
    </w:p>
    <w:p w:rsidR="00000000" w:rsidDel="00000000" w:rsidP="00000000" w:rsidRDefault="00000000" w:rsidRPr="00000000" w14:paraId="000000AD">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AE">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Unfortunately, as Schroll outlines within this paper, psychedelic studies have been limited for decades due to the American government banning clinical studies in 1965, and thus most of the knowledge of the healing properties of psychedelics are still held within indigenous societies. However due to recent positive movements, there have been some clinical studies involving psychedelics in the West, for example; MacLean, Johnson &amp; Griffiths, 2011 provided data to establish subjects who ingested psilocybin reported higher levels of ‘openness’ following the study. Defining openness as ‘a relatively broad range of intercorrelated traits covering aesthetic appreciation and sensitivity, fantasy and imagination, awareness of feelings in self and others, and intellectual engagement’, they theorised that people with higher levels of openness were much more 'permeable to new ideas and experiences' and 'motivated to enlarge their experience into novel territory’</w:t>
      </w:r>
      <w:r w:rsidDel="00000000" w:rsidR="00000000" w:rsidRPr="00000000">
        <w:rPr>
          <w:rFonts w:ascii="Times New Roman" w:cs="Times New Roman" w:eastAsia="Times New Roman" w:hAnsi="Times New Roman"/>
          <w:color w:val="231f20"/>
          <w:sz w:val="24"/>
          <w:szCs w:val="24"/>
          <w:vertAlign w:val="superscript"/>
        </w:rPr>
        <w:footnoteReference w:customMarkFollows="0" w:id="29"/>
      </w:r>
      <w:r w:rsidDel="00000000" w:rsidR="00000000" w:rsidRPr="00000000">
        <w:rPr>
          <w:rFonts w:ascii="Times New Roman" w:cs="Times New Roman" w:eastAsia="Times New Roman" w:hAnsi="Times New Roman"/>
          <w:color w:val="231f20"/>
          <w:sz w:val="24"/>
          <w:szCs w:val="24"/>
          <w:rtl w:val="0"/>
        </w:rPr>
        <w:t xml:space="preserve">. However, much more research is needed and Schroll acknowledges criticisms of psychedelic clinical studies such as this, quoting Maclean et al in saying ‘it is not possible to isolate the effects of hallucinogens [on personality] per se because of the self-selection bias that may confound results of cross-sectional studies’</w:t>
      </w:r>
      <w:r w:rsidDel="00000000" w:rsidR="00000000" w:rsidRPr="00000000">
        <w:rPr>
          <w:rFonts w:ascii="Times New Roman" w:cs="Times New Roman" w:eastAsia="Times New Roman" w:hAnsi="Times New Roman"/>
          <w:color w:val="231f20"/>
          <w:sz w:val="24"/>
          <w:szCs w:val="24"/>
          <w:vertAlign w:val="superscript"/>
        </w:rPr>
        <w:footnoteReference w:customMarkFollows="0" w:id="30"/>
      </w:r>
      <w:r w:rsidDel="00000000" w:rsidR="00000000" w:rsidRPr="00000000">
        <w:rPr>
          <w:rFonts w:ascii="Times New Roman" w:cs="Times New Roman" w:eastAsia="Times New Roman" w:hAnsi="Times New Roman"/>
          <w:color w:val="231f20"/>
          <w:sz w:val="24"/>
          <w:szCs w:val="24"/>
          <w:rtl w:val="0"/>
        </w:rPr>
        <w:t xml:space="preserve">. Whilst his </w:t>
      </w:r>
      <w:r w:rsidDel="00000000" w:rsidR="00000000" w:rsidRPr="00000000">
        <w:rPr>
          <w:rFonts w:ascii="Times New Roman" w:cs="Times New Roman" w:eastAsia="Times New Roman" w:hAnsi="Times New Roman"/>
          <w:color w:val="231f20"/>
          <w:sz w:val="24"/>
          <w:szCs w:val="24"/>
          <w:rtl w:val="0"/>
        </w:rPr>
        <w:t xml:space="preserve">advocation</w:t>
      </w:r>
      <w:r w:rsidDel="00000000" w:rsidR="00000000" w:rsidRPr="00000000">
        <w:rPr>
          <w:rFonts w:ascii="Times New Roman" w:cs="Times New Roman" w:eastAsia="Times New Roman" w:hAnsi="Times New Roman"/>
          <w:color w:val="231f20"/>
          <w:sz w:val="24"/>
          <w:szCs w:val="24"/>
          <w:rtl w:val="0"/>
        </w:rPr>
        <w:t xml:space="preserve"> for psychedelics carries weight, at least anecdotally, the current legality and stigma surrounding psychedelic drugs can be seen to hinder such a transformation of consciousness on the scale needed to bring about cross-cultural change.</w:t>
      </w:r>
    </w:p>
    <w:p w:rsidR="00000000" w:rsidDel="00000000" w:rsidP="00000000" w:rsidRDefault="00000000" w:rsidRPr="00000000" w14:paraId="000000AF">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B0">
      <w:pPr>
        <w:rPr>
          <w:rFonts w:ascii="Times New Roman" w:cs="Times New Roman" w:eastAsia="Times New Roman" w:hAnsi="Times New Roman"/>
          <w:b w:val="1"/>
          <w:color w:val="231f20"/>
          <w:sz w:val="24"/>
          <w:szCs w:val="24"/>
          <w:u w:val="single"/>
        </w:rPr>
      </w:pPr>
      <w:r w:rsidDel="00000000" w:rsidR="00000000" w:rsidRPr="00000000">
        <w:rPr>
          <w:rFonts w:ascii="Times New Roman" w:cs="Times New Roman" w:eastAsia="Times New Roman" w:hAnsi="Times New Roman"/>
          <w:color w:val="231f20"/>
          <w:sz w:val="24"/>
          <w:szCs w:val="24"/>
          <w:rtl w:val="0"/>
        </w:rPr>
        <w:t xml:space="preserve">In analysing the differing approaches to the ecological crisis by these two authors, it is worth identifying that whilst many scholars have often grouped together religious and transpersonal experiences; it is true that while some religious experiences are transpersonal, not all transpersonal experiences are religious</w:t>
      </w:r>
      <w:r w:rsidDel="00000000" w:rsidR="00000000" w:rsidRPr="00000000">
        <w:rPr>
          <w:rFonts w:ascii="Times New Roman" w:cs="Times New Roman" w:eastAsia="Times New Roman" w:hAnsi="Times New Roman"/>
          <w:color w:val="231f20"/>
          <w:sz w:val="24"/>
          <w:szCs w:val="24"/>
          <w:vertAlign w:val="superscript"/>
        </w:rPr>
        <w:footnoteReference w:customMarkFollows="0" w:id="31"/>
      </w:r>
      <w:r w:rsidDel="00000000" w:rsidR="00000000" w:rsidRPr="00000000">
        <w:rPr>
          <w:rFonts w:ascii="Times New Roman" w:cs="Times New Roman" w:eastAsia="Times New Roman" w:hAnsi="Times New Roman"/>
          <w:color w:val="231f20"/>
          <w:sz w:val="24"/>
          <w:szCs w:val="24"/>
          <w:rtl w:val="0"/>
        </w:rPr>
        <w:t xml:space="preserve">. Although both ideas have a common interest in transpersonal states and ultimately aim to seek that which is beyond the individual self, transpersonal psychology is interested in these states wherever they occur, in psychological and scientific research and interpretations devoid of religious overlays</w:t>
      </w:r>
      <w:r w:rsidDel="00000000" w:rsidR="00000000" w:rsidRPr="00000000">
        <w:rPr>
          <w:rFonts w:ascii="Times New Roman" w:cs="Times New Roman" w:eastAsia="Times New Roman" w:hAnsi="Times New Roman"/>
          <w:color w:val="231f20"/>
          <w:sz w:val="24"/>
          <w:szCs w:val="24"/>
          <w:vertAlign w:val="superscript"/>
        </w:rPr>
        <w:footnoteReference w:customMarkFollows="0" w:id="32"/>
      </w:r>
      <w:r w:rsidDel="00000000" w:rsidR="00000000" w:rsidRPr="00000000">
        <w:rPr>
          <w:rFonts w:ascii="Times New Roman" w:cs="Times New Roman" w:eastAsia="Times New Roman" w:hAnsi="Times New Roman"/>
          <w:color w:val="231f20"/>
          <w:sz w:val="24"/>
          <w:szCs w:val="24"/>
          <w:rtl w:val="0"/>
        </w:rPr>
        <w:t xml:space="preserve">. In this way, it could be argued that Schroll tackles the issues of the un-environmentally friendly worldview in a manner that is more inclusive, allowing for the coverage of a large range of experiences under the umbrella of the transpersonal. However, that is not to say that Taylor’s work is necessarily not inclusive, as he is clear in explaining that he has adopted the ‘family resemblance’ take on religion in his paper, an idea that seeks to illuminate the multifarious dimensions of religious experience and religion-resembling phenomena that some observers will not consider religious, without establishing definitively where the boundary lies between ‘religion’ and whatever is not religion</w:t>
      </w:r>
      <w:r w:rsidDel="00000000" w:rsidR="00000000" w:rsidRPr="00000000">
        <w:rPr>
          <w:rFonts w:ascii="Times New Roman" w:cs="Times New Roman" w:eastAsia="Times New Roman" w:hAnsi="Times New Roman"/>
          <w:color w:val="231f20"/>
          <w:sz w:val="24"/>
          <w:szCs w:val="24"/>
          <w:vertAlign w:val="superscript"/>
        </w:rPr>
        <w:footnoteReference w:customMarkFollows="0" w:id="33"/>
      </w:r>
      <w:r w:rsidDel="00000000" w:rsidR="00000000" w:rsidRPr="00000000">
        <w:rPr>
          <w:rFonts w:ascii="Times New Roman" w:cs="Times New Roman" w:eastAsia="Times New Roman" w:hAnsi="Times New Roman"/>
          <w:color w:val="231f20"/>
          <w:sz w:val="24"/>
          <w:szCs w:val="24"/>
          <w:rtl w:val="0"/>
        </w:rPr>
        <w:t xml:space="preserve">. Taylor has also talked about how the relationship between what we construe as ‘nature’ and ‘religion’ is complicated and deeply entwined, perhaps inseparable. He quotes Paul Tillich in this idea that </w:t>
      </w:r>
      <w:r w:rsidDel="00000000" w:rsidR="00000000" w:rsidRPr="00000000">
        <w:rPr>
          <w:rFonts w:ascii="Times New Roman" w:cs="Times New Roman" w:eastAsia="Times New Roman" w:hAnsi="Times New Roman"/>
          <w:color w:val="231f20"/>
          <w:sz w:val="24"/>
          <w:szCs w:val="24"/>
          <w:highlight w:val="white"/>
          <w:rtl w:val="0"/>
        </w:rPr>
        <w:t xml:space="preserve">there is no salvation of man if there is no salvation of nature, for man is in nature and nature is in man</w:t>
      </w:r>
      <w:r w:rsidDel="00000000" w:rsidR="00000000" w:rsidRPr="00000000">
        <w:rPr>
          <w:rFonts w:ascii="Times New Roman" w:cs="Times New Roman" w:eastAsia="Times New Roman" w:hAnsi="Times New Roman"/>
          <w:color w:val="231f20"/>
          <w:sz w:val="24"/>
          <w:szCs w:val="24"/>
          <w:highlight w:val="white"/>
          <w:vertAlign w:val="superscript"/>
        </w:rPr>
        <w:footnoteReference w:customMarkFollows="0" w:id="34"/>
      </w:r>
      <w:r w:rsidDel="00000000" w:rsidR="00000000" w:rsidRPr="00000000">
        <w:rPr>
          <w:rFonts w:ascii="Times New Roman" w:cs="Times New Roman" w:eastAsia="Times New Roman" w:hAnsi="Times New Roman"/>
          <w:color w:val="231f20"/>
          <w:sz w:val="24"/>
          <w:szCs w:val="24"/>
          <w:highlight w:val="white"/>
          <w:rtl w:val="0"/>
        </w:rPr>
        <w:t xml:space="preserve">. </w:t>
      </w:r>
      <w:r w:rsidDel="00000000" w:rsidR="00000000" w:rsidRPr="00000000">
        <w:rPr>
          <w:rFonts w:ascii="Times New Roman" w:cs="Times New Roman" w:eastAsia="Times New Roman" w:hAnsi="Times New Roman"/>
          <w:color w:val="231f20"/>
          <w:sz w:val="24"/>
          <w:szCs w:val="24"/>
          <w:rtl w:val="0"/>
        </w:rPr>
        <w:t xml:space="preserve">It is for this reason that he has used the ‘family resemblance’ approach to identify religion and similar phenomena with which people may have a similar reverence, for example, surfing or football. With this difficulty in separating the two concepts in mind, it is quite plausible to say that Schroll and Taylor are simply exploring routes to the same part of the human psyche - that which connects with something beyond the individual self. </w:t>
      </w:r>
      <w:r w:rsidDel="00000000" w:rsidR="00000000" w:rsidRPr="00000000">
        <w:rPr>
          <w:rtl w:val="0"/>
        </w:rPr>
      </w:r>
    </w:p>
    <w:p w:rsidR="00000000" w:rsidDel="00000000" w:rsidP="00000000" w:rsidRDefault="00000000" w:rsidRPr="00000000" w14:paraId="000000B1">
      <w:pPr>
        <w:rPr>
          <w:rFonts w:ascii="Times New Roman" w:cs="Times New Roman" w:eastAsia="Times New Roman" w:hAnsi="Times New Roman"/>
          <w:b w:val="1"/>
          <w:color w:val="231f20"/>
          <w:sz w:val="24"/>
          <w:szCs w:val="24"/>
          <w:u w:val="single"/>
        </w:rPr>
      </w:pPr>
      <w:r w:rsidDel="00000000" w:rsidR="00000000" w:rsidRPr="00000000">
        <w:rPr>
          <w:rtl w:val="0"/>
        </w:rPr>
      </w:r>
    </w:p>
    <w:p w:rsidR="00000000" w:rsidDel="00000000" w:rsidP="00000000" w:rsidRDefault="00000000" w:rsidRPr="00000000" w14:paraId="000000B2">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Overall, the main shared viewpoint between the two authors is that in order to tackle the ecological crisis, the majority of modern humans need to undergo a transformation of consciousness. Mark </w:t>
      </w:r>
      <w:r w:rsidDel="00000000" w:rsidR="00000000" w:rsidRPr="00000000">
        <w:rPr>
          <w:rFonts w:ascii="Times New Roman" w:cs="Times New Roman" w:eastAsia="Times New Roman" w:hAnsi="Times New Roman"/>
          <w:color w:val="231f20"/>
          <w:sz w:val="24"/>
          <w:szCs w:val="24"/>
          <w:rtl w:val="0"/>
        </w:rPr>
        <w:t xml:space="preserve">Schroll’s insight</w:t>
      </w:r>
      <w:r w:rsidDel="00000000" w:rsidR="00000000" w:rsidRPr="00000000">
        <w:rPr>
          <w:rFonts w:ascii="Times New Roman" w:cs="Times New Roman" w:eastAsia="Times New Roman" w:hAnsi="Times New Roman"/>
          <w:color w:val="231f20"/>
          <w:sz w:val="24"/>
          <w:szCs w:val="24"/>
          <w:rtl w:val="0"/>
        </w:rPr>
        <w:t xml:space="preserve"> advocates for a more individualistic perspective, beginning with self reflection and relying on an individual becoming conscious through his own intrinsic means or through tools such as psychedelic drugs. Whilst his </w:t>
      </w:r>
      <w:r w:rsidDel="00000000" w:rsidR="00000000" w:rsidRPr="00000000">
        <w:rPr>
          <w:rFonts w:ascii="Times New Roman" w:cs="Times New Roman" w:eastAsia="Times New Roman" w:hAnsi="Times New Roman"/>
          <w:color w:val="231f20"/>
          <w:sz w:val="24"/>
          <w:szCs w:val="24"/>
          <w:rtl w:val="0"/>
        </w:rPr>
        <w:t xml:space="preserve">advocation</w:t>
      </w:r>
      <w:r w:rsidDel="00000000" w:rsidR="00000000" w:rsidRPr="00000000">
        <w:rPr>
          <w:rFonts w:ascii="Times New Roman" w:cs="Times New Roman" w:eastAsia="Times New Roman" w:hAnsi="Times New Roman"/>
          <w:color w:val="231f20"/>
          <w:sz w:val="24"/>
          <w:szCs w:val="24"/>
          <w:rtl w:val="0"/>
        </w:rPr>
        <w:t xml:space="preserve"> for psychedelics carries weight, at least anecdotally, the current legality and stigma surrounding psychedelic drugs can be seen to hinder such a transformation of consciousness on the scale needed to bring about cross-cultural change. In comparison,  one argument for the greening of religion as put forth by Taylor is the idea that religion is more integrated in most cultures across the world, and as White said, ‘in the end one returns to value structures.</w:t>
      </w:r>
      <w:r w:rsidDel="00000000" w:rsidR="00000000" w:rsidRPr="00000000">
        <w:rPr>
          <w:rFonts w:ascii="Times New Roman" w:cs="Times New Roman" w:eastAsia="Times New Roman" w:hAnsi="Times New Roman"/>
          <w:color w:val="231f20"/>
          <w:sz w:val="24"/>
          <w:szCs w:val="24"/>
          <w:vertAlign w:val="superscript"/>
        </w:rPr>
        <w:footnoteReference w:customMarkFollows="0" w:id="35"/>
      </w:r>
      <w:r w:rsidDel="00000000" w:rsidR="00000000" w:rsidRPr="00000000">
        <w:rPr>
          <w:rFonts w:ascii="Times New Roman" w:cs="Times New Roman" w:eastAsia="Times New Roman" w:hAnsi="Times New Roman"/>
          <w:color w:val="231f20"/>
          <w:sz w:val="24"/>
          <w:szCs w:val="24"/>
          <w:rtl w:val="0"/>
        </w:rPr>
        <w:t xml:space="preserve">’ In this way, there exists an argument to say that organised religion could initially help to transform consciousness on a larger scale, due to the structures that are already in place. However, despite Taylor’s attempt at an inclusive approach to religion, this does not deny the thousands of years of historical context and complicated and often contradictory doctrine that ultimately inspires many different viewpoints within the same religion, begging the question of whether there is even such a thing as a ‘religious worldview’. </w:t>
      </w:r>
    </w:p>
    <w:p w:rsidR="00000000" w:rsidDel="00000000" w:rsidP="00000000" w:rsidRDefault="00000000" w:rsidRPr="00000000" w14:paraId="000000B3">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B4">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Alan Watts proposed that ‘people, whether Western or Eastern, need to be liberated and dehypnotized from their visions of symbolism and, thereby, become more intensely aware of the living vibrations of the real world’</w:t>
      </w:r>
      <w:r w:rsidDel="00000000" w:rsidR="00000000" w:rsidRPr="00000000">
        <w:rPr>
          <w:rFonts w:ascii="Times New Roman" w:cs="Times New Roman" w:eastAsia="Times New Roman" w:hAnsi="Times New Roman"/>
          <w:color w:val="231f20"/>
          <w:sz w:val="24"/>
          <w:szCs w:val="24"/>
          <w:vertAlign w:val="superscript"/>
        </w:rPr>
        <w:footnoteReference w:customMarkFollows="0" w:id="36"/>
      </w:r>
      <w:r w:rsidDel="00000000" w:rsidR="00000000" w:rsidRPr="00000000">
        <w:rPr>
          <w:rFonts w:ascii="Times New Roman" w:cs="Times New Roman" w:eastAsia="Times New Roman" w:hAnsi="Times New Roman"/>
          <w:color w:val="231f20"/>
          <w:sz w:val="24"/>
          <w:szCs w:val="24"/>
          <w:rtl w:val="0"/>
        </w:rPr>
        <w:t xml:space="preserve">. There is a possibility that this may only be achieved through moving away from the constraints of organised religion towards a deeper awareness of one’s own transpersonal psychology, which can be seen to offer an alternate psychological understanding of the spiritual essence of human nature so that an individual as well as the human race at large may achieve their greatest fulfillment. Although modern religion may be heading towards a greener, more animistic outlook, there will likely always be room for debate over the relationship between mankind and the earth as long as organised religion is involved. With this in mind, whilst religious structures may initially be helpful in influencing people’s views, more introspection and self examination may be required in order to inspire people’s actions. </w:t>
      </w:r>
    </w:p>
    <w:p w:rsidR="00000000" w:rsidDel="00000000" w:rsidP="00000000" w:rsidRDefault="00000000" w:rsidRPr="00000000" w14:paraId="000000B5">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B6">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B7">
      <w:pPr>
        <w:jc w:val="center"/>
        <w:rPr>
          <w:rFonts w:ascii="Times New Roman" w:cs="Times New Roman" w:eastAsia="Times New Roman" w:hAnsi="Times New Roman"/>
          <w:color w:val="231f20"/>
          <w:sz w:val="30"/>
          <w:szCs w:val="30"/>
        </w:rPr>
      </w:pPr>
      <w:r w:rsidDel="00000000" w:rsidR="00000000" w:rsidRPr="00000000">
        <w:rPr>
          <w:rFonts w:ascii="Times New Roman" w:cs="Times New Roman" w:eastAsia="Times New Roman" w:hAnsi="Times New Roman"/>
          <w:color w:val="231f20"/>
          <w:sz w:val="30"/>
          <w:szCs w:val="30"/>
          <w:rtl w:val="0"/>
        </w:rPr>
        <w:t xml:space="preserve">References</w:t>
      </w:r>
    </w:p>
    <w:p w:rsidR="00000000" w:rsidDel="00000000" w:rsidP="00000000" w:rsidRDefault="00000000" w:rsidRPr="00000000" w14:paraId="000000B8">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B9">
      <w:pPr>
        <w:rPr>
          <w:rFonts w:ascii="Times New Roman" w:cs="Times New Roman" w:eastAsia="Times New Roman" w:hAnsi="Times New Roman"/>
          <w:color w:val="3c78d8"/>
          <w:sz w:val="24"/>
          <w:szCs w:val="24"/>
        </w:rPr>
      </w:pPr>
      <w:r w:rsidDel="00000000" w:rsidR="00000000" w:rsidRPr="00000000">
        <w:rPr>
          <w:rtl w:val="0"/>
        </w:rPr>
      </w:r>
    </w:p>
    <w:p w:rsidR="00000000" w:rsidDel="00000000" w:rsidP="00000000" w:rsidRDefault="00000000" w:rsidRPr="00000000" w14:paraId="000000BA">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Taylor, Bron, ‘The Greening of Religion Hypothesis (Part One): From Lynn White, Jr and Claims That Religions Can Promote Environmentally Destructive Attitudes and Behaviors to Assertions They Are Becoming Environmentally Friendly’, </w:t>
      </w:r>
      <w:r w:rsidDel="00000000" w:rsidR="00000000" w:rsidRPr="00000000">
        <w:rPr>
          <w:rFonts w:ascii="Times New Roman" w:cs="Times New Roman" w:eastAsia="Times New Roman" w:hAnsi="Times New Roman"/>
          <w:i w:val="1"/>
          <w:sz w:val="24"/>
          <w:szCs w:val="24"/>
          <w:rtl w:val="0"/>
        </w:rPr>
        <w:t xml:space="preserve">Journal for the Study of Religion Nature and Culture, </w:t>
      </w:r>
      <w:r w:rsidDel="00000000" w:rsidR="00000000" w:rsidRPr="00000000">
        <w:rPr>
          <w:rFonts w:ascii="Times New Roman" w:cs="Times New Roman" w:eastAsia="Times New Roman" w:hAnsi="Times New Roman"/>
          <w:sz w:val="24"/>
          <w:szCs w:val="24"/>
          <w:rtl w:val="0"/>
        </w:rPr>
        <w:t xml:space="preserve">(2016), 268-298</w:t>
      </w:r>
      <w:r w:rsidDel="00000000" w:rsidR="00000000" w:rsidRPr="00000000">
        <w:rPr>
          <w:rtl w:val="0"/>
        </w:rPr>
      </w:r>
    </w:p>
    <w:p w:rsidR="00000000" w:rsidDel="00000000" w:rsidP="00000000" w:rsidRDefault="00000000" w:rsidRPr="00000000" w14:paraId="000000BB">
      <w:pPr>
        <w:rPr>
          <w:rFonts w:ascii="Times New Roman" w:cs="Times New Roman" w:eastAsia="Times New Roman" w:hAnsi="Times New Roman"/>
          <w:color w:val="3c78d8"/>
          <w:sz w:val="24"/>
          <w:szCs w:val="24"/>
        </w:rPr>
      </w:pPr>
      <w:r w:rsidDel="00000000" w:rsidR="00000000" w:rsidRPr="00000000">
        <w:rPr>
          <w:rtl w:val="0"/>
        </w:rPr>
      </w:r>
    </w:p>
    <w:p w:rsidR="00000000" w:rsidDel="00000000" w:rsidP="00000000" w:rsidRDefault="00000000" w:rsidRPr="00000000" w14:paraId="000000BC">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D">
      <w:pPr>
        <w:spacing w:line="240" w:lineRule="auto"/>
        <w:rPr>
          <w:rFonts w:ascii="Times New Roman" w:cs="Times New Roman" w:eastAsia="Times New Roman" w:hAnsi="Times New Roman"/>
          <w:color w:val="3c78d8"/>
          <w:sz w:val="24"/>
          <w:szCs w:val="24"/>
        </w:rPr>
      </w:pPr>
      <w:r w:rsidDel="00000000" w:rsidR="00000000" w:rsidRPr="00000000">
        <w:rPr>
          <w:rFonts w:ascii="Times New Roman" w:cs="Times New Roman" w:eastAsia="Times New Roman" w:hAnsi="Times New Roman"/>
          <w:sz w:val="24"/>
          <w:szCs w:val="24"/>
          <w:rtl w:val="0"/>
        </w:rPr>
        <w:t xml:space="preserve">Schroll, Mark, ‘From Ecopsychology to Transpersonal Ecosophy: Shamanism, Psychedelics and Transpersonal Psychology’,</w:t>
      </w:r>
      <w:r w:rsidDel="00000000" w:rsidR="00000000" w:rsidRPr="00000000">
        <w:rPr>
          <w:rFonts w:ascii="Times New Roman" w:cs="Times New Roman" w:eastAsia="Times New Roman" w:hAnsi="Times New Roman"/>
          <w:i w:val="1"/>
          <w:sz w:val="24"/>
          <w:szCs w:val="24"/>
          <w:rtl w:val="0"/>
        </w:rPr>
        <w:t xml:space="preserve"> European Journal of Ecopsychology 4: 116-144</w:t>
      </w:r>
      <w:r w:rsidDel="00000000" w:rsidR="00000000" w:rsidRPr="00000000">
        <w:rPr>
          <w:rFonts w:ascii="Times New Roman" w:cs="Times New Roman" w:eastAsia="Times New Roman" w:hAnsi="Times New Roman"/>
          <w:sz w:val="24"/>
          <w:szCs w:val="24"/>
          <w:rtl w:val="0"/>
        </w:rPr>
        <w:t xml:space="preserve">, (2013), 1-17</w:t>
      </w:r>
      <w:r w:rsidDel="00000000" w:rsidR="00000000" w:rsidRPr="00000000">
        <w:rPr>
          <w:rtl w:val="0"/>
        </w:rPr>
      </w:r>
    </w:p>
    <w:p w:rsidR="00000000" w:rsidDel="00000000" w:rsidP="00000000" w:rsidRDefault="00000000" w:rsidRPr="00000000" w14:paraId="000000BE">
      <w:pPr>
        <w:spacing w:line="24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B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0">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1">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Stoll, Mark, ‘Review Essay: The Quest for Green Religion’, </w:t>
      </w:r>
      <w:r w:rsidDel="00000000" w:rsidR="00000000" w:rsidRPr="00000000">
        <w:rPr>
          <w:rFonts w:ascii="Times New Roman" w:cs="Times New Roman" w:eastAsia="Times New Roman" w:hAnsi="Times New Roman"/>
          <w:i w:val="1"/>
          <w:sz w:val="24"/>
          <w:szCs w:val="24"/>
          <w:highlight w:val="white"/>
          <w:rtl w:val="0"/>
        </w:rPr>
        <w:t xml:space="preserve">Religion and American Culture: A Journal of Interpretation, </w:t>
      </w:r>
      <w:r w:rsidDel="00000000" w:rsidR="00000000" w:rsidRPr="00000000">
        <w:rPr>
          <w:rFonts w:ascii="Times New Roman" w:cs="Times New Roman" w:eastAsia="Times New Roman" w:hAnsi="Times New Roman"/>
          <w:sz w:val="24"/>
          <w:szCs w:val="24"/>
          <w:highlight w:val="white"/>
          <w:rtl w:val="0"/>
        </w:rPr>
        <w:t xml:space="preserve">Vol. 22, No. 2, (2012), pp. 265-274</w:t>
      </w:r>
    </w:p>
    <w:p w:rsidR="00000000" w:rsidDel="00000000" w:rsidP="00000000" w:rsidRDefault="00000000" w:rsidRPr="00000000" w14:paraId="000000C2">
      <w:pPr>
        <w:spacing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C3">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4">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5">
      <w:pPr>
        <w:spacing w:line="240" w:lineRule="auto"/>
        <w:rPr>
          <w:rFonts w:ascii="Times New Roman" w:cs="Times New Roman" w:eastAsia="Times New Roman" w:hAnsi="Times New Roman"/>
          <w:color w:val="3c78d8"/>
          <w:sz w:val="28"/>
          <w:szCs w:val="28"/>
        </w:rPr>
      </w:pPr>
      <w:r w:rsidDel="00000000" w:rsidR="00000000" w:rsidRPr="00000000">
        <w:rPr>
          <w:rFonts w:ascii="Times New Roman" w:cs="Times New Roman" w:eastAsia="Times New Roman" w:hAnsi="Times New Roman"/>
          <w:sz w:val="24"/>
          <w:szCs w:val="24"/>
          <w:rtl w:val="0"/>
        </w:rPr>
        <w:t xml:space="preserve">Cunningham, Paul, </w:t>
      </w:r>
      <w:r w:rsidDel="00000000" w:rsidR="00000000" w:rsidRPr="00000000">
        <w:rPr>
          <w:rFonts w:ascii="Times New Roman" w:cs="Times New Roman" w:eastAsia="Times New Roman" w:hAnsi="Times New Roman"/>
          <w:color w:val="111111"/>
          <w:sz w:val="24"/>
          <w:szCs w:val="24"/>
          <w:rtl w:val="0"/>
        </w:rPr>
        <w:t xml:space="preserve">Transpersonal Psychology: An Original Approach to Religious Issues, </w:t>
      </w:r>
      <w:r w:rsidDel="00000000" w:rsidR="00000000" w:rsidRPr="00000000">
        <w:rPr>
          <w:rFonts w:ascii="Times New Roman" w:cs="Times New Roman" w:eastAsia="Times New Roman" w:hAnsi="Times New Roman"/>
          <w:i w:val="1"/>
          <w:color w:val="111111"/>
          <w:sz w:val="24"/>
          <w:szCs w:val="24"/>
          <w:rtl w:val="0"/>
        </w:rPr>
        <w:t xml:space="preserve">Textbook of Transpersonal Psychology, </w:t>
      </w:r>
      <w:r w:rsidDel="00000000" w:rsidR="00000000" w:rsidRPr="00000000">
        <w:rPr>
          <w:rFonts w:ascii="Times New Roman" w:cs="Times New Roman" w:eastAsia="Times New Roman" w:hAnsi="Times New Roman"/>
          <w:color w:val="111111"/>
          <w:sz w:val="24"/>
          <w:szCs w:val="24"/>
          <w:rtl w:val="0"/>
        </w:rPr>
        <w:t xml:space="preserve">1-35</w:t>
      </w:r>
      <w:r w:rsidDel="00000000" w:rsidR="00000000" w:rsidRPr="00000000">
        <w:rPr>
          <w:rtl w:val="0"/>
        </w:rPr>
      </w:r>
    </w:p>
    <w:p w:rsidR="00000000" w:rsidDel="00000000" w:rsidP="00000000" w:rsidRDefault="00000000" w:rsidRPr="00000000" w14:paraId="000000C6">
      <w:pPr>
        <w:rPr>
          <w:rFonts w:ascii="Times New Roman" w:cs="Times New Roman" w:eastAsia="Times New Roman" w:hAnsi="Times New Roman"/>
          <w:color w:val="3c78d8"/>
          <w:sz w:val="24"/>
          <w:szCs w:val="24"/>
        </w:rPr>
      </w:pPr>
      <w:r w:rsidDel="00000000" w:rsidR="00000000" w:rsidRPr="00000000">
        <w:rPr>
          <w:rtl w:val="0"/>
        </w:rPr>
      </w:r>
    </w:p>
    <w:p w:rsidR="00000000" w:rsidDel="00000000" w:rsidP="00000000" w:rsidRDefault="00000000" w:rsidRPr="00000000" w14:paraId="000000C7">
      <w:pPr>
        <w:rPr>
          <w:rFonts w:ascii="Times New Roman" w:cs="Times New Roman" w:eastAsia="Times New Roman" w:hAnsi="Times New Roman"/>
          <w:color w:val="3c78d8"/>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Trebuchet MS"/>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C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Bron Taylor, ‘The Greening of Religion Hypothesis (Part One): From Lynn White, Jr and Claims That Religions Can Promote Environmentally Destructive Attitudes and Behaviors to Assertions They Are Becoming Environmentally Friendly’, </w:t>
      </w:r>
      <w:r w:rsidDel="00000000" w:rsidR="00000000" w:rsidRPr="00000000">
        <w:rPr>
          <w:rFonts w:ascii="Times New Roman" w:cs="Times New Roman" w:eastAsia="Times New Roman" w:hAnsi="Times New Roman"/>
          <w:i w:val="1"/>
          <w:sz w:val="20"/>
          <w:szCs w:val="20"/>
          <w:rtl w:val="0"/>
        </w:rPr>
        <w:t xml:space="preserve">Journal for the Study of Religion Nature and Culture, </w:t>
      </w:r>
      <w:r w:rsidDel="00000000" w:rsidR="00000000" w:rsidRPr="00000000">
        <w:rPr>
          <w:rFonts w:ascii="Times New Roman" w:cs="Times New Roman" w:eastAsia="Times New Roman" w:hAnsi="Times New Roman"/>
          <w:sz w:val="20"/>
          <w:szCs w:val="20"/>
          <w:rtl w:val="0"/>
        </w:rPr>
        <w:t xml:space="preserve">(2016), 268-298, (p.269)</w:t>
      </w:r>
    </w:p>
  </w:footnote>
  <w:footnote w:id="1">
    <w:p w:rsidR="00000000" w:rsidDel="00000000" w:rsidP="00000000" w:rsidRDefault="00000000" w:rsidRPr="00000000" w14:paraId="000000C9">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Ibid. p. 286</w:t>
      </w:r>
    </w:p>
  </w:footnote>
  <w:footnote w:id="2">
    <w:p w:rsidR="00000000" w:rsidDel="00000000" w:rsidP="00000000" w:rsidRDefault="00000000" w:rsidRPr="00000000" w14:paraId="000000CA">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Mark Schroll, From Ecopsychology to Transpersonal Ecosophy: Shamanism, Psychedelics and Transpersonal Psychology, European Journal of Ecopsychology 4: 116-144, (2013), 1-17, p.1</w:t>
      </w:r>
    </w:p>
  </w:footnote>
  <w:footnote w:id="3">
    <w:p w:rsidR="00000000" w:rsidDel="00000000" w:rsidP="00000000" w:rsidRDefault="00000000" w:rsidRPr="00000000" w14:paraId="000000CB">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Taylor, ‘The Greening of Religion Hypothesis’, p.270</w:t>
      </w:r>
    </w:p>
  </w:footnote>
  <w:footnote w:id="4">
    <w:p w:rsidR="00000000" w:rsidDel="00000000" w:rsidP="00000000" w:rsidRDefault="00000000" w:rsidRPr="00000000" w14:paraId="000000CC">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Ibid, p.270</w:t>
      </w:r>
    </w:p>
  </w:footnote>
  <w:footnote w:id="5">
    <w:p w:rsidR="00000000" w:rsidDel="00000000" w:rsidP="00000000" w:rsidRDefault="00000000" w:rsidRPr="00000000" w14:paraId="000000CD">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Ibid, p.270</w:t>
      </w:r>
    </w:p>
  </w:footnote>
  <w:footnote w:id="6">
    <w:p w:rsidR="00000000" w:rsidDel="00000000" w:rsidP="00000000" w:rsidRDefault="00000000" w:rsidRPr="00000000" w14:paraId="000000CE">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Ibid, p.271</w:t>
      </w:r>
    </w:p>
  </w:footnote>
  <w:footnote w:id="7">
    <w:p w:rsidR="00000000" w:rsidDel="00000000" w:rsidP="00000000" w:rsidRDefault="00000000" w:rsidRPr="00000000" w14:paraId="000000CF">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Ibid, p.271</w:t>
      </w:r>
    </w:p>
  </w:footnote>
  <w:footnote w:id="8">
    <w:p w:rsidR="00000000" w:rsidDel="00000000" w:rsidP="00000000" w:rsidRDefault="00000000" w:rsidRPr="00000000" w14:paraId="000000D0">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Ibid, p.271</w:t>
      </w:r>
    </w:p>
  </w:footnote>
  <w:footnote w:id="9">
    <w:p w:rsidR="00000000" w:rsidDel="00000000" w:rsidP="00000000" w:rsidRDefault="00000000" w:rsidRPr="00000000" w14:paraId="000000D1">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Mark Stoll, Review Essay: The Quest for Green Religion, </w:t>
      </w:r>
      <w:r w:rsidDel="00000000" w:rsidR="00000000" w:rsidRPr="00000000">
        <w:rPr>
          <w:rFonts w:ascii="Times New Roman" w:cs="Times New Roman" w:eastAsia="Times New Roman" w:hAnsi="Times New Roman"/>
          <w:i w:val="1"/>
          <w:sz w:val="20"/>
          <w:szCs w:val="20"/>
          <w:highlight w:val="white"/>
          <w:rtl w:val="0"/>
        </w:rPr>
        <w:t xml:space="preserve">Religion and American Culture: A Journal of Interpretation, </w:t>
      </w:r>
      <w:r w:rsidDel="00000000" w:rsidR="00000000" w:rsidRPr="00000000">
        <w:rPr>
          <w:rFonts w:ascii="Times New Roman" w:cs="Times New Roman" w:eastAsia="Times New Roman" w:hAnsi="Times New Roman"/>
          <w:sz w:val="20"/>
          <w:szCs w:val="20"/>
          <w:highlight w:val="white"/>
          <w:rtl w:val="0"/>
        </w:rPr>
        <w:t xml:space="preserve">Vol. 22, No. 2, (2012), pp. 265-274, p.268 </w:t>
      </w:r>
      <w:r w:rsidDel="00000000" w:rsidR="00000000" w:rsidRPr="00000000">
        <w:rPr>
          <w:rtl w:val="0"/>
        </w:rPr>
      </w:r>
    </w:p>
  </w:footnote>
  <w:footnote w:id="10">
    <w:p w:rsidR="00000000" w:rsidDel="00000000" w:rsidP="00000000" w:rsidRDefault="00000000" w:rsidRPr="00000000" w14:paraId="000000D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Taylor, ‘The Greening of Religion Hypothesis’, p.274</w:t>
      </w:r>
      <w:r w:rsidDel="00000000" w:rsidR="00000000" w:rsidRPr="00000000">
        <w:rPr>
          <w:rtl w:val="0"/>
        </w:rPr>
      </w:r>
    </w:p>
  </w:footnote>
  <w:footnote w:id="11">
    <w:p w:rsidR="00000000" w:rsidDel="00000000" w:rsidP="00000000" w:rsidRDefault="00000000" w:rsidRPr="00000000" w14:paraId="000000D3">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Ibid, p.290</w:t>
      </w:r>
    </w:p>
  </w:footnote>
  <w:footnote w:id="12">
    <w:p w:rsidR="00000000" w:rsidDel="00000000" w:rsidP="00000000" w:rsidRDefault="00000000" w:rsidRPr="00000000" w14:paraId="000000D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p.271</w:t>
      </w:r>
      <w:r w:rsidDel="00000000" w:rsidR="00000000" w:rsidRPr="00000000">
        <w:rPr>
          <w:rtl w:val="0"/>
        </w:rPr>
      </w:r>
    </w:p>
  </w:footnote>
  <w:footnote w:id="13">
    <w:p w:rsidR="00000000" w:rsidDel="00000000" w:rsidP="00000000" w:rsidRDefault="00000000" w:rsidRPr="00000000" w14:paraId="000000D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p.271</w:t>
      </w:r>
      <w:r w:rsidDel="00000000" w:rsidR="00000000" w:rsidRPr="00000000">
        <w:rPr>
          <w:rtl w:val="0"/>
        </w:rPr>
      </w:r>
    </w:p>
  </w:footnote>
  <w:footnote w:id="14">
    <w:p w:rsidR="00000000" w:rsidDel="00000000" w:rsidP="00000000" w:rsidRDefault="00000000" w:rsidRPr="00000000" w14:paraId="000000D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p.274</w:t>
      </w:r>
      <w:r w:rsidDel="00000000" w:rsidR="00000000" w:rsidRPr="00000000">
        <w:rPr>
          <w:rtl w:val="0"/>
        </w:rPr>
      </w:r>
    </w:p>
  </w:footnote>
  <w:footnote w:id="15">
    <w:p w:rsidR="00000000" w:rsidDel="00000000" w:rsidP="00000000" w:rsidRDefault="00000000" w:rsidRPr="00000000" w14:paraId="000000D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p.288</w:t>
      </w:r>
      <w:r w:rsidDel="00000000" w:rsidR="00000000" w:rsidRPr="00000000">
        <w:rPr>
          <w:rtl w:val="0"/>
        </w:rPr>
      </w:r>
    </w:p>
  </w:footnote>
  <w:footnote w:id="16">
    <w:p w:rsidR="00000000" w:rsidDel="00000000" w:rsidP="00000000" w:rsidRDefault="00000000" w:rsidRPr="00000000" w14:paraId="000000D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Schroll</w:t>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 From Ecopsychology to Transpersonal Ecosophy’, p.7</w:t>
      </w:r>
      <w:r w:rsidDel="00000000" w:rsidR="00000000" w:rsidRPr="00000000">
        <w:rPr>
          <w:rtl w:val="0"/>
        </w:rPr>
      </w:r>
    </w:p>
  </w:footnote>
  <w:footnote w:id="17">
    <w:p w:rsidR="00000000" w:rsidDel="00000000" w:rsidP="00000000" w:rsidRDefault="00000000" w:rsidRPr="00000000" w14:paraId="000000D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p.7</w:t>
      </w:r>
      <w:r w:rsidDel="00000000" w:rsidR="00000000" w:rsidRPr="00000000">
        <w:rPr>
          <w:rtl w:val="0"/>
        </w:rPr>
      </w:r>
    </w:p>
  </w:footnote>
  <w:footnote w:id="18">
    <w:p w:rsidR="00000000" w:rsidDel="00000000" w:rsidP="00000000" w:rsidRDefault="00000000" w:rsidRPr="00000000" w14:paraId="000000D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p.10</w:t>
      </w:r>
      <w:r w:rsidDel="00000000" w:rsidR="00000000" w:rsidRPr="00000000">
        <w:rPr>
          <w:rtl w:val="0"/>
        </w:rPr>
      </w:r>
    </w:p>
  </w:footnote>
  <w:footnote w:id="19">
    <w:p w:rsidR="00000000" w:rsidDel="00000000" w:rsidP="00000000" w:rsidRDefault="00000000" w:rsidRPr="00000000" w14:paraId="000000D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p.10</w:t>
      </w:r>
      <w:r w:rsidDel="00000000" w:rsidR="00000000" w:rsidRPr="00000000">
        <w:rPr>
          <w:rtl w:val="0"/>
        </w:rPr>
      </w:r>
    </w:p>
  </w:footnote>
  <w:footnote w:id="20">
    <w:p w:rsidR="00000000" w:rsidDel="00000000" w:rsidP="00000000" w:rsidRDefault="00000000" w:rsidRPr="00000000" w14:paraId="000000DC">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p.10</w:t>
      </w:r>
    </w:p>
  </w:footnote>
  <w:footnote w:id="21">
    <w:p w:rsidR="00000000" w:rsidDel="00000000" w:rsidP="00000000" w:rsidRDefault="00000000" w:rsidRPr="00000000" w14:paraId="000000D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p.10</w:t>
      </w:r>
      <w:r w:rsidDel="00000000" w:rsidR="00000000" w:rsidRPr="00000000">
        <w:rPr>
          <w:rtl w:val="0"/>
        </w:rPr>
      </w:r>
    </w:p>
  </w:footnote>
  <w:footnote w:id="22">
    <w:p w:rsidR="00000000" w:rsidDel="00000000" w:rsidP="00000000" w:rsidRDefault="00000000" w:rsidRPr="00000000" w14:paraId="000000D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p.11</w:t>
      </w:r>
      <w:r w:rsidDel="00000000" w:rsidR="00000000" w:rsidRPr="00000000">
        <w:rPr>
          <w:rtl w:val="0"/>
        </w:rPr>
      </w:r>
    </w:p>
  </w:footnote>
  <w:footnote w:id="23">
    <w:p w:rsidR="00000000" w:rsidDel="00000000" w:rsidP="00000000" w:rsidRDefault="00000000" w:rsidRPr="00000000" w14:paraId="000000D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p.11</w:t>
      </w:r>
      <w:r w:rsidDel="00000000" w:rsidR="00000000" w:rsidRPr="00000000">
        <w:rPr>
          <w:rtl w:val="0"/>
        </w:rPr>
      </w:r>
    </w:p>
  </w:footnote>
  <w:footnote w:id="24">
    <w:p w:rsidR="00000000" w:rsidDel="00000000" w:rsidP="00000000" w:rsidRDefault="00000000" w:rsidRPr="00000000" w14:paraId="000000E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p.8</w:t>
      </w:r>
      <w:r w:rsidDel="00000000" w:rsidR="00000000" w:rsidRPr="00000000">
        <w:rPr>
          <w:rtl w:val="0"/>
        </w:rPr>
      </w:r>
    </w:p>
  </w:footnote>
  <w:footnote w:id="25">
    <w:p w:rsidR="00000000" w:rsidDel="00000000" w:rsidP="00000000" w:rsidRDefault="00000000" w:rsidRPr="00000000" w14:paraId="000000E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p.4</w:t>
      </w:r>
      <w:r w:rsidDel="00000000" w:rsidR="00000000" w:rsidRPr="00000000">
        <w:rPr>
          <w:rtl w:val="0"/>
        </w:rPr>
      </w:r>
    </w:p>
  </w:footnote>
  <w:footnote w:id="26">
    <w:p w:rsidR="00000000" w:rsidDel="00000000" w:rsidP="00000000" w:rsidRDefault="00000000" w:rsidRPr="00000000" w14:paraId="000000E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p.4</w:t>
      </w:r>
      <w:r w:rsidDel="00000000" w:rsidR="00000000" w:rsidRPr="00000000">
        <w:rPr>
          <w:rtl w:val="0"/>
        </w:rPr>
      </w:r>
    </w:p>
  </w:footnote>
  <w:footnote w:id="27">
    <w:p w:rsidR="00000000" w:rsidDel="00000000" w:rsidP="00000000" w:rsidRDefault="00000000" w:rsidRPr="00000000" w14:paraId="000000E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p.4</w:t>
      </w:r>
      <w:r w:rsidDel="00000000" w:rsidR="00000000" w:rsidRPr="00000000">
        <w:rPr>
          <w:rtl w:val="0"/>
        </w:rPr>
      </w:r>
    </w:p>
  </w:footnote>
  <w:footnote w:id="28">
    <w:p w:rsidR="00000000" w:rsidDel="00000000" w:rsidP="00000000" w:rsidRDefault="00000000" w:rsidRPr="00000000" w14:paraId="000000E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p.3</w:t>
      </w:r>
      <w:r w:rsidDel="00000000" w:rsidR="00000000" w:rsidRPr="00000000">
        <w:rPr>
          <w:rtl w:val="0"/>
        </w:rPr>
      </w:r>
    </w:p>
  </w:footnote>
  <w:footnote w:id="29">
    <w:p w:rsidR="00000000" w:rsidDel="00000000" w:rsidP="00000000" w:rsidRDefault="00000000" w:rsidRPr="00000000" w14:paraId="000000E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p.3</w:t>
      </w:r>
      <w:r w:rsidDel="00000000" w:rsidR="00000000" w:rsidRPr="00000000">
        <w:rPr>
          <w:rtl w:val="0"/>
        </w:rPr>
      </w:r>
    </w:p>
  </w:footnote>
  <w:footnote w:id="30">
    <w:p w:rsidR="00000000" w:rsidDel="00000000" w:rsidP="00000000" w:rsidRDefault="00000000" w:rsidRPr="00000000" w14:paraId="000000E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p.3</w:t>
      </w:r>
      <w:r w:rsidDel="00000000" w:rsidR="00000000" w:rsidRPr="00000000">
        <w:rPr>
          <w:rtl w:val="0"/>
        </w:rPr>
      </w:r>
    </w:p>
  </w:footnote>
  <w:footnote w:id="31">
    <w:p w:rsidR="00000000" w:rsidDel="00000000" w:rsidP="00000000" w:rsidRDefault="00000000" w:rsidRPr="00000000" w14:paraId="000000E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Paul Francis Cunningham, </w:t>
      </w:r>
      <w:r w:rsidDel="00000000" w:rsidR="00000000" w:rsidRPr="00000000">
        <w:rPr>
          <w:rFonts w:ascii="Times New Roman" w:cs="Times New Roman" w:eastAsia="Times New Roman" w:hAnsi="Times New Roman"/>
          <w:color w:val="111111"/>
          <w:sz w:val="20"/>
          <w:szCs w:val="20"/>
          <w:rtl w:val="0"/>
        </w:rPr>
        <w:t xml:space="preserve">Transpersonal Psychology: An Original Approach to Religious Issues, </w:t>
      </w:r>
      <w:r w:rsidDel="00000000" w:rsidR="00000000" w:rsidRPr="00000000">
        <w:rPr>
          <w:rFonts w:ascii="Times New Roman" w:cs="Times New Roman" w:eastAsia="Times New Roman" w:hAnsi="Times New Roman"/>
          <w:i w:val="1"/>
          <w:color w:val="111111"/>
          <w:sz w:val="20"/>
          <w:szCs w:val="20"/>
          <w:rtl w:val="0"/>
        </w:rPr>
        <w:t xml:space="preserve">Textbook of Transpersonal Psychology, </w:t>
      </w:r>
      <w:r w:rsidDel="00000000" w:rsidR="00000000" w:rsidRPr="00000000">
        <w:rPr>
          <w:rFonts w:ascii="Times New Roman" w:cs="Times New Roman" w:eastAsia="Times New Roman" w:hAnsi="Times New Roman"/>
          <w:color w:val="111111"/>
          <w:sz w:val="20"/>
          <w:szCs w:val="20"/>
          <w:rtl w:val="0"/>
        </w:rPr>
        <w:t xml:space="preserve">1-35, p.5</w:t>
      </w:r>
      <w:r w:rsidDel="00000000" w:rsidR="00000000" w:rsidRPr="00000000">
        <w:rPr>
          <w:rtl w:val="0"/>
        </w:rPr>
      </w:r>
    </w:p>
  </w:footnote>
  <w:footnote w:id="32">
    <w:p w:rsidR="00000000" w:rsidDel="00000000" w:rsidP="00000000" w:rsidRDefault="00000000" w:rsidRPr="00000000" w14:paraId="000000E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p.7</w:t>
      </w:r>
      <w:r w:rsidDel="00000000" w:rsidR="00000000" w:rsidRPr="00000000">
        <w:rPr>
          <w:rtl w:val="0"/>
        </w:rPr>
      </w:r>
    </w:p>
  </w:footnote>
  <w:footnote w:id="33">
    <w:p w:rsidR="00000000" w:rsidDel="00000000" w:rsidP="00000000" w:rsidRDefault="00000000" w:rsidRPr="00000000" w14:paraId="000000E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Taylor, ‘The Greening of Religion Hypothesis’, p.275</w:t>
      </w:r>
      <w:r w:rsidDel="00000000" w:rsidR="00000000" w:rsidRPr="00000000">
        <w:rPr>
          <w:rtl w:val="0"/>
        </w:rPr>
      </w:r>
    </w:p>
  </w:footnote>
  <w:footnote w:id="34">
    <w:p w:rsidR="00000000" w:rsidDel="00000000" w:rsidP="00000000" w:rsidRDefault="00000000" w:rsidRPr="00000000" w14:paraId="000000EA">
      <w:pPr>
        <w:spacing w:line="240" w:lineRule="auto"/>
        <w:rPr>
          <w:rFonts w:ascii="Times New Roman" w:cs="Times New Roman" w:eastAsia="Times New Roman" w:hAnsi="Times New Roman"/>
          <w:i w:val="1"/>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Bron Taylor, </w:t>
      </w:r>
      <w:r w:rsidDel="00000000" w:rsidR="00000000" w:rsidRPr="00000000">
        <w:rPr>
          <w:rFonts w:ascii="Times New Roman" w:cs="Times New Roman" w:eastAsia="Times New Roman" w:hAnsi="Times New Roman"/>
          <w:i w:val="1"/>
          <w:sz w:val="20"/>
          <w:szCs w:val="20"/>
          <w:rtl w:val="0"/>
        </w:rPr>
        <w:t xml:space="preserve">To The Best of Our Knowledge [podcast], (2010)</w:t>
      </w:r>
    </w:p>
  </w:footnote>
  <w:footnote w:id="35">
    <w:p w:rsidR="00000000" w:rsidDel="00000000" w:rsidP="00000000" w:rsidRDefault="00000000" w:rsidRPr="00000000" w14:paraId="000000E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Taylor, ‘The Greening of Religion Hypothesis’, p.296</w:t>
      </w:r>
      <w:r w:rsidDel="00000000" w:rsidR="00000000" w:rsidRPr="00000000">
        <w:rPr>
          <w:rtl w:val="0"/>
        </w:rPr>
      </w:r>
    </w:p>
  </w:footnote>
  <w:footnote w:id="36">
    <w:p w:rsidR="00000000" w:rsidDel="00000000" w:rsidP="00000000" w:rsidRDefault="00000000" w:rsidRPr="00000000" w14:paraId="000000E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Schroll</w:t>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 From Ecopsychology to Transpersonal Ecosophy’, p.8</w:t>
      </w:r>
      <w:r w:rsidDel="00000000" w:rsidR="00000000" w:rsidRPr="00000000">
        <w:rPr>
          <w:rtl w:val="0"/>
        </w:rPr>
      </w:r>
    </w:p>
    <w:p w:rsidR="00000000" w:rsidDel="00000000" w:rsidP="00000000" w:rsidRDefault="00000000" w:rsidRPr="00000000" w14:paraId="000000ED">
      <w:pPr>
        <w:spacing w:line="240" w:lineRule="auto"/>
        <w:rPr>
          <w:sz w:val="20"/>
          <w:szCs w:val="20"/>
        </w:rPr>
      </w:pP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