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61BAF" w14:textId="77777777" w:rsidR="006106D8" w:rsidRDefault="00000000">
      <w:pPr>
        <w:spacing w:after="0" w:line="1079" w:lineRule="auto"/>
        <w:ind w:left="0" w:right="9304" w:firstLine="0"/>
        <w:jc w:val="left"/>
      </w:pPr>
      <w:r>
        <w:rPr>
          <w:noProof/>
        </w:rPr>
        <w:drawing>
          <wp:anchor distT="0" distB="0" distL="114300" distR="114300" simplePos="0" relativeHeight="251658240" behindDoc="0" locked="0" layoutInCell="1" allowOverlap="0" wp14:anchorId="1AF9669D" wp14:editId="6CE2594B">
            <wp:simplePos x="0" y="0"/>
            <wp:positionH relativeFrom="column">
              <wp:posOffset>18732</wp:posOffset>
            </wp:positionH>
            <wp:positionV relativeFrom="paragraph">
              <wp:posOffset>81995</wp:posOffset>
            </wp:positionV>
            <wp:extent cx="1651508" cy="566420"/>
            <wp:effectExtent l="0" t="0" r="0" b="0"/>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stretch>
                      <a:fillRect/>
                    </a:stretch>
                  </pic:blipFill>
                  <pic:spPr>
                    <a:xfrm>
                      <a:off x="0" y="0"/>
                      <a:ext cx="1651508" cy="566420"/>
                    </a:xfrm>
                    <a:prstGeom prst="rect">
                      <a:avLst/>
                    </a:prstGeom>
                  </pic:spPr>
                </pic:pic>
              </a:graphicData>
            </a:graphic>
          </wp:anchor>
        </w:drawing>
      </w:r>
      <w:r>
        <w:rPr>
          <w:b/>
        </w:rPr>
        <w:t xml:space="preserve">  </w:t>
      </w:r>
    </w:p>
    <w:p w14:paraId="1BF100B0" w14:textId="77777777" w:rsidR="006106D8" w:rsidRDefault="00000000">
      <w:pPr>
        <w:spacing w:after="117" w:line="259" w:lineRule="auto"/>
        <w:ind w:left="0" w:right="0" w:firstLine="0"/>
        <w:jc w:val="left"/>
      </w:pPr>
      <w:r>
        <w:rPr>
          <w:b/>
        </w:rPr>
        <w:t xml:space="preserve"> </w:t>
      </w:r>
    </w:p>
    <w:p w14:paraId="07B419F0" w14:textId="08272DA4" w:rsidR="006106D8" w:rsidRDefault="00000000">
      <w:pPr>
        <w:spacing w:after="117" w:line="259" w:lineRule="auto"/>
        <w:ind w:right="13"/>
        <w:jc w:val="center"/>
      </w:pPr>
      <w:r>
        <w:rPr>
          <w:b/>
        </w:rPr>
        <w:t xml:space="preserve">Student name: </w:t>
      </w:r>
      <w:r w:rsidR="00B66EFA">
        <w:rPr>
          <w:b/>
        </w:rPr>
        <w:t>Nadejda Ducantoni</w:t>
      </w:r>
    </w:p>
    <w:p w14:paraId="2353AFEE" w14:textId="7B292569" w:rsidR="006106D8" w:rsidRDefault="00000000">
      <w:pPr>
        <w:spacing w:after="117" w:line="259" w:lineRule="auto"/>
        <w:ind w:right="14"/>
        <w:jc w:val="center"/>
      </w:pPr>
      <w:r>
        <w:rPr>
          <w:b/>
        </w:rPr>
        <w:t xml:space="preserve">Student ID number: </w:t>
      </w:r>
      <w:r w:rsidR="00B66EFA">
        <w:rPr>
          <w:b/>
        </w:rPr>
        <w:t>2531000</w:t>
      </w:r>
    </w:p>
    <w:p w14:paraId="5C910996" w14:textId="41A5A87E" w:rsidR="006106D8" w:rsidRDefault="00000000">
      <w:pPr>
        <w:spacing w:after="112" w:line="259" w:lineRule="auto"/>
        <w:ind w:left="0" w:right="19" w:firstLine="0"/>
        <w:jc w:val="center"/>
      </w:pPr>
      <w:r>
        <w:rPr>
          <w:b/>
        </w:rPr>
        <w:t xml:space="preserve">Lecturer’s Name: </w:t>
      </w:r>
      <w:r w:rsidR="00B66EFA">
        <w:rPr>
          <w:b/>
        </w:rPr>
        <w:t>Sam Parker</w:t>
      </w:r>
      <w:r>
        <w:rPr>
          <w:b/>
        </w:rPr>
        <w:t xml:space="preserve"> </w:t>
      </w:r>
    </w:p>
    <w:p w14:paraId="4329AE50" w14:textId="77777777" w:rsidR="006106D8" w:rsidRDefault="00000000">
      <w:pPr>
        <w:spacing w:after="117" w:line="259" w:lineRule="auto"/>
        <w:ind w:left="0" w:right="256" w:firstLine="0"/>
        <w:jc w:val="right"/>
      </w:pPr>
      <w:r>
        <w:rPr>
          <w:b/>
        </w:rPr>
        <w:t xml:space="preserve">Certificate of Higher Education Skills for the Workplace (Health &amp; Social Care) </w:t>
      </w:r>
    </w:p>
    <w:p w14:paraId="3110FF57" w14:textId="77777777" w:rsidR="006106D8" w:rsidRDefault="00000000">
      <w:pPr>
        <w:spacing w:after="117" w:line="259" w:lineRule="auto"/>
        <w:ind w:right="13"/>
        <w:jc w:val="center"/>
      </w:pPr>
      <w:r>
        <w:rPr>
          <w:b/>
        </w:rPr>
        <w:t xml:space="preserve">Introduction to Health and Social Care </w:t>
      </w:r>
    </w:p>
    <w:p w14:paraId="742082FF" w14:textId="77777777" w:rsidR="006106D8" w:rsidRDefault="00000000">
      <w:pPr>
        <w:spacing w:after="117" w:line="259" w:lineRule="auto"/>
        <w:ind w:right="9"/>
        <w:jc w:val="center"/>
      </w:pPr>
      <w:r>
        <w:rPr>
          <w:b/>
        </w:rPr>
        <w:t xml:space="preserve">LCHS4003 </w:t>
      </w:r>
    </w:p>
    <w:p w14:paraId="1E4E5B0A" w14:textId="77777777" w:rsidR="006106D8" w:rsidRDefault="00000000">
      <w:pPr>
        <w:spacing w:after="0" w:line="259" w:lineRule="auto"/>
        <w:ind w:left="0" w:right="0" w:firstLine="0"/>
        <w:jc w:val="left"/>
      </w:pPr>
      <w:r>
        <w:rPr>
          <w:b/>
        </w:rPr>
        <w:t xml:space="preserve"> </w:t>
      </w:r>
      <w:r>
        <w:br w:type="page"/>
      </w:r>
    </w:p>
    <w:sdt>
      <w:sdtPr>
        <w:id w:val="-1684429107"/>
        <w:docPartObj>
          <w:docPartGallery w:val="Table of Contents"/>
        </w:docPartObj>
      </w:sdtPr>
      <w:sdtContent>
        <w:p w14:paraId="3F073F69" w14:textId="77777777" w:rsidR="006106D8" w:rsidRDefault="00000000">
          <w:pPr>
            <w:spacing w:after="0" w:line="259" w:lineRule="auto"/>
            <w:ind w:right="15"/>
            <w:jc w:val="center"/>
          </w:pPr>
          <w:r>
            <w:rPr>
              <w:b/>
            </w:rPr>
            <w:t xml:space="preserve">Table of Contents </w:t>
          </w:r>
        </w:p>
        <w:p w14:paraId="14188281" w14:textId="77777777" w:rsidR="006106D8" w:rsidRDefault="00000000">
          <w:pPr>
            <w:pStyle w:val="TOC1"/>
            <w:tabs>
              <w:tab w:val="right" w:pos="9371"/>
            </w:tabs>
          </w:pPr>
          <w:r>
            <w:fldChar w:fldCharType="begin"/>
          </w:r>
          <w:r>
            <w:instrText xml:space="preserve"> TOC \o "1-2" \h \z \u </w:instrText>
          </w:r>
          <w:r>
            <w:fldChar w:fldCharType="separate"/>
          </w:r>
          <w:hyperlink w:anchor="_Toc6277">
            <w:r w:rsidR="006106D8">
              <w:rPr>
                <w:rFonts w:ascii="Arial" w:eastAsia="Arial" w:hAnsi="Arial" w:cs="Arial"/>
                <w:sz w:val="24"/>
              </w:rPr>
              <w:t>Task 1: Poster Presentation</w:t>
            </w:r>
            <w:r w:rsidR="006106D8">
              <w:tab/>
            </w:r>
            <w:r w:rsidR="006106D8">
              <w:fldChar w:fldCharType="begin"/>
            </w:r>
            <w:r w:rsidR="006106D8">
              <w:instrText>PAGEREF _Toc6277 \h</w:instrText>
            </w:r>
            <w:r w:rsidR="006106D8">
              <w:fldChar w:fldCharType="separate"/>
            </w:r>
            <w:r w:rsidR="006106D8">
              <w:rPr>
                <w:rFonts w:ascii="Arial" w:eastAsia="Arial" w:hAnsi="Arial" w:cs="Arial"/>
                <w:sz w:val="24"/>
              </w:rPr>
              <w:t xml:space="preserve">3 </w:t>
            </w:r>
            <w:r w:rsidR="006106D8">
              <w:fldChar w:fldCharType="end"/>
            </w:r>
          </w:hyperlink>
        </w:p>
        <w:p w14:paraId="3EBAEC79" w14:textId="5A3B9E94" w:rsidR="006106D8" w:rsidRDefault="006106D8">
          <w:pPr>
            <w:pStyle w:val="TOC1"/>
            <w:tabs>
              <w:tab w:val="right" w:pos="9371"/>
            </w:tabs>
          </w:pPr>
          <w:hyperlink w:anchor="_Toc6283">
            <w:r>
              <w:rPr>
                <w:rFonts w:ascii="Arial" w:eastAsia="Arial" w:hAnsi="Arial" w:cs="Arial"/>
                <w:sz w:val="24"/>
              </w:rPr>
              <w:t>References</w:t>
            </w:r>
            <w:r>
              <w:tab/>
            </w:r>
            <w:r>
              <w:fldChar w:fldCharType="begin"/>
            </w:r>
            <w:r>
              <w:instrText>PAGEREF _Toc6283 \h</w:instrText>
            </w:r>
            <w:r>
              <w:fldChar w:fldCharType="separate"/>
            </w:r>
            <w:r>
              <w:rPr>
                <w:rFonts w:ascii="Arial" w:eastAsia="Arial" w:hAnsi="Arial" w:cs="Arial"/>
                <w:sz w:val="24"/>
              </w:rPr>
              <w:t xml:space="preserve">5 </w:t>
            </w:r>
            <w:r>
              <w:fldChar w:fldCharType="end"/>
            </w:r>
          </w:hyperlink>
        </w:p>
        <w:p w14:paraId="240EA750" w14:textId="6A53AE59" w:rsidR="006106D8" w:rsidRDefault="006106D8">
          <w:pPr>
            <w:pStyle w:val="TOC1"/>
            <w:tabs>
              <w:tab w:val="right" w:pos="9371"/>
            </w:tabs>
          </w:pPr>
          <w:hyperlink w:anchor="_Toc6284">
            <w:r>
              <w:rPr>
                <w:rFonts w:ascii="Arial" w:eastAsia="Arial" w:hAnsi="Arial" w:cs="Arial"/>
                <w:sz w:val="24"/>
              </w:rPr>
              <w:t>Task 2: Essay</w:t>
            </w:r>
            <w:r>
              <w:tab/>
            </w:r>
            <w:r>
              <w:fldChar w:fldCharType="begin"/>
            </w:r>
            <w:r>
              <w:instrText>PAGEREF _Toc6284 \h</w:instrText>
            </w:r>
            <w:r>
              <w:fldChar w:fldCharType="separate"/>
            </w:r>
            <w:r>
              <w:rPr>
                <w:rFonts w:ascii="Arial" w:eastAsia="Arial" w:hAnsi="Arial" w:cs="Arial"/>
                <w:sz w:val="24"/>
              </w:rPr>
              <w:t xml:space="preserve">6 </w:t>
            </w:r>
            <w:r>
              <w:fldChar w:fldCharType="end"/>
            </w:r>
          </w:hyperlink>
        </w:p>
        <w:p w14:paraId="61357B3B" w14:textId="6CF74B1C" w:rsidR="006106D8" w:rsidRDefault="006106D8">
          <w:pPr>
            <w:pStyle w:val="TOC1"/>
            <w:tabs>
              <w:tab w:val="right" w:pos="9371"/>
            </w:tabs>
          </w:pPr>
          <w:hyperlink w:anchor="_Toc6285">
            <w:r>
              <w:rPr>
                <w:rFonts w:ascii="Arial" w:eastAsia="Arial" w:hAnsi="Arial" w:cs="Arial"/>
                <w:sz w:val="24"/>
              </w:rPr>
              <w:t>Conclusion</w:t>
            </w:r>
            <w:r>
              <w:tab/>
            </w:r>
            <w:r>
              <w:fldChar w:fldCharType="begin"/>
            </w:r>
            <w:r>
              <w:instrText>PAGEREF _Toc6285 \h</w:instrText>
            </w:r>
            <w:r>
              <w:fldChar w:fldCharType="separate"/>
            </w:r>
            <w:r>
              <w:rPr>
                <w:rFonts w:ascii="Arial" w:eastAsia="Arial" w:hAnsi="Arial" w:cs="Arial"/>
                <w:sz w:val="24"/>
              </w:rPr>
              <w:t xml:space="preserve">7 </w:t>
            </w:r>
            <w:r>
              <w:fldChar w:fldCharType="end"/>
            </w:r>
          </w:hyperlink>
        </w:p>
        <w:p w14:paraId="5BC57819" w14:textId="0E84ADCF" w:rsidR="006106D8" w:rsidRDefault="006106D8">
          <w:pPr>
            <w:pStyle w:val="TOC1"/>
            <w:tabs>
              <w:tab w:val="right" w:pos="9371"/>
            </w:tabs>
          </w:pPr>
          <w:hyperlink w:anchor="_Toc6286">
            <w:r>
              <w:rPr>
                <w:rFonts w:ascii="Arial" w:eastAsia="Arial" w:hAnsi="Arial" w:cs="Arial"/>
                <w:sz w:val="24"/>
              </w:rPr>
              <w:t>References</w:t>
            </w:r>
            <w:r>
              <w:tab/>
            </w:r>
            <w:r>
              <w:fldChar w:fldCharType="begin"/>
            </w:r>
            <w:r>
              <w:instrText>PAGEREF _Toc6286 \h</w:instrText>
            </w:r>
            <w:r>
              <w:fldChar w:fldCharType="separate"/>
            </w:r>
            <w:r>
              <w:rPr>
                <w:rFonts w:ascii="Arial" w:eastAsia="Arial" w:hAnsi="Arial" w:cs="Arial"/>
                <w:sz w:val="24"/>
              </w:rPr>
              <w:t xml:space="preserve">8 </w:t>
            </w:r>
            <w:r>
              <w:fldChar w:fldCharType="end"/>
            </w:r>
          </w:hyperlink>
        </w:p>
        <w:p w14:paraId="419D45FA" w14:textId="77777777" w:rsidR="006106D8" w:rsidRDefault="00000000">
          <w:r>
            <w:fldChar w:fldCharType="end"/>
          </w:r>
        </w:p>
      </w:sdtContent>
    </w:sdt>
    <w:p w14:paraId="49925B11" w14:textId="77777777" w:rsidR="006106D8" w:rsidRDefault="00000000">
      <w:pPr>
        <w:spacing w:after="117" w:line="259" w:lineRule="auto"/>
        <w:ind w:left="60" w:right="0" w:firstLine="0"/>
        <w:jc w:val="center"/>
      </w:pPr>
      <w:r>
        <w:rPr>
          <w:b/>
        </w:rPr>
        <w:t xml:space="preserve"> </w:t>
      </w:r>
    </w:p>
    <w:p w14:paraId="0EBC6D73" w14:textId="77777777" w:rsidR="006106D8" w:rsidRDefault="00000000">
      <w:pPr>
        <w:spacing w:after="0" w:line="259" w:lineRule="auto"/>
        <w:ind w:left="0" w:right="0" w:firstLine="0"/>
        <w:jc w:val="left"/>
      </w:pPr>
      <w:r>
        <w:rPr>
          <w:b/>
        </w:rPr>
        <w:t xml:space="preserve"> </w:t>
      </w:r>
      <w:r>
        <w:br w:type="page"/>
      </w:r>
    </w:p>
    <w:p w14:paraId="6DBF992F" w14:textId="080F9299" w:rsidR="006106D8" w:rsidRDefault="00000000">
      <w:pPr>
        <w:pStyle w:val="Heading1"/>
        <w:ind w:left="-5" w:right="0"/>
      </w:pPr>
      <w:bookmarkStart w:id="0" w:name="_Toc6277"/>
      <w:r>
        <w:lastRenderedPageBreak/>
        <w:t xml:space="preserve">Task 1: Poster </w:t>
      </w:r>
      <w:bookmarkEnd w:id="0"/>
    </w:p>
    <w:p w14:paraId="20B805C4" w14:textId="77777777" w:rsidR="003440D6" w:rsidRDefault="003440D6">
      <w:pPr>
        <w:spacing w:after="0" w:line="259" w:lineRule="auto"/>
        <w:ind w:left="0" w:right="0" w:firstLine="0"/>
        <w:jc w:val="left"/>
      </w:pPr>
    </w:p>
    <w:p w14:paraId="0538AB3F" w14:textId="3D1AF5E5" w:rsidR="003440D6" w:rsidRDefault="003440D6">
      <w:pPr>
        <w:spacing w:after="0" w:line="259" w:lineRule="auto"/>
        <w:ind w:left="0" w:right="0" w:firstLine="0"/>
        <w:jc w:val="left"/>
      </w:pPr>
    </w:p>
    <w:p w14:paraId="6A82ADD7" w14:textId="17B11F37" w:rsidR="003440D6" w:rsidRDefault="003440D6" w:rsidP="003440D6">
      <w:pPr>
        <w:spacing w:after="0" w:line="259" w:lineRule="auto"/>
        <w:ind w:left="0" w:right="0" w:firstLine="0"/>
      </w:pPr>
      <w:r>
        <w:rPr>
          <w:noProof/>
        </w:rPr>
        <w:drawing>
          <wp:inline distT="0" distB="0" distL="0" distR="0" wp14:anchorId="37216F81" wp14:editId="02C16166">
            <wp:extent cx="6451600" cy="6553200"/>
            <wp:effectExtent l="0" t="0" r="6350" b="0"/>
            <wp:docPr id="539540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540951" name="Picture 539540951"/>
                    <pic:cNvPicPr/>
                  </pic:nvPicPr>
                  <pic:blipFill>
                    <a:blip r:embed="rId8">
                      <a:extLst>
                        <a:ext uri="{28A0092B-C50C-407E-A947-70E740481C1C}">
                          <a14:useLocalDpi xmlns:a14="http://schemas.microsoft.com/office/drawing/2010/main" val="0"/>
                        </a:ext>
                      </a:extLst>
                    </a:blip>
                    <a:stretch>
                      <a:fillRect/>
                    </a:stretch>
                  </pic:blipFill>
                  <pic:spPr>
                    <a:xfrm>
                      <a:off x="0" y="0"/>
                      <a:ext cx="6451600" cy="6553200"/>
                    </a:xfrm>
                    <a:prstGeom prst="rect">
                      <a:avLst/>
                    </a:prstGeom>
                    <a:ln>
                      <a:noFill/>
                    </a:ln>
                    <a:effectLst>
                      <a:softEdge rad="112500"/>
                    </a:effectLst>
                  </pic:spPr>
                </pic:pic>
              </a:graphicData>
            </a:graphic>
          </wp:inline>
        </w:drawing>
      </w:r>
    </w:p>
    <w:p w14:paraId="0913CCAA" w14:textId="77777777" w:rsidR="003440D6" w:rsidRDefault="003440D6">
      <w:pPr>
        <w:spacing w:after="0" w:line="259" w:lineRule="auto"/>
        <w:ind w:left="0" w:right="0" w:firstLine="0"/>
        <w:jc w:val="left"/>
      </w:pPr>
    </w:p>
    <w:p w14:paraId="3F476845" w14:textId="77777777" w:rsidR="003440D6" w:rsidRDefault="003440D6">
      <w:pPr>
        <w:spacing w:after="0" w:line="259" w:lineRule="auto"/>
        <w:ind w:left="0" w:right="0" w:firstLine="0"/>
        <w:jc w:val="left"/>
      </w:pPr>
    </w:p>
    <w:p w14:paraId="1F40B856" w14:textId="77777777" w:rsidR="003440D6" w:rsidRDefault="003440D6">
      <w:pPr>
        <w:spacing w:after="0" w:line="259" w:lineRule="auto"/>
        <w:ind w:left="0" w:right="0" w:firstLine="0"/>
        <w:jc w:val="left"/>
      </w:pPr>
    </w:p>
    <w:p w14:paraId="0EBE3A20" w14:textId="31B0AB98" w:rsidR="003440D6" w:rsidRDefault="003440D6" w:rsidP="00C85E78">
      <w:pPr>
        <w:spacing w:after="0" w:line="259" w:lineRule="auto"/>
        <w:ind w:left="0" w:right="0" w:firstLine="0"/>
      </w:pPr>
      <w:r>
        <w:rPr>
          <w:noProof/>
        </w:rPr>
        <w:lastRenderedPageBreak/>
        <w:drawing>
          <wp:inline distT="0" distB="0" distL="0" distR="0" wp14:anchorId="61B3AFCC" wp14:editId="39FF9C8B">
            <wp:extent cx="6711315" cy="5317958"/>
            <wp:effectExtent l="0" t="0" r="0" b="0"/>
            <wp:docPr id="1329348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348930" name="Picture 1329348930"/>
                    <pic:cNvPicPr/>
                  </pic:nvPicPr>
                  <pic:blipFill>
                    <a:blip r:embed="rId9">
                      <a:extLst>
                        <a:ext uri="{28A0092B-C50C-407E-A947-70E740481C1C}">
                          <a14:useLocalDpi xmlns:a14="http://schemas.microsoft.com/office/drawing/2010/main" val="0"/>
                        </a:ext>
                      </a:extLst>
                    </a:blip>
                    <a:stretch>
                      <a:fillRect/>
                    </a:stretch>
                  </pic:blipFill>
                  <pic:spPr>
                    <a:xfrm>
                      <a:off x="0" y="0"/>
                      <a:ext cx="6761864" cy="5358013"/>
                    </a:xfrm>
                    <a:prstGeom prst="rect">
                      <a:avLst/>
                    </a:prstGeom>
                    <a:ln>
                      <a:noFill/>
                    </a:ln>
                    <a:effectLst>
                      <a:softEdge rad="112500"/>
                    </a:effectLst>
                  </pic:spPr>
                </pic:pic>
              </a:graphicData>
            </a:graphic>
          </wp:inline>
        </w:drawing>
      </w:r>
    </w:p>
    <w:p w14:paraId="125419B4" w14:textId="77777777" w:rsidR="003440D6" w:rsidRDefault="003440D6">
      <w:pPr>
        <w:spacing w:after="0" w:line="259" w:lineRule="auto"/>
        <w:ind w:left="0" w:right="0" w:firstLine="0"/>
        <w:jc w:val="left"/>
      </w:pPr>
    </w:p>
    <w:p w14:paraId="1D1F6507" w14:textId="77777777" w:rsidR="003440D6" w:rsidRDefault="003440D6">
      <w:pPr>
        <w:spacing w:after="0" w:line="259" w:lineRule="auto"/>
        <w:ind w:left="0" w:right="0" w:firstLine="0"/>
        <w:jc w:val="left"/>
      </w:pPr>
    </w:p>
    <w:p w14:paraId="1D6F8A64" w14:textId="77777777" w:rsidR="003440D6" w:rsidRDefault="003440D6">
      <w:pPr>
        <w:spacing w:after="0" w:line="259" w:lineRule="auto"/>
        <w:ind w:left="0" w:right="0" w:firstLine="0"/>
        <w:jc w:val="left"/>
      </w:pPr>
    </w:p>
    <w:p w14:paraId="02AA1AB5" w14:textId="77777777" w:rsidR="003440D6" w:rsidRDefault="003440D6">
      <w:pPr>
        <w:spacing w:after="0" w:line="259" w:lineRule="auto"/>
        <w:ind w:left="0" w:right="0" w:firstLine="0"/>
        <w:jc w:val="left"/>
      </w:pPr>
    </w:p>
    <w:p w14:paraId="5833BFC4" w14:textId="77777777" w:rsidR="003440D6" w:rsidRDefault="003440D6">
      <w:pPr>
        <w:spacing w:after="0" w:line="259" w:lineRule="auto"/>
        <w:ind w:left="0" w:right="0" w:firstLine="0"/>
        <w:jc w:val="left"/>
      </w:pPr>
    </w:p>
    <w:p w14:paraId="2B9E2A73" w14:textId="77777777" w:rsidR="003440D6" w:rsidRDefault="003440D6">
      <w:pPr>
        <w:spacing w:after="0" w:line="259" w:lineRule="auto"/>
        <w:ind w:left="0" w:right="0" w:firstLine="0"/>
        <w:jc w:val="left"/>
      </w:pPr>
    </w:p>
    <w:p w14:paraId="60019D7D" w14:textId="77777777" w:rsidR="003440D6" w:rsidRDefault="003440D6">
      <w:pPr>
        <w:spacing w:after="0" w:line="259" w:lineRule="auto"/>
        <w:ind w:left="0" w:right="0" w:firstLine="0"/>
        <w:jc w:val="left"/>
      </w:pPr>
    </w:p>
    <w:p w14:paraId="5B0B3CAD" w14:textId="77777777" w:rsidR="00C85E78" w:rsidRDefault="00C85E78" w:rsidP="00C85E78">
      <w:pPr>
        <w:pStyle w:val="Heading1"/>
        <w:ind w:left="0" w:right="0" w:firstLine="0"/>
      </w:pPr>
      <w:bookmarkStart w:id="1" w:name="_Toc6283"/>
    </w:p>
    <w:p w14:paraId="7BCA0179" w14:textId="77777777" w:rsidR="00C85E78" w:rsidRPr="00C85E78" w:rsidRDefault="00C85E78" w:rsidP="00C85E78"/>
    <w:p w14:paraId="1091C3B7" w14:textId="09DC1481" w:rsidR="006106D8" w:rsidRDefault="00000000" w:rsidP="00C85E78">
      <w:pPr>
        <w:pStyle w:val="Heading1"/>
        <w:ind w:left="0" w:right="0" w:firstLine="0"/>
      </w:pPr>
      <w:r>
        <w:lastRenderedPageBreak/>
        <w:t xml:space="preserve">References </w:t>
      </w:r>
      <w:bookmarkEnd w:id="1"/>
    </w:p>
    <w:p w14:paraId="430E09B0" w14:textId="77777777" w:rsidR="006106D8" w:rsidRDefault="00000000">
      <w:pPr>
        <w:spacing w:after="3" w:line="360" w:lineRule="auto"/>
        <w:ind w:left="-5" w:right="0"/>
      </w:pPr>
      <w:r>
        <w:rPr>
          <w:color w:val="000000"/>
        </w:rPr>
        <w:t xml:space="preserve">Thomson, G., Cook, J., Crossland, N., Balaam, M.C., Byrom, A., Jassat, R. and Gerrard, S., (2022). Minoritised ethnic women’s experiences of inequities and discrimination in maternity services in North-West England: a mixed-methods study. </w:t>
      </w:r>
      <w:r>
        <w:rPr>
          <w:i/>
          <w:color w:val="000000"/>
        </w:rPr>
        <w:t>BMC Pregnancy and Childbirth</w:t>
      </w:r>
      <w:r>
        <w:rPr>
          <w:color w:val="000000"/>
        </w:rPr>
        <w:t xml:space="preserve">, </w:t>
      </w:r>
      <w:r>
        <w:rPr>
          <w:i/>
          <w:color w:val="000000"/>
        </w:rPr>
        <w:t>22</w:t>
      </w:r>
      <w:r>
        <w:rPr>
          <w:color w:val="000000"/>
        </w:rPr>
        <w:t xml:space="preserve">(1), p.958. </w:t>
      </w:r>
      <w:hyperlink r:id="rId10">
        <w:r w:rsidR="006106D8">
          <w:rPr>
            <w:color w:val="1155CC"/>
            <w:u w:val="single" w:color="1155CC"/>
          </w:rPr>
          <w:t>https://link.springer.com/article/10.1186/s12884</w:t>
        </w:r>
      </w:hyperlink>
      <w:hyperlink r:id="rId11">
        <w:r w:rsidR="006106D8">
          <w:rPr>
            <w:color w:val="1155CC"/>
            <w:u w:val="single" w:color="1155CC"/>
          </w:rPr>
          <w:t>-</w:t>
        </w:r>
      </w:hyperlink>
      <w:hyperlink r:id="rId12">
        <w:r w:rsidR="006106D8">
          <w:rPr>
            <w:color w:val="1155CC"/>
            <w:u w:val="single" w:color="1155CC"/>
          </w:rPr>
          <w:t>022</w:t>
        </w:r>
      </w:hyperlink>
      <w:hyperlink r:id="rId13">
        <w:r w:rsidR="006106D8">
          <w:rPr>
            <w:color w:val="1155CC"/>
            <w:u w:val="single" w:color="1155CC"/>
          </w:rPr>
          <w:t>-</w:t>
        </w:r>
      </w:hyperlink>
      <w:hyperlink r:id="rId14">
        <w:r w:rsidR="006106D8">
          <w:rPr>
            <w:color w:val="1155CC"/>
            <w:u w:val="single" w:color="1155CC"/>
          </w:rPr>
          <w:t>05279</w:t>
        </w:r>
      </w:hyperlink>
      <w:hyperlink r:id="rId15">
        <w:r w:rsidR="006106D8">
          <w:rPr>
            <w:color w:val="1155CC"/>
            <w:u w:val="single" w:color="1155CC"/>
          </w:rPr>
          <w:t>-</w:t>
        </w:r>
      </w:hyperlink>
      <w:hyperlink r:id="rId16">
        <w:r w:rsidR="006106D8">
          <w:rPr>
            <w:color w:val="1155CC"/>
            <w:u w:val="single" w:color="1155CC"/>
          </w:rPr>
          <w:t>6</w:t>
        </w:r>
      </w:hyperlink>
      <w:hyperlink r:id="rId17">
        <w:r w:rsidR="006106D8">
          <w:rPr>
            <w:color w:val="000000"/>
          </w:rPr>
          <w:t xml:space="preserve"> </w:t>
        </w:r>
      </w:hyperlink>
      <w:r>
        <w:rPr>
          <w:color w:val="000000"/>
        </w:rPr>
        <w:t xml:space="preserve"> </w:t>
      </w:r>
    </w:p>
    <w:p w14:paraId="0C968659" w14:textId="77777777" w:rsidR="006106D8" w:rsidRDefault="00000000">
      <w:pPr>
        <w:spacing w:after="3" w:line="360" w:lineRule="auto"/>
        <w:ind w:left="-5" w:right="0"/>
      </w:pPr>
      <w:r>
        <w:rPr>
          <w:color w:val="000000"/>
        </w:rPr>
        <w:t xml:space="preserve">Kornelsen, J., Lin, S., Williams, K., Skinner, T. and Ebert, S., (2023). System interventions to support rural access to maternity care: an analysis of the rural surgical obstetrical networks program. </w:t>
      </w:r>
      <w:r>
        <w:rPr>
          <w:i/>
          <w:color w:val="000000"/>
        </w:rPr>
        <w:t>BMC pregnancy and Childbirth</w:t>
      </w:r>
      <w:r>
        <w:rPr>
          <w:color w:val="000000"/>
        </w:rPr>
        <w:t xml:space="preserve">, </w:t>
      </w:r>
      <w:r>
        <w:rPr>
          <w:i/>
          <w:color w:val="000000"/>
        </w:rPr>
        <w:t>23</w:t>
      </w:r>
      <w:r>
        <w:rPr>
          <w:color w:val="000000"/>
        </w:rPr>
        <w:t xml:space="preserve">(1), p.621. </w:t>
      </w:r>
    </w:p>
    <w:p w14:paraId="05ACBCE8" w14:textId="77777777" w:rsidR="006106D8" w:rsidRDefault="006106D8">
      <w:pPr>
        <w:spacing w:after="114" w:line="259" w:lineRule="auto"/>
        <w:ind w:left="-5" w:right="0"/>
        <w:jc w:val="left"/>
      </w:pPr>
      <w:hyperlink r:id="rId18">
        <w:r>
          <w:rPr>
            <w:color w:val="1155CC"/>
            <w:u w:val="single" w:color="1155CC"/>
          </w:rPr>
          <w:t>https://link.springer.com/article/10.1186/s12884</w:t>
        </w:r>
      </w:hyperlink>
      <w:hyperlink r:id="rId19">
        <w:r>
          <w:rPr>
            <w:color w:val="1155CC"/>
            <w:u w:val="single" w:color="1155CC"/>
          </w:rPr>
          <w:t>-</w:t>
        </w:r>
      </w:hyperlink>
      <w:hyperlink r:id="rId20">
        <w:r>
          <w:rPr>
            <w:color w:val="1155CC"/>
            <w:u w:val="single" w:color="1155CC"/>
          </w:rPr>
          <w:t>023</w:t>
        </w:r>
      </w:hyperlink>
      <w:hyperlink r:id="rId21">
        <w:r>
          <w:rPr>
            <w:color w:val="1155CC"/>
            <w:u w:val="single" w:color="1155CC"/>
          </w:rPr>
          <w:t>-</w:t>
        </w:r>
      </w:hyperlink>
      <w:hyperlink r:id="rId22">
        <w:r>
          <w:rPr>
            <w:color w:val="1155CC"/>
            <w:u w:val="single" w:color="1155CC"/>
          </w:rPr>
          <w:t>05898</w:t>
        </w:r>
      </w:hyperlink>
      <w:hyperlink r:id="rId23">
        <w:r>
          <w:rPr>
            <w:color w:val="1155CC"/>
            <w:u w:val="single" w:color="1155CC"/>
          </w:rPr>
          <w:t>-</w:t>
        </w:r>
      </w:hyperlink>
      <w:hyperlink r:id="rId24">
        <w:r>
          <w:rPr>
            <w:color w:val="1155CC"/>
            <w:u w:val="single" w:color="1155CC"/>
          </w:rPr>
          <w:t>7</w:t>
        </w:r>
      </w:hyperlink>
      <w:hyperlink r:id="rId25">
        <w:r>
          <w:rPr>
            <w:color w:val="000000"/>
          </w:rPr>
          <w:t xml:space="preserve"> </w:t>
        </w:r>
      </w:hyperlink>
      <w:r w:rsidR="00000000">
        <w:rPr>
          <w:b/>
          <w:color w:val="000000"/>
        </w:rPr>
        <w:t xml:space="preserve">   </w:t>
      </w:r>
    </w:p>
    <w:p w14:paraId="4ED7C914" w14:textId="77777777" w:rsidR="006106D8" w:rsidRDefault="00000000">
      <w:pPr>
        <w:spacing w:after="3" w:line="360" w:lineRule="auto"/>
        <w:ind w:left="-5" w:right="0"/>
      </w:pPr>
      <w:r>
        <w:rPr>
          <w:color w:val="000000"/>
        </w:rPr>
        <w:t xml:space="preserve">Rayment-Jones, H., Harris, J., Harden, A., Turienzo, C.F. and Sandall, J., (2023). Project20: Maternity care mechanisms that improve (or exacerbate) health inequalities. </w:t>
      </w:r>
    </w:p>
    <w:p w14:paraId="4749D1F7" w14:textId="77777777" w:rsidR="006106D8" w:rsidRDefault="00000000">
      <w:pPr>
        <w:tabs>
          <w:tab w:val="center" w:pos="973"/>
          <w:tab w:val="center" w:pos="2364"/>
          <w:tab w:val="center" w:pos="3850"/>
          <w:tab w:val="center" w:pos="4955"/>
          <w:tab w:val="center" w:pos="5927"/>
          <w:tab w:val="center" w:pos="7014"/>
          <w:tab w:val="right" w:pos="9371"/>
        </w:tabs>
        <w:spacing w:after="124" w:line="259" w:lineRule="auto"/>
        <w:ind w:left="-15" w:right="0" w:firstLine="0"/>
        <w:jc w:val="left"/>
      </w:pPr>
      <w:r>
        <w:rPr>
          <w:color w:val="000000"/>
        </w:rPr>
        <w:t xml:space="preserve">A </w:t>
      </w:r>
      <w:r>
        <w:rPr>
          <w:color w:val="000000"/>
        </w:rPr>
        <w:tab/>
        <w:t xml:space="preserve">realist </w:t>
      </w:r>
      <w:r>
        <w:rPr>
          <w:color w:val="000000"/>
        </w:rPr>
        <w:tab/>
        <w:t xml:space="preserve">evaluation. </w:t>
      </w:r>
      <w:r>
        <w:rPr>
          <w:color w:val="000000"/>
        </w:rPr>
        <w:tab/>
      </w:r>
      <w:r>
        <w:rPr>
          <w:i/>
          <w:color w:val="000000"/>
        </w:rPr>
        <w:t xml:space="preserve">Women </w:t>
      </w:r>
      <w:r>
        <w:rPr>
          <w:i/>
          <w:color w:val="000000"/>
        </w:rPr>
        <w:tab/>
        <w:t xml:space="preserve">and </w:t>
      </w:r>
      <w:r>
        <w:rPr>
          <w:i/>
          <w:color w:val="000000"/>
        </w:rPr>
        <w:tab/>
        <w:t>Birth</w:t>
      </w:r>
      <w:r>
        <w:rPr>
          <w:color w:val="000000"/>
        </w:rPr>
        <w:t xml:space="preserve">, </w:t>
      </w:r>
      <w:r>
        <w:rPr>
          <w:color w:val="000000"/>
        </w:rPr>
        <w:tab/>
      </w:r>
      <w:r>
        <w:rPr>
          <w:i/>
          <w:color w:val="000000"/>
        </w:rPr>
        <w:t>36</w:t>
      </w:r>
      <w:r>
        <w:rPr>
          <w:color w:val="000000"/>
        </w:rPr>
        <w:t xml:space="preserve">(3), </w:t>
      </w:r>
      <w:r>
        <w:rPr>
          <w:color w:val="000000"/>
        </w:rPr>
        <w:tab/>
        <w:t xml:space="preserve">pp.e314-e327. </w:t>
      </w:r>
    </w:p>
    <w:p w14:paraId="7608D86E" w14:textId="77777777" w:rsidR="006106D8" w:rsidRDefault="006106D8">
      <w:pPr>
        <w:spacing w:after="114" w:line="259" w:lineRule="auto"/>
        <w:ind w:left="-5" w:right="0"/>
        <w:jc w:val="left"/>
      </w:pPr>
      <w:hyperlink r:id="rId26">
        <w:r>
          <w:rPr>
            <w:color w:val="1155CC"/>
            <w:u w:val="single" w:color="1155CC"/>
          </w:rPr>
          <w:t>https://www.sciencedirect.com/science/article/pii/S1871519222003523</w:t>
        </w:r>
      </w:hyperlink>
      <w:hyperlink r:id="rId27">
        <w:r>
          <w:rPr>
            <w:color w:val="000000"/>
          </w:rPr>
          <w:t xml:space="preserve"> </w:t>
        </w:r>
      </w:hyperlink>
    </w:p>
    <w:p w14:paraId="4C63DCC9" w14:textId="77777777" w:rsidR="006106D8" w:rsidRDefault="00000000">
      <w:pPr>
        <w:spacing w:after="3" w:line="360" w:lineRule="auto"/>
        <w:ind w:left="-5" w:right="0"/>
      </w:pPr>
      <w:r>
        <w:rPr>
          <w:color w:val="000000"/>
        </w:rPr>
        <w:t xml:space="preserve">Wiseman, O., Emmett, L., Hickford, G., Knight, M., Lazar, J., Yuill, C. and McCourt, C., (2022). The challenges and opportunities for implementing group antenatal care (‘Pregnancy Circles’) as part of standard NHS maternity care: A co-designed qualitative study. </w:t>
      </w:r>
      <w:r>
        <w:rPr>
          <w:i/>
          <w:color w:val="000000"/>
        </w:rPr>
        <w:t>Midwifery</w:t>
      </w:r>
      <w:r>
        <w:rPr>
          <w:color w:val="000000"/>
        </w:rPr>
        <w:t xml:space="preserve">, </w:t>
      </w:r>
      <w:r>
        <w:rPr>
          <w:i/>
          <w:color w:val="000000"/>
        </w:rPr>
        <w:t>109</w:t>
      </w:r>
      <w:r>
        <w:rPr>
          <w:color w:val="000000"/>
        </w:rPr>
        <w:t xml:space="preserve">, p.103333. </w:t>
      </w:r>
    </w:p>
    <w:p w14:paraId="2E19E95B" w14:textId="77777777" w:rsidR="006106D8" w:rsidRDefault="006106D8">
      <w:pPr>
        <w:spacing w:after="114" w:line="259" w:lineRule="auto"/>
        <w:ind w:left="-5" w:right="0"/>
        <w:jc w:val="left"/>
      </w:pPr>
      <w:hyperlink r:id="rId28">
        <w:r>
          <w:rPr>
            <w:color w:val="1155CC"/>
            <w:u w:val="single" w:color="1155CC"/>
          </w:rPr>
          <w:t>https://www.sciencedirect.com/science/article/pii/S0266613822000857</w:t>
        </w:r>
      </w:hyperlink>
      <w:hyperlink r:id="rId29">
        <w:r>
          <w:rPr>
            <w:color w:val="000000"/>
          </w:rPr>
          <w:t xml:space="preserve"> </w:t>
        </w:r>
      </w:hyperlink>
      <w:r w:rsidR="00000000">
        <w:rPr>
          <w:color w:val="000000"/>
        </w:rPr>
        <w:t xml:space="preserve"> </w:t>
      </w:r>
    </w:p>
    <w:p w14:paraId="331A15D6" w14:textId="77777777" w:rsidR="006106D8" w:rsidRDefault="00000000">
      <w:pPr>
        <w:spacing w:after="3" w:line="360" w:lineRule="auto"/>
        <w:ind w:left="-5" w:right="0"/>
      </w:pPr>
      <w:r>
        <w:rPr>
          <w:color w:val="000000"/>
        </w:rPr>
        <w:t xml:space="preserve">Xu, Y., Han, Y., Wang, L., Xue, H., Liu, Y., Men, Y., Chen, Y., Zhou, X. and Li, Q., (2026). Effect of antenatal education and midwifery-led care on maternal anxiety, depression, and birth outcomes: A meta-analysis of clinical trials. </w:t>
      </w:r>
      <w:r>
        <w:rPr>
          <w:i/>
          <w:color w:val="000000"/>
        </w:rPr>
        <w:t>Women and Birth</w:t>
      </w:r>
      <w:r>
        <w:rPr>
          <w:color w:val="000000"/>
        </w:rPr>
        <w:t xml:space="preserve">, </w:t>
      </w:r>
      <w:r>
        <w:rPr>
          <w:i/>
          <w:color w:val="000000"/>
        </w:rPr>
        <w:t>39</w:t>
      </w:r>
      <w:r>
        <w:rPr>
          <w:color w:val="000000"/>
        </w:rPr>
        <w:t xml:space="preserve">(1), p.102138. </w:t>
      </w:r>
      <w:hyperlink r:id="rId30">
        <w:r w:rsidR="006106D8">
          <w:rPr>
            <w:color w:val="1155CC"/>
            <w:u w:val="single" w:color="1155CC"/>
          </w:rPr>
          <w:t>https://www.sciencedirect.com/science/article/pii/S1871519225002720</w:t>
        </w:r>
      </w:hyperlink>
      <w:hyperlink r:id="rId31">
        <w:r w:rsidR="006106D8">
          <w:rPr>
            <w:color w:val="000000"/>
          </w:rPr>
          <w:t xml:space="preserve"> </w:t>
        </w:r>
      </w:hyperlink>
      <w:r>
        <w:rPr>
          <w:color w:val="000000"/>
        </w:rPr>
        <w:t xml:space="preserve">  </w:t>
      </w:r>
    </w:p>
    <w:p w14:paraId="0AC47B0D" w14:textId="77777777" w:rsidR="006106D8" w:rsidRDefault="00000000">
      <w:pPr>
        <w:spacing w:after="1" w:line="361" w:lineRule="auto"/>
        <w:ind w:left="0" w:right="1" w:firstLine="0"/>
      </w:pPr>
      <w:r>
        <w:rPr>
          <w:color w:val="000000"/>
        </w:rPr>
        <w:t xml:space="preserve">Tukisi, K.P., Temane, A. and Nolte, A., (2022). ‘A tool we need’: Midwives’ descriptions and recommendations of an ideal obstetric triage tool. </w:t>
      </w:r>
      <w:r>
        <w:rPr>
          <w:i/>
          <w:color w:val="000000"/>
        </w:rPr>
        <w:t>Health SA Gesondheid</w:t>
      </w:r>
      <w:r>
        <w:rPr>
          <w:color w:val="000000"/>
        </w:rPr>
        <w:t xml:space="preserve">, </w:t>
      </w:r>
      <w:r>
        <w:rPr>
          <w:i/>
          <w:color w:val="000000"/>
        </w:rPr>
        <w:t>27</w:t>
      </w:r>
      <w:r>
        <w:rPr>
          <w:color w:val="000000"/>
        </w:rPr>
        <w:t xml:space="preserve">, p.2029. </w:t>
      </w:r>
      <w:hyperlink r:id="rId32">
        <w:r w:rsidR="006106D8">
          <w:rPr>
            <w:color w:val="1155CC"/>
            <w:u w:val="single" w:color="1155CC"/>
          </w:rPr>
          <w:t>https://journals.co.za/doi/abs/10.4102/hsag.v27i0.2029</w:t>
        </w:r>
      </w:hyperlink>
      <w:hyperlink r:id="rId33">
        <w:r w:rsidR="006106D8">
          <w:rPr>
            <w:color w:val="000000"/>
          </w:rPr>
          <w:t xml:space="preserve"> </w:t>
        </w:r>
      </w:hyperlink>
      <w:r>
        <w:rPr>
          <w:color w:val="000000"/>
        </w:rPr>
        <w:t xml:space="preserve"> </w:t>
      </w:r>
    </w:p>
    <w:p w14:paraId="2EB16010" w14:textId="77777777" w:rsidR="006106D8" w:rsidRDefault="00000000">
      <w:pPr>
        <w:spacing w:after="117" w:line="259" w:lineRule="auto"/>
        <w:ind w:left="-5" w:right="0"/>
      </w:pPr>
      <w:r>
        <w:rPr>
          <w:color w:val="000000"/>
        </w:rPr>
        <w:t xml:space="preserve">Argaheni, N.B., Maulina, R., Juwita, S. and Setyarini, I.A., (2024). Scoping Review of </w:t>
      </w:r>
    </w:p>
    <w:p w14:paraId="65BF2472" w14:textId="77777777" w:rsidR="006106D8" w:rsidRDefault="00000000">
      <w:pPr>
        <w:spacing w:after="133" w:line="259" w:lineRule="auto"/>
        <w:ind w:left="-5" w:right="0"/>
      </w:pPr>
      <w:r>
        <w:rPr>
          <w:color w:val="000000"/>
        </w:rPr>
        <w:t xml:space="preserve">Midwives' Workload: A Comprehensive Overview. </w:t>
      </w:r>
      <w:r>
        <w:rPr>
          <w:i/>
          <w:color w:val="000000"/>
        </w:rPr>
        <w:t xml:space="preserve">Malaysian Journal of Medicine &amp; </w:t>
      </w:r>
    </w:p>
    <w:p w14:paraId="70E6130F" w14:textId="77777777" w:rsidR="006106D8" w:rsidRDefault="00000000">
      <w:pPr>
        <w:tabs>
          <w:tab w:val="center" w:pos="4865"/>
          <w:tab w:val="right" w:pos="9371"/>
        </w:tabs>
        <w:spacing w:after="121" w:line="259" w:lineRule="auto"/>
        <w:ind w:left="-15" w:right="0" w:firstLine="0"/>
        <w:jc w:val="left"/>
      </w:pPr>
      <w:r>
        <w:rPr>
          <w:i/>
          <w:color w:val="000000"/>
        </w:rPr>
        <w:t xml:space="preserve">Health </w:t>
      </w:r>
      <w:r>
        <w:rPr>
          <w:i/>
          <w:color w:val="000000"/>
        </w:rPr>
        <w:tab/>
        <w:t>Sciences</w:t>
      </w:r>
      <w:r>
        <w:rPr>
          <w:color w:val="000000"/>
        </w:rPr>
        <w:t xml:space="preserve">, </w:t>
      </w:r>
      <w:r>
        <w:rPr>
          <w:color w:val="000000"/>
        </w:rPr>
        <w:tab/>
      </w:r>
      <w:r>
        <w:rPr>
          <w:i/>
          <w:color w:val="000000"/>
        </w:rPr>
        <w:t>20</w:t>
      </w:r>
      <w:r>
        <w:rPr>
          <w:color w:val="000000"/>
        </w:rPr>
        <w:t xml:space="preserve">. </w:t>
      </w:r>
    </w:p>
    <w:p w14:paraId="45762AFF" w14:textId="77777777" w:rsidR="006106D8" w:rsidRDefault="006106D8">
      <w:pPr>
        <w:spacing w:after="114" w:line="259" w:lineRule="auto"/>
        <w:ind w:left="-5" w:right="0"/>
        <w:jc w:val="left"/>
      </w:pPr>
      <w:hyperlink r:id="rId34">
        <w:r>
          <w:rPr>
            <w:color w:val="1155CC"/>
            <w:u w:val="single" w:color="1155CC"/>
          </w:rPr>
          <w:t>https://medic.upm.edu.my/upload/dokumen/2024111108571636_MJMHS_0489.pdf</w:t>
        </w:r>
      </w:hyperlink>
      <w:hyperlink r:id="rId35">
        <w:r>
          <w:rPr>
            <w:color w:val="000000"/>
          </w:rPr>
          <w:t xml:space="preserve"> </w:t>
        </w:r>
      </w:hyperlink>
      <w:r w:rsidR="00000000">
        <w:rPr>
          <w:color w:val="000000"/>
        </w:rPr>
        <w:t xml:space="preserve">  </w:t>
      </w:r>
      <w:r w:rsidR="00000000">
        <w:rPr>
          <w:b/>
          <w:color w:val="000000"/>
        </w:rPr>
        <w:t xml:space="preserve">  </w:t>
      </w:r>
    </w:p>
    <w:p w14:paraId="615C5EEA" w14:textId="77777777" w:rsidR="006106D8" w:rsidRDefault="00000000">
      <w:pPr>
        <w:pStyle w:val="Heading1"/>
        <w:spacing w:after="114"/>
        <w:ind w:left="-5" w:right="0"/>
      </w:pPr>
      <w:bookmarkStart w:id="2" w:name="_Toc6284"/>
      <w:r>
        <w:lastRenderedPageBreak/>
        <w:t xml:space="preserve">Task 2: Essay </w:t>
      </w:r>
      <w:bookmarkEnd w:id="2"/>
    </w:p>
    <w:p w14:paraId="2FB20E86" w14:textId="77777777" w:rsidR="006106D8" w:rsidRDefault="00000000">
      <w:pPr>
        <w:spacing w:after="0" w:line="360" w:lineRule="auto"/>
        <w:ind w:left="-5" w:right="0"/>
        <w:rPr>
          <w:color w:val="000000" w:themeColor="text1"/>
        </w:rPr>
      </w:pPr>
      <w:r w:rsidRPr="0039462D">
        <w:rPr>
          <w:b/>
          <w:color w:val="000000" w:themeColor="text1"/>
        </w:rPr>
        <w:t xml:space="preserve">Domiciliary </w:t>
      </w:r>
      <w:r w:rsidRPr="0039462D">
        <w:rPr>
          <w:color w:val="000000" w:themeColor="text1"/>
        </w:rPr>
        <w:t xml:space="preserve">care, which is also known as home care, originated in the late 19th and early 20th century. The early actions were taken by charitable organisations, where they started, sending care workers to patients’ homes. The Seebohm Era created uncertainty in the market as various political events occurred in 1969. The development of </w:t>
      </w:r>
      <w:r w:rsidRPr="0039462D">
        <w:rPr>
          <w:b/>
          <w:color w:val="000000" w:themeColor="text1"/>
        </w:rPr>
        <w:t xml:space="preserve">Domiciliary </w:t>
      </w:r>
      <w:r w:rsidRPr="0039462D">
        <w:rPr>
          <w:color w:val="000000" w:themeColor="text1"/>
        </w:rPr>
        <w:t xml:space="preserve">care accelerated in the 1970s. Different healthcare organisations and agencies were involved in the development process, where the key target audience was elderly people (Clarke, 2024). </w:t>
      </w:r>
    </w:p>
    <w:p w14:paraId="517AC2BA" w14:textId="6D8D2FCF" w:rsidR="00E24899" w:rsidRPr="0039462D" w:rsidRDefault="00E24899" w:rsidP="00E24899">
      <w:pPr>
        <w:spacing w:after="0" w:line="360" w:lineRule="auto"/>
        <w:ind w:left="0" w:right="0" w:firstLine="0"/>
        <w:rPr>
          <w:color w:val="000000" w:themeColor="text1"/>
        </w:rPr>
      </w:pPr>
      <w:r>
        <w:t xml:space="preserve">Domiciliary care services can be defined as a type of care service in which healthcare professionals visit </w:t>
      </w:r>
      <w:r>
        <w:rPr>
          <w:b/>
        </w:rPr>
        <w:t xml:space="preserve">the homes </w:t>
      </w:r>
      <w:r>
        <w:t>of patients and provide assistance and support.</w:t>
      </w:r>
    </w:p>
    <w:p w14:paraId="5CE40A83" w14:textId="1DB792E8" w:rsidR="006106D8" w:rsidRDefault="00000000">
      <w:pPr>
        <w:ind w:left="-5" w:right="0"/>
      </w:pPr>
      <w:r>
        <w:rPr>
          <w:b/>
        </w:rPr>
        <w:t xml:space="preserve">The history </w:t>
      </w:r>
      <w:r>
        <w:t xml:space="preserve">of </w:t>
      </w:r>
      <w:r>
        <w:rPr>
          <w:b/>
        </w:rPr>
        <w:t xml:space="preserve">the Domiciliary </w:t>
      </w:r>
      <w:r>
        <w:t xml:space="preserve">care service says that people and older adults with disabilities were receiving care services in residential care homes or hospitals. However, over time, governments have realised that many of the older adults or patients prefer to remain in their homes during their treatments, and this has led the world to the expansion and development of Domiciliary care services. Increasing the number of ageing people also compelled governments to think about the development of Domiciliary care services (Gousia </w:t>
      </w:r>
      <w:r>
        <w:rPr>
          <w:i/>
        </w:rPr>
        <w:t xml:space="preserve">et al. </w:t>
      </w:r>
      <w:r>
        <w:t>2024).</w:t>
      </w:r>
    </w:p>
    <w:p w14:paraId="6DE84C58" w14:textId="004A73C9" w:rsidR="0039462D" w:rsidRDefault="00000000">
      <w:pPr>
        <w:ind w:left="-5" w:right="0"/>
      </w:pPr>
      <w:r>
        <w:t xml:space="preserve">Domiciliary care services are becoming very popular these days, where people are more likely to choose to remain at home instead of moving to healthcare shelters. Today’s Domiciliary care services include many </w:t>
      </w:r>
      <w:r>
        <w:rPr>
          <w:b/>
        </w:rPr>
        <w:t>different programmes</w:t>
      </w:r>
      <w:r>
        <w:t xml:space="preserve">. The special thing about Domiciliary care services is that healthcare professionals provide personalised care services. The care services are determined by considering the specific needs of each patient. Home nursing is a good example of Domiciliary care services in which healthcare professionals help patients with their daily personal care tasks (BPP, 2025). </w:t>
      </w:r>
    </w:p>
    <w:p w14:paraId="2373EF14" w14:textId="01EE6826" w:rsidR="0039462D" w:rsidRDefault="00000000">
      <w:pPr>
        <w:ind w:left="-5" w:right="0"/>
      </w:pPr>
      <w:r>
        <w:t xml:space="preserve">However, Domiciliary care services have some cons where narrow bathrooms, worn flooring and stairs become obstacles for patients. This affects their mobility. Patients also have to experience gaps between visits to healthcare professionals. </w:t>
      </w:r>
    </w:p>
    <w:p w14:paraId="5AD757C7" w14:textId="321E34ED" w:rsidR="0039462D" w:rsidRDefault="00000000">
      <w:pPr>
        <w:ind w:left="-5" w:right="0"/>
      </w:pPr>
      <w:r>
        <w:t>Loneliness is another key drawback of Domiciliary care services, as patients often feel a sense of loneliness (Read, 2026).</w:t>
      </w:r>
    </w:p>
    <w:p w14:paraId="337429A5" w14:textId="4BE127A4" w:rsidR="006106D8" w:rsidRDefault="00000000" w:rsidP="0039462D">
      <w:pPr>
        <w:ind w:left="-15" w:right="0" w:firstLine="0"/>
      </w:pPr>
      <w:r>
        <w:lastRenderedPageBreak/>
        <w:t xml:space="preserve">Domiciliary care services have significant roles in enhancing </w:t>
      </w:r>
      <w:r>
        <w:rPr>
          <w:b/>
        </w:rPr>
        <w:t>the quality of life</w:t>
      </w:r>
      <w:r>
        <w:t xml:space="preserve">. This type of healthcare service significantly contributes to the overall improvement of life quality. This type of care service provides independence to patients as they can do their work and get care services while being at their home. Patients in this service learn effective ways to execute and manage their daily tasks or activities, which makes them independent after a certain period of time. Healthcare professionals provide tailored support to patients, which enables them to remain in their residency. This is very useful to reduce anxiety and stress among patients associated with relocation. This gives more flexibility to patients, which enables them to utilise their time with their loved ones and some meaningful work (Thames Care, 2026). </w:t>
      </w:r>
    </w:p>
    <w:p w14:paraId="5DBC5838" w14:textId="1D913B94" w:rsidR="00E24899" w:rsidRDefault="00E24899" w:rsidP="0039462D">
      <w:pPr>
        <w:ind w:left="-15" w:right="0" w:firstLine="0"/>
      </w:pPr>
      <w:r>
        <w:t xml:space="preserve">The UK government has played a crucial role in the development of Domiciliary care services, as a significant investment of £150 million was planned to increase and support the use of digital technologies. Use of digital technologies has revolutionised care practices. With the help of advanced technologies, healthcare providers are able to innovate care approaches (Healey </w:t>
      </w:r>
      <w:r>
        <w:rPr>
          <w:i/>
        </w:rPr>
        <w:t xml:space="preserve">et al. </w:t>
      </w:r>
      <w:r>
        <w:t>2024)</w:t>
      </w:r>
    </w:p>
    <w:p w14:paraId="0A6E618E" w14:textId="77777777" w:rsidR="006106D8" w:rsidRDefault="00000000">
      <w:pPr>
        <w:pStyle w:val="Heading1"/>
        <w:ind w:left="-5" w:right="0"/>
      </w:pPr>
      <w:bookmarkStart w:id="3" w:name="_Toc6285"/>
      <w:r>
        <w:t xml:space="preserve">Conclusion </w:t>
      </w:r>
      <w:bookmarkEnd w:id="3"/>
    </w:p>
    <w:p w14:paraId="44B1C759" w14:textId="07633F35" w:rsidR="0065263D" w:rsidRDefault="0065263D" w:rsidP="0065263D">
      <w:pPr>
        <w:spacing w:after="0" w:line="360" w:lineRule="auto"/>
        <w:ind w:left="0" w:right="0" w:firstLine="0"/>
      </w:pPr>
      <w:r>
        <w:t xml:space="preserve">In conclusion, domiciliary care has evolved significantly from its origins in charitable home-visiting services to becoming an essential part of modern healthcare. Driven by changing patient preferences, an ageing population, and government investment in care innovation, domiciliary care now enables individuals to receive personalised support within the comfort of </w:t>
      </w:r>
      <w:r w:rsidR="000945D8">
        <w:t>their own homes. Although challenges such as mobility barriers, gaps between visits, and social isolation remain, the benefits often outweigh these disadvantages. By promoting independence, reducing stress associated with relocation, and improving overall quality of life, domiciliary care plays a vital role in supporting the health and well-being of individuals, particularly older adults and those with disabilities. As healthcare continues to develop, domiciliary care is likely to remain a key service in delivering person-centred and flexible care.</w:t>
      </w:r>
    </w:p>
    <w:p w14:paraId="0ADD44EE" w14:textId="77777777" w:rsidR="003440D6" w:rsidRDefault="003440D6">
      <w:pPr>
        <w:pStyle w:val="Heading1"/>
        <w:ind w:left="-5" w:right="0"/>
      </w:pPr>
      <w:bookmarkStart w:id="4" w:name="_Toc6286"/>
    </w:p>
    <w:p w14:paraId="4720B8A6" w14:textId="1180878F" w:rsidR="006106D8" w:rsidRDefault="00000000">
      <w:pPr>
        <w:pStyle w:val="Heading1"/>
        <w:ind w:left="-5" w:right="0"/>
      </w:pPr>
      <w:r>
        <w:t xml:space="preserve">References </w:t>
      </w:r>
      <w:bookmarkEnd w:id="4"/>
    </w:p>
    <w:p w14:paraId="4D589597" w14:textId="77777777" w:rsidR="006106D8" w:rsidRDefault="00000000">
      <w:pPr>
        <w:spacing w:after="117" w:line="259" w:lineRule="auto"/>
        <w:ind w:left="0" w:right="0" w:firstLine="0"/>
        <w:jc w:val="left"/>
      </w:pPr>
      <w:r>
        <w:t xml:space="preserve">BPP. (2025). </w:t>
      </w:r>
      <w:r>
        <w:rPr>
          <w:i/>
        </w:rPr>
        <w:t>Domiciliary Care Services in 2025: Your complete guide -</w:t>
      </w:r>
      <w:r>
        <w:t xml:space="preserve">. Available at: </w:t>
      </w:r>
    </w:p>
    <w:p w14:paraId="5A6FA12A" w14:textId="77777777" w:rsidR="006106D8" w:rsidRDefault="00000000">
      <w:pPr>
        <w:ind w:left="-5" w:right="0"/>
      </w:pPr>
      <w:r>
        <w:t xml:space="preserve">https://bpp-care.co.uk/domiciliary-care-services-in-2025-your-complete-guide/ (Accessed: 02 July 2026). </w:t>
      </w:r>
    </w:p>
    <w:p w14:paraId="0786A3E6" w14:textId="77777777" w:rsidR="006106D8" w:rsidRDefault="00000000">
      <w:pPr>
        <w:spacing w:after="121" w:line="259" w:lineRule="auto"/>
        <w:ind w:left="-5" w:right="0"/>
        <w:jc w:val="left"/>
      </w:pPr>
      <w:r>
        <w:rPr>
          <w:color w:val="000000"/>
        </w:rPr>
        <w:t xml:space="preserve">Clarke, L., (2024). </w:t>
      </w:r>
      <w:r>
        <w:rPr>
          <w:i/>
          <w:color w:val="000000"/>
        </w:rPr>
        <w:t>Domiciliary services for the elderly</w:t>
      </w:r>
      <w:r>
        <w:rPr>
          <w:color w:val="000000"/>
        </w:rPr>
        <w:t xml:space="preserve">. Routledge.  </w:t>
      </w:r>
    </w:p>
    <w:p w14:paraId="534A67A6" w14:textId="77777777" w:rsidR="006106D8" w:rsidRDefault="00000000">
      <w:pPr>
        <w:spacing w:after="0" w:line="361" w:lineRule="auto"/>
        <w:ind w:left="-5" w:right="0"/>
        <w:jc w:val="left"/>
      </w:pPr>
      <w:r>
        <w:rPr>
          <w:color w:val="222222"/>
        </w:rPr>
        <w:t xml:space="preserve">Gousia, K., Teo, H., Rand, S. and Vadean, F., (2024). Determining the cost-effectiveness of home care: A scoping review. </w:t>
      </w:r>
      <w:r>
        <w:rPr>
          <w:i/>
          <w:color w:val="222222"/>
        </w:rPr>
        <w:t>Journal of Long-Term Care</w:t>
      </w:r>
      <w:r>
        <w:rPr>
          <w:color w:val="222222"/>
        </w:rPr>
        <w:t>, pp.446-463.</w:t>
      </w:r>
      <w:r>
        <w:t xml:space="preserve">  </w:t>
      </w:r>
    </w:p>
    <w:p w14:paraId="687734E0" w14:textId="77777777" w:rsidR="006106D8" w:rsidRDefault="00000000">
      <w:pPr>
        <w:spacing w:after="5" w:line="357" w:lineRule="auto"/>
        <w:ind w:left="0" w:right="0" w:firstLine="0"/>
        <w:jc w:val="left"/>
      </w:pPr>
      <w:r>
        <w:rPr>
          <w:color w:val="222222"/>
        </w:rPr>
        <w:t xml:space="preserve">Healey, J., Davey, V., Liddle, J., O’Rourke, G., Hanratty, B. and Beresford, B., (2024). UK homecare providers’ views about, and experiences of, digitalisation: A national survey. </w:t>
      </w:r>
    </w:p>
    <w:p w14:paraId="403472F5" w14:textId="77777777" w:rsidR="006106D8" w:rsidRDefault="00000000">
      <w:pPr>
        <w:spacing w:after="117" w:line="259" w:lineRule="auto"/>
        <w:ind w:left="-5" w:right="0"/>
        <w:jc w:val="left"/>
      </w:pPr>
      <w:r>
        <w:rPr>
          <w:i/>
          <w:color w:val="222222"/>
        </w:rPr>
        <w:t>Digital Health</w:t>
      </w:r>
      <w:r>
        <w:rPr>
          <w:color w:val="222222"/>
        </w:rPr>
        <w:t xml:space="preserve">, </w:t>
      </w:r>
      <w:r>
        <w:rPr>
          <w:i/>
          <w:color w:val="222222"/>
        </w:rPr>
        <w:t>10</w:t>
      </w:r>
      <w:r>
        <w:rPr>
          <w:color w:val="222222"/>
        </w:rPr>
        <w:t>, p.20552076241255477.</w:t>
      </w:r>
      <w:r>
        <w:t xml:space="preserve">  </w:t>
      </w:r>
    </w:p>
    <w:p w14:paraId="372AE4F7" w14:textId="77777777" w:rsidR="006106D8" w:rsidRDefault="00000000">
      <w:pPr>
        <w:ind w:left="-5" w:right="0"/>
      </w:pPr>
      <w:r>
        <w:t xml:space="preserve">Read, K. (2026). </w:t>
      </w:r>
      <w:r>
        <w:rPr>
          <w:i/>
        </w:rPr>
        <w:t>Care Home or home care? pros and cons explained</w:t>
      </w:r>
      <w:r>
        <w:t xml:space="preserve">. Available at: https://www.carehome.co.uk/advice/care-home-or-home-care-pros-and-cons-explained (Accessed: 02 July 2026). </w:t>
      </w:r>
    </w:p>
    <w:p w14:paraId="039EA7E8" w14:textId="77777777" w:rsidR="006106D8" w:rsidRDefault="00000000">
      <w:pPr>
        <w:spacing w:after="3" w:line="360" w:lineRule="auto"/>
        <w:ind w:left="-5" w:right="0"/>
      </w:pPr>
      <w:r>
        <w:t xml:space="preserve">Thames Care. (2026). </w:t>
      </w:r>
      <w:r>
        <w:rPr>
          <w:i/>
        </w:rPr>
        <w:t>The main advantages of domiciliary care - Thames Care</w:t>
      </w:r>
      <w:r>
        <w:t xml:space="preserve">. </w:t>
      </w:r>
      <w:r>
        <w:rPr>
          <w:color w:val="000000"/>
        </w:rPr>
        <w:t xml:space="preserve">Available at: https://www.thamescare.co.uk/the-main-advantages-of-domiciliary-care/ (Accessed: </w:t>
      </w:r>
    </w:p>
    <w:p w14:paraId="789C3064" w14:textId="77777777" w:rsidR="006106D8" w:rsidRDefault="00000000">
      <w:pPr>
        <w:spacing w:after="3" w:line="259" w:lineRule="auto"/>
        <w:ind w:left="-5" w:right="0"/>
      </w:pPr>
      <w:r>
        <w:rPr>
          <w:color w:val="000000"/>
        </w:rPr>
        <w:t xml:space="preserve">02 July 2026). </w:t>
      </w:r>
    </w:p>
    <w:sectPr w:rsidR="006106D8">
      <w:headerReference w:type="even" r:id="rId36"/>
      <w:headerReference w:type="default" r:id="rId37"/>
      <w:footerReference w:type="even" r:id="rId38"/>
      <w:footerReference w:type="default" r:id="rId39"/>
      <w:headerReference w:type="first" r:id="rId40"/>
      <w:footerReference w:type="first" r:id="rId41"/>
      <w:pgSz w:w="12240" w:h="15840"/>
      <w:pgMar w:top="1491" w:right="1429" w:bottom="2115"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1BBEF" w14:textId="77777777" w:rsidR="00952645" w:rsidRDefault="00952645" w:rsidP="00C85E78">
      <w:pPr>
        <w:spacing w:after="0" w:line="240" w:lineRule="auto"/>
      </w:pPr>
      <w:r>
        <w:separator/>
      </w:r>
    </w:p>
  </w:endnote>
  <w:endnote w:type="continuationSeparator" w:id="0">
    <w:p w14:paraId="5698111D" w14:textId="77777777" w:rsidR="00952645" w:rsidRDefault="00952645" w:rsidP="00C85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594CD" w14:textId="77777777" w:rsidR="00C85E78" w:rsidRDefault="00C85E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6887062"/>
      <w:docPartObj>
        <w:docPartGallery w:val="Page Numbers (Bottom of Page)"/>
        <w:docPartUnique/>
      </w:docPartObj>
    </w:sdtPr>
    <w:sdtContent>
      <w:p w14:paraId="1DCA3C0F" w14:textId="77777777" w:rsidR="00C85E78" w:rsidRDefault="00C85E78">
        <w:pPr>
          <w:pStyle w:val="Footer"/>
          <w:jc w:val="right"/>
        </w:pPr>
      </w:p>
      <w:p w14:paraId="11357FF2" w14:textId="20C0C174" w:rsidR="00C85E78" w:rsidRDefault="00C85E78">
        <w:pPr>
          <w:pStyle w:val="Footer"/>
          <w:jc w:val="right"/>
        </w:pPr>
        <w:r>
          <w:fldChar w:fldCharType="begin"/>
        </w:r>
        <w:r>
          <w:instrText>PAGE   \* MERGEFORMAT</w:instrText>
        </w:r>
        <w:r>
          <w:fldChar w:fldCharType="separate"/>
        </w:r>
        <w:r>
          <w:t>2</w:t>
        </w:r>
        <w:r>
          <w:fldChar w:fldCharType="end"/>
        </w:r>
      </w:p>
    </w:sdtContent>
  </w:sdt>
  <w:p w14:paraId="59CBE98E" w14:textId="77777777" w:rsidR="00C85E78" w:rsidRDefault="00C85E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7B3B2" w14:textId="77777777" w:rsidR="00C85E78" w:rsidRDefault="00C85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2415D" w14:textId="77777777" w:rsidR="00952645" w:rsidRDefault="00952645" w:rsidP="00C85E78">
      <w:pPr>
        <w:spacing w:after="0" w:line="240" w:lineRule="auto"/>
      </w:pPr>
      <w:r>
        <w:separator/>
      </w:r>
    </w:p>
  </w:footnote>
  <w:footnote w:type="continuationSeparator" w:id="0">
    <w:p w14:paraId="71EF7018" w14:textId="77777777" w:rsidR="00952645" w:rsidRDefault="00952645" w:rsidP="00C85E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521AF2" w14:textId="77777777" w:rsidR="00C85E78" w:rsidRDefault="00C85E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1A2F3B" w14:textId="77777777" w:rsidR="00C85E78" w:rsidRDefault="00C85E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4A250" w14:textId="77777777" w:rsidR="00C85E78" w:rsidRDefault="00C85E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06D8"/>
    <w:rsid w:val="000945D8"/>
    <w:rsid w:val="000B04D7"/>
    <w:rsid w:val="003440D6"/>
    <w:rsid w:val="0039462D"/>
    <w:rsid w:val="006106D8"/>
    <w:rsid w:val="0065263D"/>
    <w:rsid w:val="0089085A"/>
    <w:rsid w:val="00952645"/>
    <w:rsid w:val="00A2756D"/>
    <w:rsid w:val="00B66EFA"/>
    <w:rsid w:val="00C85E78"/>
    <w:rsid w:val="00E24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461BE"/>
  <w15:docId w15:val="{52D6FBDA-A350-46F8-846A-A40378B18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359" w:lineRule="auto"/>
      <w:ind w:left="10" w:right="11" w:hanging="10"/>
      <w:jc w:val="both"/>
    </w:pPr>
    <w:rPr>
      <w:rFonts w:ascii="Arial" w:eastAsia="Arial" w:hAnsi="Arial" w:cs="Arial"/>
      <w:color w:val="0E101A"/>
    </w:rPr>
  </w:style>
  <w:style w:type="paragraph" w:styleId="Heading1">
    <w:name w:val="heading 1"/>
    <w:next w:val="Normal"/>
    <w:link w:val="Heading1Char"/>
    <w:uiPriority w:val="9"/>
    <w:qFormat/>
    <w:pPr>
      <w:keepNext/>
      <w:keepLines/>
      <w:spacing w:after="115" w:line="259" w:lineRule="auto"/>
      <w:ind w:left="10" w:right="13" w:hanging="10"/>
      <w:outlineLvl w:val="0"/>
    </w:pPr>
    <w:rPr>
      <w:rFonts w:ascii="Arial" w:eastAsia="Arial" w:hAnsi="Arial" w:cs="Arial"/>
      <w:b/>
      <w:color w:val="0E101A"/>
    </w:rPr>
  </w:style>
  <w:style w:type="paragraph" w:styleId="Heading2">
    <w:name w:val="heading 2"/>
    <w:next w:val="Normal"/>
    <w:link w:val="Heading2Char"/>
    <w:uiPriority w:val="9"/>
    <w:unhideWhenUsed/>
    <w:qFormat/>
    <w:pPr>
      <w:keepNext/>
      <w:keepLines/>
      <w:spacing w:after="115" w:line="259" w:lineRule="auto"/>
      <w:ind w:left="10" w:right="13" w:hanging="10"/>
      <w:outlineLvl w:val="1"/>
    </w:pPr>
    <w:rPr>
      <w:rFonts w:ascii="Arial" w:eastAsia="Arial" w:hAnsi="Arial" w:cs="Arial"/>
      <w:b/>
      <w:color w:val="0E101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E101A"/>
      <w:sz w:val="24"/>
    </w:rPr>
  </w:style>
  <w:style w:type="character" w:customStyle="1" w:styleId="Heading1Char">
    <w:name w:val="Heading 1 Char"/>
    <w:link w:val="Heading1"/>
    <w:rPr>
      <w:rFonts w:ascii="Arial" w:eastAsia="Arial" w:hAnsi="Arial" w:cs="Arial"/>
      <w:b/>
      <w:color w:val="0E101A"/>
      <w:sz w:val="24"/>
    </w:rPr>
  </w:style>
  <w:style w:type="paragraph" w:styleId="TOC1">
    <w:name w:val="toc 1"/>
    <w:hidden/>
    <w:pPr>
      <w:spacing w:line="259" w:lineRule="auto"/>
      <w:ind w:left="15" w:right="15"/>
    </w:pPr>
    <w:rPr>
      <w:rFonts w:ascii="Calibri" w:eastAsia="Calibri" w:hAnsi="Calibri" w:cs="Calibri"/>
      <w:color w:val="000000"/>
      <w:sz w:val="22"/>
    </w:rPr>
  </w:style>
  <w:style w:type="paragraph" w:styleId="TOC2">
    <w:name w:val="toc 2"/>
    <w:hidden/>
    <w:pPr>
      <w:spacing w:line="259" w:lineRule="auto"/>
      <w:ind w:left="15" w:right="15"/>
    </w:pPr>
    <w:rPr>
      <w:rFonts w:ascii="Calibri" w:eastAsia="Calibri" w:hAnsi="Calibri" w:cs="Calibri"/>
      <w:color w:val="000000"/>
      <w:sz w:val="22"/>
    </w:rPr>
  </w:style>
  <w:style w:type="character" w:styleId="Hyperlink">
    <w:name w:val="Hyperlink"/>
    <w:basedOn w:val="DefaultParagraphFont"/>
    <w:uiPriority w:val="99"/>
    <w:unhideWhenUsed/>
    <w:rsid w:val="003440D6"/>
    <w:rPr>
      <w:color w:val="467886" w:themeColor="hyperlink"/>
      <w:u w:val="single"/>
    </w:rPr>
  </w:style>
  <w:style w:type="character" w:styleId="UnresolvedMention">
    <w:name w:val="Unresolved Mention"/>
    <w:basedOn w:val="DefaultParagraphFont"/>
    <w:uiPriority w:val="99"/>
    <w:semiHidden/>
    <w:unhideWhenUsed/>
    <w:rsid w:val="003440D6"/>
    <w:rPr>
      <w:color w:val="605E5C"/>
      <w:shd w:val="clear" w:color="auto" w:fill="E1DFDD"/>
    </w:rPr>
  </w:style>
  <w:style w:type="paragraph" w:styleId="Header">
    <w:name w:val="header"/>
    <w:basedOn w:val="Normal"/>
    <w:link w:val="HeaderChar"/>
    <w:uiPriority w:val="99"/>
    <w:unhideWhenUsed/>
    <w:rsid w:val="00C85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E78"/>
    <w:rPr>
      <w:rFonts w:ascii="Arial" w:eastAsia="Arial" w:hAnsi="Arial" w:cs="Arial"/>
      <w:color w:val="0E101A"/>
    </w:rPr>
  </w:style>
  <w:style w:type="paragraph" w:styleId="Footer">
    <w:name w:val="footer"/>
    <w:basedOn w:val="Normal"/>
    <w:link w:val="FooterChar"/>
    <w:uiPriority w:val="99"/>
    <w:unhideWhenUsed/>
    <w:rsid w:val="00C85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E78"/>
    <w:rPr>
      <w:rFonts w:ascii="Arial" w:eastAsia="Arial" w:hAnsi="Arial" w:cs="Arial"/>
      <w:color w:val="0E101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12884-022-05279-6" TargetMode="External"/><Relationship Id="rId18" Type="http://schemas.openxmlformats.org/officeDocument/2006/relationships/hyperlink" Target="https://link.springer.com/article/10.1186/s12884-023-05898-7" TargetMode="External"/><Relationship Id="rId26" Type="http://schemas.openxmlformats.org/officeDocument/2006/relationships/hyperlink" Target="https://www.sciencedirect.com/science/article/pii/S1871519222003523" TargetMode="External"/><Relationship Id="rId39" Type="http://schemas.openxmlformats.org/officeDocument/2006/relationships/footer" Target="footer2.xml"/><Relationship Id="rId21" Type="http://schemas.openxmlformats.org/officeDocument/2006/relationships/hyperlink" Target="https://link.springer.com/article/10.1186/s12884-023-05898-7" TargetMode="External"/><Relationship Id="rId34" Type="http://schemas.openxmlformats.org/officeDocument/2006/relationships/hyperlink" Target="https://medic.upm.edu.my/upload/dokumen/2024111108571636_MJMHS_0489.pdf" TargetMode="External"/><Relationship Id="rId42" Type="http://schemas.openxmlformats.org/officeDocument/2006/relationships/fontTable" Target="fontTable.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link.springer.com/article/10.1186/s12884-022-05279-6" TargetMode="External"/><Relationship Id="rId20" Type="http://schemas.openxmlformats.org/officeDocument/2006/relationships/hyperlink" Target="https://link.springer.com/article/10.1186/s12884-023-05898-7" TargetMode="External"/><Relationship Id="rId29" Type="http://schemas.openxmlformats.org/officeDocument/2006/relationships/hyperlink" Target="https://www.sciencedirect.com/science/article/pii/S0266613822000857"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186/s12884-022-05279-6" TargetMode="External"/><Relationship Id="rId24" Type="http://schemas.openxmlformats.org/officeDocument/2006/relationships/hyperlink" Target="https://link.springer.com/article/10.1186/s12884-023-05898-7" TargetMode="External"/><Relationship Id="rId32" Type="http://schemas.openxmlformats.org/officeDocument/2006/relationships/hyperlink" Target="https://journals.co.za/doi/abs/10.4102/hsag.v27i0.2029"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link.springer.com/article/10.1186/s12884-022-05279-6" TargetMode="External"/><Relationship Id="rId23" Type="http://schemas.openxmlformats.org/officeDocument/2006/relationships/hyperlink" Target="https://link.springer.com/article/10.1186/s12884-023-05898-7" TargetMode="External"/><Relationship Id="rId28" Type="http://schemas.openxmlformats.org/officeDocument/2006/relationships/hyperlink" Target="https://www.sciencedirect.com/science/article/pii/S0266613822000857" TargetMode="External"/><Relationship Id="rId36" Type="http://schemas.openxmlformats.org/officeDocument/2006/relationships/header" Target="header1.xml"/><Relationship Id="rId10" Type="http://schemas.openxmlformats.org/officeDocument/2006/relationships/hyperlink" Target="https://link.springer.com/article/10.1186/s12884-022-05279-6" TargetMode="External"/><Relationship Id="rId19" Type="http://schemas.openxmlformats.org/officeDocument/2006/relationships/hyperlink" Target="https://link.springer.com/article/10.1186/s12884-023-05898-7" TargetMode="External"/><Relationship Id="rId31" Type="http://schemas.openxmlformats.org/officeDocument/2006/relationships/hyperlink" Target="https://www.sciencedirect.com/science/article/pii/S1871519225002720"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link.springer.com/article/10.1186/s12884-022-05279-6" TargetMode="External"/><Relationship Id="rId22" Type="http://schemas.openxmlformats.org/officeDocument/2006/relationships/hyperlink" Target="https://link.springer.com/article/10.1186/s12884-023-05898-7" TargetMode="External"/><Relationship Id="rId27" Type="http://schemas.openxmlformats.org/officeDocument/2006/relationships/hyperlink" Target="https://www.sciencedirect.com/science/article/pii/S1871519222003523" TargetMode="External"/><Relationship Id="rId30" Type="http://schemas.openxmlformats.org/officeDocument/2006/relationships/hyperlink" Target="https://www.sciencedirect.com/science/article/pii/S1871519225002720" TargetMode="External"/><Relationship Id="rId35" Type="http://schemas.openxmlformats.org/officeDocument/2006/relationships/hyperlink" Target="https://medic.upm.edu.my/upload/dokumen/2024111108571636_MJMHS_0489.pdf" TargetMode="External"/><Relationship Id="rId43" Type="http://schemas.openxmlformats.org/officeDocument/2006/relationships/theme" Target="theme/theme1.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hyperlink" Target="https://link.springer.com/article/10.1186/s12884-022-05279-6" TargetMode="External"/><Relationship Id="rId17" Type="http://schemas.openxmlformats.org/officeDocument/2006/relationships/hyperlink" Target="https://link.springer.com/article/10.1186/s12884-022-05279-6" TargetMode="External"/><Relationship Id="rId25" Type="http://schemas.openxmlformats.org/officeDocument/2006/relationships/hyperlink" Target="https://link.springer.com/article/10.1186/s12884-023-05898-7" TargetMode="External"/><Relationship Id="rId33" Type="http://schemas.openxmlformats.org/officeDocument/2006/relationships/hyperlink" Target="https://journals.co.za/doi/abs/10.4102/hsag.v27i0.2029"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DB157-D528-4288-AD91-DAC864C45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Pages>
  <Words>1548</Words>
  <Characters>8829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Nadejda Ducantoni (2531000)</cp:lastModifiedBy>
  <cp:revision>4</cp:revision>
  <dcterms:created xsi:type="dcterms:W3CDTF">2026-07-17T10:55:00Z</dcterms:created>
  <dcterms:modified xsi:type="dcterms:W3CDTF">2026-07-19T17:26:00Z</dcterms:modified>
</cp:coreProperties>
</file>