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970B4" w:rsidRDefault="009250E1" w:rsidP="009250E1">
      <w:pPr>
        <w:jc w:val="center"/>
        <w:rPr>
          <w:b/>
          <w:sz w:val="24"/>
          <w:szCs w:val="24"/>
        </w:rPr>
      </w:pPr>
      <w:proofErr w:type="spellStart"/>
      <w:r w:rsidRPr="009250E1">
        <w:rPr>
          <w:b/>
          <w:sz w:val="24"/>
          <w:szCs w:val="24"/>
        </w:rPr>
        <w:t>Aseiniad</w:t>
      </w:r>
      <w:proofErr w:type="spellEnd"/>
      <w:r w:rsidRPr="009250E1">
        <w:rPr>
          <w:b/>
          <w:sz w:val="24"/>
          <w:szCs w:val="24"/>
        </w:rPr>
        <w:t xml:space="preserve"> 2   </w:t>
      </w:r>
      <w:proofErr w:type="spellStart"/>
      <w:r w:rsidRPr="009250E1">
        <w:rPr>
          <w:b/>
          <w:sz w:val="24"/>
          <w:szCs w:val="24"/>
        </w:rPr>
        <w:t>Cynllun</w:t>
      </w:r>
      <w:proofErr w:type="spellEnd"/>
      <w:r w:rsidRPr="009250E1">
        <w:rPr>
          <w:b/>
          <w:sz w:val="24"/>
          <w:szCs w:val="24"/>
        </w:rPr>
        <w:t xml:space="preserve"> </w:t>
      </w:r>
      <w:proofErr w:type="spellStart"/>
      <w:r w:rsidRPr="009250E1">
        <w:rPr>
          <w:b/>
          <w:sz w:val="24"/>
          <w:szCs w:val="24"/>
        </w:rPr>
        <w:t>Gwella</w:t>
      </w:r>
      <w:proofErr w:type="spellEnd"/>
      <w:r w:rsidRPr="009250E1">
        <w:rPr>
          <w:b/>
          <w:sz w:val="24"/>
          <w:szCs w:val="24"/>
        </w:rPr>
        <w:t xml:space="preserve"> </w:t>
      </w:r>
      <w:proofErr w:type="spellStart"/>
      <w:r w:rsidRPr="009250E1">
        <w:rPr>
          <w:b/>
          <w:sz w:val="24"/>
          <w:szCs w:val="24"/>
        </w:rPr>
        <w:t>cyfrwng</w:t>
      </w:r>
      <w:proofErr w:type="spellEnd"/>
      <w:r w:rsidRPr="009250E1">
        <w:rPr>
          <w:b/>
          <w:sz w:val="24"/>
          <w:szCs w:val="24"/>
        </w:rPr>
        <w:t xml:space="preserve"> </w:t>
      </w:r>
      <w:proofErr w:type="spellStart"/>
      <w:r w:rsidRPr="009250E1">
        <w:rPr>
          <w:b/>
          <w:sz w:val="24"/>
          <w:szCs w:val="24"/>
        </w:rPr>
        <w:t>Cymraeg</w:t>
      </w:r>
      <w:proofErr w:type="spellEnd"/>
    </w:p>
    <w:p w:rsidR="009250E1" w:rsidRDefault="009250E1">
      <w:pPr>
        <w:rPr>
          <w:b/>
          <w:sz w:val="24"/>
          <w:szCs w:val="24"/>
        </w:rPr>
      </w:pPr>
      <w:proofErr w:type="spellStart"/>
      <w:r>
        <w:rPr>
          <w:b/>
          <w:sz w:val="24"/>
          <w:szCs w:val="24"/>
        </w:rPr>
        <w:t>Uned</w:t>
      </w:r>
      <w:proofErr w:type="spellEnd"/>
      <w:r>
        <w:rPr>
          <w:b/>
          <w:sz w:val="24"/>
          <w:szCs w:val="24"/>
        </w:rPr>
        <w:t xml:space="preserve"> 9   </w:t>
      </w:r>
      <w:proofErr w:type="spellStart"/>
      <w:r>
        <w:rPr>
          <w:b/>
          <w:sz w:val="24"/>
          <w:szCs w:val="24"/>
        </w:rPr>
        <w:t>Tasg</w:t>
      </w:r>
      <w:proofErr w:type="spellEnd"/>
      <w:r>
        <w:rPr>
          <w:b/>
          <w:sz w:val="24"/>
          <w:szCs w:val="24"/>
        </w:rPr>
        <w:t xml:space="preserve"> </w:t>
      </w:r>
      <w:proofErr w:type="spellStart"/>
      <w:r>
        <w:rPr>
          <w:b/>
          <w:sz w:val="24"/>
          <w:szCs w:val="24"/>
        </w:rPr>
        <w:t>Trawsieithu</w:t>
      </w:r>
      <w:proofErr w:type="spellEnd"/>
    </w:p>
    <w:p w:rsidR="009250E1" w:rsidRDefault="009250E1" w:rsidP="009250E1">
      <w:pPr>
        <w:rPr>
          <w:sz w:val="28"/>
          <w:szCs w:val="28"/>
          <w:lang w:val="cy-GB"/>
        </w:rPr>
      </w:pPr>
      <w:r>
        <w:rPr>
          <w:b/>
          <w:sz w:val="28"/>
          <w:szCs w:val="28"/>
          <w:lang w:val="cy-GB"/>
        </w:rPr>
        <w:t>T</w:t>
      </w:r>
      <w:r>
        <w:rPr>
          <w:b/>
          <w:sz w:val="28"/>
          <w:szCs w:val="28"/>
          <w:lang w:val="cy-GB"/>
        </w:rPr>
        <w:t xml:space="preserve">ASG </w:t>
      </w:r>
      <w:r w:rsidRPr="00401A38">
        <w:rPr>
          <w:b/>
          <w:sz w:val="28"/>
          <w:szCs w:val="28"/>
          <w:lang w:val="cy-GB"/>
        </w:rPr>
        <w:t xml:space="preserve">: TRAWSIEITHU </w:t>
      </w:r>
      <w:r w:rsidRPr="00401A38">
        <w:rPr>
          <w:sz w:val="28"/>
          <w:szCs w:val="28"/>
          <w:lang w:val="cy-GB"/>
        </w:rPr>
        <w:t xml:space="preserve"> </w:t>
      </w:r>
    </w:p>
    <w:p w:rsidR="009250E1" w:rsidRPr="00401A38" w:rsidRDefault="009250E1" w:rsidP="009250E1">
      <w:pPr>
        <w:rPr>
          <w:sz w:val="24"/>
          <w:szCs w:val="24"/>
          <w:lang w:val="cy-GB"/>
        </w:rPr>
      </w:pPr>
      <w:r w:rsidRPr="00343644">
        <w:rPr>
          <w:sz w:val="24"/>
          <w:szCs w:val="24"/>
          <w:lang w:val="cy-GB"/>
        </w:rPr>
        <w:t>Lluniwch drawsieithiad (hynny yw, crynodeb yn Gymraeg) o’r darn</w:t>
      </w:r>
      <w:r w:rsidRPr="00343644">
        <w:rPr>
          <w:i/>
          <w:sz w:val="24"/>
          <w:szCs w:val="24"/>
          <w:lang w:val="cy-GB"/>
        </w:rPr>
        <w:t xml:space="preserve"> </w:t>
      </w:r>
      <w:r w:rsidRPr="00343644">
        <w:rPr>
          <w:sz w:val="24"/>
          <w:szCs w:val="24"/>
          <w:lang w:val="cy-GB"/>
        </w:rPr>
        <w:t>isod. Rydych wedi derbyn copi papur ohono gan y goruchwyliwr hefyd.</w:t>
      </w:r>
    </w:p>
    <w:p w:rsidR="009250E1" w:rsidRPr="00D454F3" w:rsidRDefault="009250E1" w:rsidP="009250E1">
      <w:pPr>
        <w:rPr>
          <w:lang w:val="cy-GB"/>
        </w:rPr>
      </w:pPr>
      <w:r>
        <w:rPr>
          <w:lang w:val="cy-GB"/>
        </w:rPr>
        <w:t xml:space="preserve">Mae’r darn gwreiddiol, gan gynnwys y pennawd, </w:t>
      </w:r>
      <w:r w:rsidRPr="00D454F3">
        <w:rPr>
          <w:lang w:val="cy-GB"/>
        </w:rPr>
        <w:t xml:space="preserve">yn </w:t>
      </w:r>
      <w:r w:rsidRPr="005B4BFA">
        <w:rPr>
          <w:b/>
          <w:lang w:val="cy-GB"/>
        </w:rPr>
        <w:t>45</w:t>
      </w:r>
      <w:r>
        <w:rPr>
          <w:b/>
          <w:lang w:val="cy-GB"/>
        </w:rPr>
        <w:t>7</w:t>
      </w:r>
      <w:r w:rsidRPr="00D454F3">
        <w:rPr>
          <w:lang w:val="cy-GB"/>
        </w:rPr>
        <w:t xml:space="preserve"> o eiriau. Cofiwch y dylai eich trawsieithiad fod tua thraean/chwarter y gwreiddiol, sef </w:t>
      </w:r>
      <w:r w:rsidRPr="00D454F3">
        <w:rPr>
          <w:b/>
          <w:lang w:val="cy-GB"/>
        </w:rPr>
        <w:t xml:space="preserve">rhwng </w:t>
      </w:r>
      <w:r w:rsidRPr="00052024">
        <w:rPr>
          <w:b/>
          <w:lang w:val="cy-GB"/>
        </w:rPr>
        <w:t>1</w:t>
      </w:r>
      <w:r>
        <w:rPr>
          <w:b/>
          <w:lang w:val="cy-GB"/>
        </w:rPr>
        <w:t>14</w:t>
      </w:r>
      <w:r w:rsidRPr="00052024">
        <w:rPr>
          <w:b/>
          <w:lang w:val="cy-GB"/>
        </w:rPr>
        <w:t xml:space="preserve"> a </w:t>
      </w:r>
      <w:r>
        <w:rPr>
          <w:b/>
          <w:lang w:val="cy-GB"/>
        </w:rPr>
        <w:t>152</w:t>
      </w:r>
      <w:r w:rsidRPr="00D454F3">
        <w:rPr>
          <w:b/>
          <w:lang w:val="cy-GB"/>
        </w:rPr>
        <w:t xml:space="preserve"> gair</w:t>
      </w:r>
      <w:r w:rsidRPr="00D454F3">
        <w:rPr>
          <w:lang w:val="cy-GB"/>
        </w:rPr>
        <w:t xml:space="preserve">. Byddwch yn colli marciau am y dasg hon os bydd eich trawsieithiad yn rhy fyr neu’n rhy hir. </w:t>
      </w:r>
      <w:r w:rsidRPr="00D454F3">
        <w:rPr>
          <w:b/>
          <w:lang w:val="cy-GB"/>
        </w:rPr>
        <w:t>Nodwch nifer y geiriau ar ddiwedd y trawsieithiad.</w:t>
      </w:r>
    </w:p>
    <w:p w:rsidR="009250E1" w:rsidRDefault="009250E1" w:rsidP="009250E1">
      <w:pPr>
        <w:rPr>
          <w:lang w:val="cy-GB"/>
        </w:rPr>
      </w:pPr>
      <w:r w:rsidRPr="00D454F3">
        <w:rPr>
          <w:lang w:val="cy-GB"/>
        </w:rPr>
        <w:t xml:space="preserve">Er mwyn </w:t>
      </w:r>
      <w:r w:rsidRPr="00D454F3">
        <w:rPr>
          <w:b/>
          <w:lang w:val="cy-GB"/>
        </w:rPr>
        <w:t>cyfrif nifer y geiriau yn eich trawsieithiad</w:t>
      </w:r>
      <w:r w:rsidRPr="00D454F3">
        <w:rPr>
          <w:lang w:val="cy-GB"/>
        </w:rPr>
        <w:t xml:space="preserve">, dewiswch y darn o destun ac edrych ar y bar offer ar waelod y sgrin ar y chwith.  Bydd rhywbeth tebyg i  ‘Gair: 130/470’ yno. Y rhif cyntaf yw nifer y geiriau yn y darn rydych wedi’i ddewis. Os nad ydych wedi dewis darn o destun, bydd ‘Gair: 470’ yno, hynny yw, nifer y geiriau yn y ddogfen gyfan. </w:t>
      </w:r>
    </w:p>
    <w:p w:rsidR="009250E1" w:rsidRDefault="009250E1" w:rsidP="009250E1">
      <w:pPr>
        <w:rPr>
          <w:lang w:val="cy-GB"/>
        </w:rPr>
      </w:pPr>
    </w:p>
    <w:p w:rsidR="009250E1" w:rsidRDefault="009250E1" w:rsidP="009250E1">
      <w:pPr>
        <w:rPr>
          <w:sz w:val="24"/>
          <w:szCs w:val="24"/>
          <w:lang w:val="cy-GB"/>
        </w:rPr>
      </w:pPr>
      <w:r w:rsidRPr="00A21639">
        <w:rPr>
          <w:sz w:val="24"/>
          <w:szCs w:val="24"/>
          <w:lang w:val="cy-GB"/>
        </w:rPr>
        <w:t xml:space="preserve">Erthygl wedi’i haddasu o </w:t>
      </w:r>
      <w:r>
        <w:rPr>
          <w:i/>
          <w:sz w:val="24"/>
          <w:szCs w:val="24"/>
          <w:lang w:val="cy-GB"/>
        </w:rPr>
        <w:t>Times Educational Supplement</w:t>
      </w:r>
      <w:r>
        <w:rPr>
          <w:sz w:val="24"/>
          <w:szCs w:val="24"/>
          <w:lang w:val="cy-GB"/>
        </w:rPr>
        <w:t>, 21 Awst 2015</w:t>
      </w:r>
    </w:p>
    <w:p w:rsidR="009250E1" w:rsidRPr="00E01F26" w:rsidRDefault="009250E1" w:rsidP="009250E1">
      <w:pPr>
        <w:rPr>
          <w:sz w:val="24"/>
          <w:szCs w:val="24"/>
        </w:rPr>
      </w:pPr>
      <w:r w:rsidRPr="00E01F26">
        <w:rPr>
          <w:b/>
          <w:sz w:val="24"/>
          <w:szCs w:val="24"/>
        </w:rPr>
        <w:t xml:space="preserve">Goldilocks is a guru. Let me explain why </w:t>
      </w:r>
      <w:r w:rsidRPr="00E01F26">
        <w:rPr>
          <w:sz w:val="24"/>
          <w:szCs w:val="24"/>
        </w:rPr>
        <w:t>by Alex Quigley</w:t>
      </w:r>
    </w:p>
    <w:p w:rsidR="009250E1" w:rsidRDefault="009250E1" w:rsidP="009250E1">
      <w:pPr>
        <w:rPr>
          <w:sz w:val="24"/>
          <w:szCs w:val="24"/>
        </w:rPr>
      </w:pPr>
      <w:r w:rsidRPr="00E01F26">
        <w:rPr>
          <w:sz w:val="24"/>
          <w:szCs w:val="24"/>
        </w:rPr>
        <w:t>Explanations are a</w:t>
      </w:r>
      <w:r>
        <w:rPr>
          <w:sz w:val="24"/>
          <w:szCs w:val="24"/>
        </w:rPr>
        <w:t>bsolutely vital in teaching yet they are largely ignored when we plan and prepare lessons. This is an oversight that should be put right.</w:t>
      </w:r>
    </w:p>
    <w:p w:rsidR="009250E1" w:rsidRDefault="009250E1" w:rsidP="009250E1">
      <w:pPr>
        <w:rPr>
          <w:sz w:val="24"/>
          <w:szCs w:val="24"/>
        </w:rPr>
      </w:pPr>
      <w:r>
        <w:rPr>
          <w:sz w:val="24"/>
          <w:szCs w:val="24"/>
        </w:rPr>
        <w:tab/>
        <w:t>We need to pitch explanations expertly: not to easy, not too hard, but just right. Let’s call it the Goldilocks principle. The good news is that there is plenty of research out there to help.</w:t>
      </w:r>
    </w:p>
    <w:p w:rsidR="009250E1" w:rsidRPr="00E01F26" w:rsidRDefault="009250E1" w:rsidP="009250E1">
      <w:pPr>
        <w:rPr>
          <w:b/>
          <w:sz w:val="24"/>
          <w:szCs w:val="24"/>
        </w:rPr>
      </w:pPr>
      <w:r>
        <w:rPr>
          <w:b/>
          <w:sz w:val="24"/>
          <w:szCs w:val="24"/>
        </w:rPr>
        <w:t>Assess prior knowledge</w:t>
      </w:r>
    </w:p>
    <w:p w:rsidR="009250E1" w:rsidRDefault="009250E1" w:rsidP="009250E1">
      <w:pPr>
        <w:rPr>
          <w:sz w:val="24"/>
          <w:szCs w:val="24"/>
        </w:rPr>
      </w:pPr>
      <w:r>
        <w:rPr>
          <w:sz w:val="24"/>
          <w:szCs w:val="24"/>
        </w:rPr>
        <w:t xml:space="preserve">A crucial starting point is to ask a lot of questions to ascertain students’ prior knowledge. As </w:t>
      </w:r>
      <w:proofErr w:type="spellStart"/>
      <w:r>
        <w:rPr>
          <w:sz w:val="24"/>
          <w:szCs w:val="24"/>
        </w:rPr>
        <w:t>Salva</w:t>
      </w:r>
      <w:proofErr w:type="spellEnd"/>
      <w:r>
        <w:rPr>
          <w:sz w:val="24"/>
          <w:szCs w:val="24"/>
        </w:rPr>
        <w:t xml:space="preserve"> </w:t>
      </w:r>
      <w:proofErr w:type="spellStart"/>
      <w:r>
        <w:rPr>
          <w:sz w:val="24"/>
          <w:szCs w:val="24"/>
        </w:rPr>
        <w:t>Kalyuga</w:t>
      </w:r>
      <w:proofErr w:type="spellEnd"/>
      <w:r>
        <w:rPr>
          <w:sz w:val="24"/>
          <w:szCs w:val="24"/>
        </w:rPr>
        <w:t xml:space="preserve"> and colleagues found (2013), if students know a lot already, too much repetition will clog up their working memory and stifle their capacity to learn anything new. </w:t>
      </w:r>
    </w:p>
    <w:p w:rsidR="009250E1" w:rsidRDefault="009250E1" w:rsidP="009250E1">
      <w:pPr>
        <w:rPr>
          <w:sz w:val="24"/>
          <w:szCs w:val="24"/>
        </w:rPr>
      </w:pPr>
      <w:r>
        <w:rPr>
          <w:sz w:val="24"/>
          <w:szCs w:val="24"/>
        </w:rPr>
        <w:tab/>
        <w:t xml:space="preserve">But how effective are we at discovering what our students know? </w:t>
      </w:r>
      <w:proofErr w:type="gramStart"/>
      <w:r>
        <w:rPr>
          <w:sz w:val="24"/>
          <w:szCs w:val="24"/>
        </w:rPr>
        <w:t>Not very.</w:t>
      </w:r>
      <w:proofErr w:type="gramEnd"/>
      <w:r>
        <w:rPr>
          <w:sz w:val="24"/>
          <w:szCs w:val="24"/>
        </w:rPr>
        <w:t xml:space="preserve"> It’s clear from Arthur </w:t>
      </w:r>
      <w:proofErr w:type="spellStart"/>
      <w:r>
        <w:rPr>
          <w:sz w:val="24"/>
          <w:szCs w:val="24"/>
        </w:rPr>
        <w:t>Graesser</w:t>
      </w:r>
      <w:proofErr w:type="spellEnd"/>
      <w:r>
        <w:rPr>
          <w:sz w:val="24"/>
          <w:szCs w:val="24"/>
        </w:rPr>
        <w:t xml:space="preserve"> and Natalie Person’s 1994 research that our questioning has room for improvement. The questions we put to students are too often closed and simple. We need to ask deeper, open questions that really probe their understanding of the explanation we have given.</w:t>
      </w:r>
    </w:p>
    <w:p w:rsidR="009250E1" w:rsidRDefault="009250E1" w:rsidP="009250E1">
      <w:pPr>
        <w:rPr>
          <w:sz w:val="24"/>
          <w:szCs w:val="24"/>
        </w:rPr>
      </w:pPr>
      <w:r>
        <w:rPr>
          <w:sz w:val="24"/>
          <w:szCs w:val="24"/>
        </w:rPr>
        <w:tab/>
        <w:t xml:space="preserve">Simply asking “When did Martin Luther King die?” in a history class has some value but asking “Why was Martin Luther King’s death a turning point in American history and </w:t>
      </w:r>
      <w:r>
        <w:rPr>
          <w:sz w:val="24"/>
          <w:szCs w:val="24"/>
        </w:rPr>
        <w:lastRenderedPageBreak/>
        <w:t xml:space="preserve">politics?” is more challenging, forcing students to elaborate and retain knowledge in their long-term memory. </w:t>
      </w:r>
    </w:p>
    <w:p w:rsidR="009250E1" w:rsidRDefault="009250E1" w:rsidP="009250E1">
      <w:pPr>
        <w:rPr>
          <w:b/>
          <w:sz w:val="24"/>
          <w:szCs w:val="24"/>
        </w:rPr>
      </w:pPr>
      <w:r>
        <w:rPr>
          <w:b/>
          <w:sz w:val="24"/>
          <w:szCs w:val="24"/>
        </w:rPr>
        <w:t>Balance real and abstract</w:t>
      </w:r>
    </w:p>
    <w:p w:rsidR="009250E1" w:rsidRDefault="009250E1" w:rsidP="009250E1">
      <w:pPr>
        <w:rPr>
          <w:sz w:val="24"/>
          <w:szCs w:val="24"/>
        </w:rPr>
      </w:pPr>
      <w:r>
        <w:rPr>
          <w:sz w:val="24"/>
          <w:szCs w:val="24"/>
        </w:rPr>
        <w:t xml:space="preserve">Once we have ascertained prior knowledge, we need to achieve a delicate balance between using real-life examples in our explanations and teaching more abstract ideas and concepts. The need for a concrete understanding never leaves us. But research by Jennifer Kaminski et al (2008) has shown that although real-world examples, e.g. in Mathematics, are a good starting point, students won’t reach a thorough understanding unless the explanation moves quickly to abstract concepts. </w:t>
      </w:r>
    </w:p>
    <w:p w:rsidR="009250E1" w:rsidRDefault="009250E1" w:rsidP="009250E1">
      <w:pPr>
        <w:rPr>
          <w:b/>
          <w:sz w:val="24"/>
          <w:szCs w:val="24"/>
        </w:rPr>
      </w:pPr>
      <w:r>
        <w:rPr>
          <w:b/>
          <w:sz w:val="24"/>
          <w:szCs w:val="24"/>
        </w:rPr>
        <w:t>Keep it simple</w:t>
      </w:r>
    </w:p>
    <w:p w:rsidR="009250E1" w:rsidRDefault="009250E1" w:rsidP="009250E1">
      <w:pPr>
        <w:rPr>
          <w:sz w:val="24"/>
          <w:szCs w:val="24"/>
        </w:rPr>
      </w:pPr>
      <w:r>
        <w:rPr>
          <w:sz w:val="24"/>
          <w:szCs w:val="24"/>
        </w:rPr>
        <w:t xml:space="preserve">We should also be wary of technological bells and whistles. A great explanation doesn’t need glossy animations or YouTube videos to be memorable. </w:t>
      </w:r>
      <w:proofErr w:type="gramStart"/>
      <w:r>
        <w:rPr>
          <w:sz w:val="24"/>
          <w:szCs w:val="24"/>
        </w:rPr>
        <w:t>Research by Richard Mayer and colleagues (2005) shows that using still images can be more effective than using animations.</w:t>
      </w:r>
      <w:proofErr w:type="gramEnd"/>
      <w:r>
        <w:rPr>
          <w:sz w:val="24"/>
          <w:szCs w:val="24"/>
        </w:rPr>
        <w:t xml:space="preserve"> Probably, students are forced to think about the image actively, whereas a clip can overstretch their memory capacity.</w:t>
      </w:r>
    </w:p>
    <w:p w:rsidR="009250E1" w:rsidRDefault="009250E1" w:rsidP="009250E1">
      <w:pPr>
        <w:rPr>
          <w:b/>
          <w:sz w:val="24"/>
          <w:szCs w:val="24"/>
        </w:rPr>
      </w:pPr>
      <w:r>
        <w:rPr>
          <w:b/>
          <w:sz w:val="24"/>
          <w:szCs w:val="24"/>
        </w:rPr>
        <w:t>Know thy student</w:t>
      </w:r>
    </w:p>
    <w:p w:rsidR="009250E1" w:rsidRDefault="009250E1" w:rsidP="009250E1">
      <w:pPr>
        <w:rPr>
          <w:sz w:val="24"/>
          <w:szCs w:val="24"/>
        </w:rPr>
      </w:pPr>
      <w:r>
        <w:rPr>
          <w:sz w:val="24"/>
          <w:szCs w:val="24"/>
        </w:rPr>
        <w:t xml:space="preserve">A great explanation does require interesting examples to vie for attention in the minds of our students. We also need to model successful outcomes. And then, like teaching someone to ride a bike, we need to take the training wheels off, reducing modelling and example-giving so that pupils can work with greater independence. The process is subtle and requires in-depth knowledge of the young people in our class and their understanding at every step. </w:t>
      </w:r>
    </w:p>
    <w:p w:rsidR="009250E1" w:rsidRPr="00FE7603" w:rsidRDefault="009250E1" w:rsidP="009250E1">
      <w:pPr>
        <w:rPr>
          <w:sz w:val="24"/>
          <w:szCs w:val="24"/>
        </w:rPr>
      </w:pPr>
      <w:r>
        <w:rPr>
          <w:sz w:val="24"/>
          <w:szCs w:val="24"/>
        </w:rPr>
        <w:tab/>
        <w:t xml:space="preserve">So next time you’re planning, don’t just concentrate on content; take time to formulate your explanations, too. </w:t>
      </w:r>
    </w:p>
    <w:p w:rsidR="009250E1" w:rsidRDefault="009250E1" w:rsidP="009250E1">
      <w:pPr>
        <w:rPr>
          <w:b/>
          <w:sz w:val="24"/>
          <w:szCs w:val="24"/>
        </w:rPr>
      </w:pPr>
    </w:p>
    <w:p w:rsidR="009250E1" w:rsidRDefault="009250E1" w:rsidP="009250E1">
      <w:pPr>
        <w:rPr>
          <w:b/>
          <w:sz w:val="24"/>
          <w:szCs w:val="24"/>
        </w:rPr>
      </w:pPr>
    </w:p>
    <w:p w:rsidR="009250E1" w:rsidRDefault="009250E1" w:rsidP="009250E1">
      <w:pPr>
        <w:rPr>
          <w:b/>
          <w:sz w:val="24"/>
          <w:szCs w:val="24"/>
        </w:rPr>
      </w:pPr>
    </w:p>
    <w:p w:rsidR="009250E1" w:rsidRDefault="009250E1" w:rsidP="009250E1">
      <w:pPr>
        <w:rPr>
          <w:b/>
          <w:sz w:val="24"/>
          <w:szCs w:val="24"/>
        </w:rPr>
      </w:pPr>
    </w:p>
    <w:p w:rsidR="009250E1" w:rsidRDefault="009250E1" w:rsidP="009250E1">
      <w:pPr>
        <w:rPr>
          <w:b/>
          <w:sz w:val="24"/>
          <w:szCs w:val="24"/>
        </w:rPr>
      </w:pPr>
    </w:p>
    <w:p w:rsidR="009250E1" w:rsidRDefault="009250E1" w:rsidP="009250E1">
      <w:pPr>
        <w:rPr>
          <w:b/>
          <w:sz w:val="24"/>
          <w:szCs w:val="24"/>
        </w:rPr>
      </w:pPr>
    </w:p>
    <w:p w:rsidR="009250E1" w:rsidRDefault="009250E1" w:rsidP="009250E1">
      <w:pPr>
        <w:rPr>
          <w:b/>
          <w:sz w:val="24"/>
          <w:szCs w:val="24"/>
        </w:rPr>
      </w:pPr>
    </w:p>
    <w:p w:rsidR="009250E1" w:rsidRDefault="009250E1" w:rsidP="009250E1">
      <w:pPr>
        <w:rPr>
          <w:b/>
          <w:sz w:val="24"/>
          <w:szCs w:val="24"/>
        </w:rPr>
      </w:pPr>
    </w:p>
    <w:p w:rsidR="009250E1" w:rsidRPr="00401A38" w:rsidRDefault="009250E1" w:rsidP="009250E1">
      <w:pPr>
        <w:rPr>
          <w:sz w:val="28"/>
          <w:szCs w:val="28"/>
          <w:lang w:val="cy-GB"/>
        </w:rPr>
      </w:pPr>
      <w:r>
        <w:rPr>
          <w:b/>
          <w:sz w:val="28"/>
          <w:szCs w:val="28"/>
          <w:lang w:val="cy-GB"/>
        </w:rPr>
        <w:lastRenderedPageBreak/>
        <w:t xml:space="preserve">TASG </w:t>
      </w:r>
      <w:r w:rsidRPr="00401A38">
        <w:rPr>
          <w:b/>
          <w:sz w:val="28"/>
          <w:szCs w:val="28"/>
          <w:lang w:val="cy-GB"/>
        </w:rPr>
        <w:t xml:space="preserve">: CYWIRO </w:t>
      </w:r>
      <w:r w:rsidRPr="00401A38">
        <w:rPr>
          <w:sz w:val="28"/>
          <w:szCs w:val="28"/>
          <w:lang w:val="cy-GB"/>
        </w:rPr>
        <w:t xml:space="preserve"> (Mae’r dasg hon yn werth 20% o’r marciau)</w:t>
      </w:r>
    </w:p>
    <w:p w:rsidR="009250E1" w:rsidRDefault="009250E1" w:rsidP="009250E1">
      <w:pPr>
        <w:rPr>
          <w:sz w:val="24"/>
          <w:szCs w:val="24"/>
          <w:lang w:val="cy-GB"/>
        </w:rPr>
      </w:pPr>
      <w:r>
        <w:rPr>
          <w:sz w:val="24"/>
          <w:szCs w:val="24"/>
          <w:lang w:val="cy-GB"/>
        </w:rPr>
        <w:t xml:space="preserve">Mae </w:t>
      </w:r>
      <w:r w:rsidRPr="00750A9E">
        <w:rPr>
          <w:b/>
          <w:sz w:val="24"/>
          <w:szCs w:val="24"/>
          <w:u w:val="single"/>
          <w:lang w:val="cy-GB"/>
        </w:rPr>
        <w:t>22</w:t>
      </w:r>
      <w:r w:rsidRPr="00750A9E">
        <w:rPr>
          <w:sz w:val="24"/>
          <w:szCs w:val="24"/>
          <w:u w:val="single"/>
          <w:lang w:val="cy-GB"/>
        </w:rPr>
        <w:t xml:space="preserve"> </w:t>
      </w:r>
      <w:r w:rsidRPr="00750A9E">
        <w:rPr>
          <w:b/>
          <w:sz w:val="24"/>
          <w:szCs w:val="24"/>
          <w:u w:val="single"/>
          <w:lang w:val="cy-GB"/>
        </w:rPr>
        <w:t>gwall iaith</w:t>
      </w:r>
      <w:r>
        <w:rPr>
          <w:sz w:val="24"/>
          <w:szCs w:val="24"/>
          <w:lang w:val="cy-GB"/>
        </w:rPr>
        <w:t xml:space="preserve"> </w:t>
      </w:r>
      <w:r w:rsidRPr="00401A38">
        <w:rPr>
          <w:sz w:val="24"/>
          <w:szCs w:val="24"/>
          <w:lang w:val="cy-GB"/>
        </w:rPr>
        <w:t xml:space="preserve">yn y darn canlynol. </w:t>
      </w:r>
      <w:r>
        <w:rPr>
          <w:sz w:val="24"/>
          <w:szCs w:val="24"/>
          <w:lang w:val="cy-GB"/>
        </w:rPr>
        <w:t>Cywirwch nhw, gyda chymorth Cysill.</w:t>
      </w:r>
    </w:p>
    <w:p w:rsidR="009250E1" w:rsidRPr="00717161" w:rsidRDefault="009250E1" w:rsidP="009250E1">
      <w:pPr>
        <w:rPr>
          <w:sz w:val="24"/>
          <w:szCs w:val="24"/>
          <w:lang w:val="cy-GB"/>
        </w:rPr>
      </w:pPr>
      <w:r w:rsidRPr="00401A38">
        <w:rPr>
          <w:b/>
          <w:sz w:val="24"/>
          <w:szCs w:val="24"/>
          <w:lang w:val="cy-GB"/>
        </w:rPr>
        <w:t>Nid</w:t>
      </w:r>
      <w:r w:rsidRPr="00401A38">
        <w:rPr>
          <w:sz w:val="24"/>
          <w:szCs w:val="24"/>
          <w:lang w:val="cy-GB"/>
        </w:rPr>
        <w:t xml:space="preserve"> oes angen i chi </w:t>
      </w:r>
      <w:r>
        <w:rPr>
          <w:sz w:val="24"/>
          <w:szCs w:val="24"/>
          <w:lang w:val="cy-GB"/>
        </w:rPr>
        <w:t xml:space="preserve">newid cywair neu arddull y darn o gwbl, </w:t>
      </w:r>
      <w:r>
        <w:rPr>
          <w:rFonts w:ascii="Calibri" w:hAnsi="Calibri" w:cs="Calibri"/>
          <w:sz w:val="24"/>
          <w:szCs w:val="24"/>
        </w:rPr>
        <w:t xml:space="preserve">dim </w:t>
      </w:r>
      <w:r w:rsidRPr="00B5608D">
        <w:rPr>
          <w:rFonts w:ascii="Calibri" w:hAnsi="Calibri" w:cs="Calibri"/>
          <w:sz w:val="24"/>
          <w:szCs w:val="24"/>
          <w:lang w:val="cy-GB"/>
        </w:rPr>
        <w:t>ond cywiro’r gwallau iaith sydd ynddo.</w:t>
      </w:r>
      <w:r>
        <w:rPr>
          <w:rFonts w:ascii="Calibri" w:hAnsi="Calibri" w:cs="Calibri"/>
          <w:sz w:val="24"/>
          <w:szCs w:val="24"/>
          <w:lang w:val="cy-GB"/>
        </w:rPr>
        <w:t xml:space="preserve"> Rhowch eich </w:t>
      </w:r>
      <w:r w:rsidRPr="009250E1">
        <w:rPr>
          <w:rFonts w:ascii="Calibri" w:hAnsi="Calibri" w:cs="Calibri"/>
          <w:b/>
          <w:sz w:val="24"/>
          <w:szCs w:val="24"/>
          <w:lang w:val="cy-GB"/>
        </w:rPr>
        <w:t>cywiriadau</w:t>
      </w:r>
      <w:r>
        <w:rPr>
          <w:rFonts w:ascii="Calibri" w:hAnsi="Calibri" w:cs="Calibri"/>
          <w:sz w:val="24"/>
          <w:szCs w:val="24"/>
          <w:lang w:val="cy-GB"/>
        </w:rPr>
        <w:t xml:space="preserve"> mewn </w:t>
      </w:r>
      <w:r>
        <w:rPr>
          <w:rFonts w:ascii="Calibri" w:hAnsi="Calibri" w:cs="Calibri"/>
          <w:b/>
          <w:sz w:val="24"/>
          <w:szCs w:val="24"/>
          <w:lang w:val="cy-GB"/>
        </w:rPr>
        <w:t>print trwm</w:t>
      </w:r>
      <w:r>
        <w:rPr>
          <w:rFonts w:ascii="Calibri" w:hAnsi="Calibri" w:cs="Calibri"/>
          <w:sz w:val="24"/>
          <w:szCs w:val="24"/>
          <w:lang w:val="cy-GB"/>
        </w:rPr>
        <w:t>.</w:t>
      </w:r>
    </w:p>
    <w:p w:rsidR="009250E1" w:rsidRDefault="009250E1" w:rsidP="009250E1">
      <w:pPr>
        <w:spacing w:line="480" w:lineRule="auto"/>
        <w:rPr>
          <w:lang w:val="cy-GB"/>
        </w:rPr>
      </w:pPr>
    </w:p>
    <w:p w:rsidR="009250E1" w:rsidRPr="00701B95" w:rsidRDefault="009250E1" w:rsidP="009250E1">
      <w:pPr>
        <w:spacing w:line="480" w:lineRule="auto"/>
        <w:rPr>
          <w:lang w:val="cy-GB"/>
        </w:rPr>
      </w:pPr>
      <w:r w:rsidRPr="00701B95">
        <w:rPr>
          <w:lang w:val="cy-GB"/>
        </w:rPr>
        <w:t>Mae Dafydd yn disgybl cydwybodol iawn. Mae ei bresenoldeb y flwyddyn hon wedi bod yn ardderchog a gellir dibynnu’n llwyr arni i gyflawni pob tasg yn raenus. Gwnaeth cynnydd da ym mhob pwnc yn ystod y flwyddyn ac aeth heibio a dengys ei farciau arholiadau iddo deall pob agwedd o’r gwaith. Braf yw gweld iddo lwyddo cymryd rhan yn nifer o weithgareddau allgyrsiol, yn arbennig gyda tîm rygbi Blwyddyn 7. Mae ei wisg ysgol yn cael ei wisgo’n gywir ac mae’n gwneud defnydd ardderchog o’i lyfr cysylltiad. Er bod ei ddefnydd o’r Gymraeg yn dda, dylai bod yn ymdrechi i siarad mwy o Gymraeg yn gymdeithasol.</w:t>
      </w:r>
    </w:p>
    <w:p w:rsidR="009250E1" w:rsidRPr="00701B95" w:rsidRDefault="009250E1" w:rsidP="009250E1">
      <w:pPr>
        <w:spacing w:line="480" w:lineRule="auto"/>
        <w:rPr>
          <w:lang w:val="cy-GB"/>
        </w:rPr>
      </w:pPr>
      <w:r w:rsidRPr="00701B95">
        <w:rPr>
          <w:lang w:val="cy-GB"/>
        </w:rPr>
        <w:t xml:space="preserve">Mae ymddygiad Dafydd yn dda am y cyfan ond mae rhai athrawon wedi nodi bod ganddo tuedd i dynnu sylw’r aelodau eraill o’r dosbarth ar brydiau. Felly mae’n rhaid iddo ddysgu i ganolbwyntio fwy yn y dosbarth. </w:t>
      </w:r>
    </w:p>
    <w:p w:rsidR="009250E1" w:rsidRDefault="009250E1" w:rsidP="009250E1">
      <w:pPr>
        <w:spacing w:line="480" w:lineRule="auto"/>
        <w:rPr>
          <w:lang w:val="cy-GB"/>
        </w:rPr>
      </w:pPr>
      <w:r w:rsidRPr="00701B95">
        <w:rPr>
          <w:lang w:val="cy-GB"/>
        </w:rPr>
        <w:t>Targedau Dafydd ar gyfer y flwyddyn nesaf i’w i gyflawni ei botensial drwy waith caled a pharhau gyda’i ymroddiad yn weithgareddau allgyrsiol yr ysgol.</w:t>
      </w:r>
      <w:r>
        <w:rPr>
          <w:lang w:val="cy-GB"/>
        </w:rPr>
        <w:t xml:space="preserve"> </w:t>
      </w:r>
    </w:p>
    <w:p w:rsidR="009250E1" w:rsidRDefault="009250E1" w:rsidP="009250E1">
      <w:pPr>
        <w:spacing w:line="480" w:lineRule="auto"/>
        <w:rPr>
          <w:lang w:val="cy-GB"/>
        </w:rPr>
      </w:pPr>
    </w:p>
    <w:p w:rsidR="009250E1" w:rsidRPr="001B01CD" w:rsidRDefault="009250E1" w:rsidP="009250E1">
      <w:pPr>
        <w:spacing w:line="480" w:lineRule="auto"/>
        <w:rPr>
          <w:sz w:val="24"/>
          <w:szCs w:val="24"/>
          <w:lang w:val="cy-GB"/>
        </w:rPr>
      </w:pPr>
    </w:p>
    <w:p w:rsidR="009250E1" w:rsidRDefault="009250E1" w:rsidP="009250E1">
      <w:pPr>
        <w:rPr>
          <w:b/>
          <w:sz w:val="24"/>
          <w:szCs w:val="24"/>
          <w:lang w:val="cy-GB"/>
        </w:rPr>
      </w:pPr>
      <w:r w:rsidRPr="00D454F3">
        <w:rPr>
          <w:b/>
          <w:sz w:val="24"/>
          <w:szCs w:val="24"/>
          <w:lang w:val="cy-GB"/>
        </w:rPr>
        <w:br w:type="page"/>
      </w:r>
    </w:p>
    <w:p w:rsidR="009250E1" w:rsidRPr="00FE7603" w:rsidRDefault="009250E1" w:rsidP="009250E1">
      <w:pPr>
        <w:rPr>
          <w:sz w:val="24"/>
          <w:szCs w:val="24"/>
        </w:rPr>
      </w:pPr>
      <w:bookmarkStart w:id="0" w:name="_GoBack"/>
      <w:bookmarkEnd w:id="0"/>
    </w:p>
    <w:p w:rsidR="009250E1" w:rsidRDefault="009250E1" w:rsidP="009250E1">
      <w:pPr>
        <w:rPr>
          <w:b/>
        </w:rPr>
      </w:pPr>
      <w:r>
        <w:rPr>
          <w:b/>
        </w:rPr>
        <w:br w:type="page"/>
      </w:r>
    </w:p>
    <w:p w:rsidR="009250E1" w:rsidRPr="009250E1" w:rsidRDefault="009250E1">
      <w:pPr>
        <w:rPr>
          <w:b/>
          <w:sz w:val="24"/>
          <w:szCs w:val="24"/>
        </w:rPr>
      </w:pPr>
    </w:p>
    <w:sectPr w:rsidR="009250E1" w:rsidRPr="009250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250E1"/>
    <w:rsid w:val="00641490"/>
    <w:rsid w:val="009250E1"/>
    <w:rsid w:val="00A059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5</Pages>
  <Words>754</Words>
  <Characters>4299</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Manon Sion [mws10]</dc:creator>
  <cp:lastModifiedBy>Manon Sion [mws10]</cp:lastModifiedBy>
  <cp:revision>1</cp:revision>
  <dcterms:created xsi:type="dcterms:W3CDTF">2016-01-12T11:03:00Z</dcterms:created>
  <dcterms:modified xsi:type="dcterms:W3CDTF">2016-01-12T11:08:00Z</dcterms:modified>
</cp:coreProperties>
</file>