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7A21B" w14:textId="77777777" w:rsidR="008A5024" w:rsidRPr="002A0906" w:rsidRDefault="008A5024" w:rsidP="008A5024">
      <w:pPr>
        <w:spacing w:line="360" w:lineRule="auto"/>
        <w:jc w:val="center"/>
        <w:rPr>
          <w:rFonts w:ascii="Times New Roman" w:eastAsia="Times New Roman" w:hAnsi="Times New Roman" w:cs="Times New Roman"/>
          <w:b/>
          <w:color w:val="000000" w:themeColor="text1"/>
          <w:sz w:val="24"/>
          <w:szCs w:val="24"/>
        </w:rPr>
      </w:pPr>
    </w:p>
    <w:p w14:paraId="4688DF02" w14:textId="77777777" w:rsidR="008A5024" w:rsidRPr="002A0906" w:rsidRDefault="008A5024" w:rsidP="008A5024">
      <w:pPr>
        <w:spacing w:line="360" w:lineRule="auto"/>
        <w:jc w:val="center"/>
        <w:rPr>
          <w:rFonts w:ascii="Times New Roman" w:eastAsia="Times New Roman" w:hAnsi="Times New Roman" w:cs="Times New Roman"/>
          <w:b/>
          <w:color w:val="000000" w:themeColor="text1"/>
          <w:sz w:val="24"/>
          <w:szCs w:val="24"/>
        </w:rPr>
      </w:pPr>
    </w:p>
    <w:p w14:paraId="3114D7F2" w14:textId="77777777" w:rsidR="008A5024" w:rsidRPr="002A0906" w:rsidRDefault="008A5024" w:rsidP="008A5024">
      <w:pPr>
        <w:spacing w:line="360" w:lineRule="auto"/>
        <w:jc w:val="center"/>
        <w:rPr>
          <w:rFonts w:ascii="Times New Roman" w:eastAsia="Times New Roman" w:hAnsi="Times New Roman" w:cs="Times New Roman"/>
          <w:b/>
          <w:color w:val="000000" w:themeColor="text1"/>
          <w:sz w:val="24"/>
          <w:szCs w:val="24"/>
        </w:rPr>
      </w:pPr>
    </w:p>
    <w:p w14:paraId="18565918" w14:textId="77777777" w:rsidR="008A5024" w:rsidRPr="002A0906" w:rsidRDefault="008A5024" w:rsidP="008A5024">
      <w:pPr>
        <w:spacing w:line="360" w:lineRule="auto"/>
        <w:jc w:val="center"/>
        <w:rPr>
          <w:rFonts w:ascii="Times New Roman" w:eastAsia="Times New Roman" w:hAnsi="Times New Roman" w:cs="Times New Roman"/>
          <w:b/>
          <w:color w:val="000000" w:themeColor="text1"/>
          <w:sz w:val="24"/>
          <w:szCs w:val="24"/>
        </w:rPr>
      </w:pPr>
    </w:p>
    <w:p w14:paraId="1F979804" w14:textId="77777777" w:rsidR="008A5024" w:rsidRPr="002A0906" w:rsidRDefault="008A5024" w:rsidP="008A5024">
      <w:pPr>
        <w:spacing w:line="360" w:lineRule="auto"/>
        <w:jc w:val="center"/>
        <w:rPr>
          <w:rFonts w:ascii="Times New Roman" w:eastAsia="Times New Roman" w:hAnsi="Times New Roman" w:cs="Times New Roman"/>
          <w:b/>
          <w:color w:val="000000" w:themeColor="text1"/>
          <w:sz w:val="24"/>
          <w:szCs w:val="24"/>
        </w:rPr>
      </w:pPr>
    </w:p>
    <w:p w14:paraId="0D87E23A" w14:textId="77777777" w:rsidR="008A5024" w:rsidRPr="002A0906" w:rsidRDefault="008A5024" w:rsidP="008A5024">
      <w:pPr>
        <w:spacing w:line="360" w:lineRule="auto"/>
        <w:jc w:val="center"/>
        <w:rPr>
          <w:rFonts w:ascii="Times New Roman" w:eastAsia="Times New Roman" w:hAnsi="Times New Roman" w:cs="Times New Roman"/>
          <w:b/>
          <w:color w:val="000000" w:themeColor="text1"/>
          <w:sz w:val="24"/>
          <w:szCs w:val="24"/>
        </w:rPr>
      </w:pPr>
    </w:p>
    <w:p w14:paraId="38CC4E36" w14:textId="77777777" w:rsidR="00DD5AD0" w:rsidRDefault="00DD5AD0" w:rsidP="00DD5AD0">
      <w:pP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Written report </w:t>
      </w:r>
    </w:p>
    <w:p w14:paraId="10E14DE7" w14:textId="77777777" w:rsidR="00DD5AD0" w:rsidRDefault="00DD5AD0" w:rsidP="00DD5AD0">
      <w:pPr>
        <w:spacing w:line="360" w:lineRule="auto"/>
        <w:jc w:val="center"/>
        <w:rPr>
          <w:rFonts w:ascii="Times New Roman" w:eastAsia="Times New Roman" w:hAnsi="Times New Roman" w:cs="Times New Roman"/>
          <w:b/>
          <w:color w:val="000000" w:themeColor="text1"/>
          <w:sz w:val="24"/>
          <w:szCs w:val="24"/>
        </w:rPr>
      </w:pPr>
    </w:p>
    <w:p w14:paraId="2E765A0E" w14:textId="77777777" w:rsidR="00DD5AD0" w:rsidRDefault="00DD5AD0" w:rsidP="00DD5AD0">
      <w:pPr>
        <w:spacing w:line="360" w:lineRule="auto"/>
        <w:jc w:val="center"/>
        <w:rPr>
          <w:rFonts w:ascii="Times New Roman" w:eastAsia="Times New Roman" w:hAnsi="Times New Roman" w:cs="Times New Roman"/>
          <w:b/>
          <w:color w:val="000000" w:themeColor="text1"/>
          <w:sz w:val="24"/>
          <w:szCs w:val="24"/>
        </w:rPr>
      </w:pPr>
    </w:p>
    <w:p w14:paraId="0D699B56" w14:textId="77777777" w:rsidR="00DD5AD0" w:rsidRDefault="00DD5AD0" w:rsidP="00DD5AD0">
      <w:pPr>
        <w:spacing w:line="360" w:lineRule="auto"/>
        <w:jc w:val="center"/>
        <w:rPr>
          <w:rFonts w:ascii="Times New Roman" w:eastAsia="Times New Roman" w:hAnsi="Times New Roman" w:cs="Times New Roman"/>
          <w:b/>
          <w:color w:val="000000" w:themeColor="text1"/>
          <w:sz w:val="24"/>
          <w:szCs w:val="24"/>
        </w:rPr>
      </w:pPr>
    </w:p>
    <w:p w14:paraId="2778FA53" w14:textId="77777777" w:rsidR="00DD5AD0" w:rsidRDefault="00DD5AD0" w:rsidP="00DD5AD0">
      <w:pPr>
        <w:spacing w:line="360" w:lineRule="auto"/>
        <w:jc w:val="center"/>
        <w:rPr>
          <w:rFonts w:ascii="Times New Roman" w:eastAsia="Times New Roman" w:hAnsi="Times New Roman" w:cs="Times New Roman"/>
          <w:b/>
          <w:color w:val="000000" w:themeColor="text1"/>
          <w:sz w:val="24"/>
          <w:szCs w:val="24"/>
        </w:rPr>
      </w:pPr>
    </w:p>
    <w:p w14:paraId="672811F3" w14:textId="77777777" w:rsidR="00DD5AD0" w:rsidRDefault="00DD5AD0" w:rsidP="00DD5AD0">
      <w:pPr>
        <w:spacing w:line="360" w:lineRule="auto"/>
        <w:jc w:val="center"/>
        <w:rPr>
          <w:rFonts w:ascii="Times New Roman" w:eastAsia="Times New Roman" w:hAnsi="Times New Roman" w:cs="Times New Roman"/>
          <w:b/>
          <w:color w:val="000000" w:themeColor="text1"/>
          <w:sz w:val="24"/>
          <w:szCs w:val="24"/>
        </w:rPr>
      </w:pPr>
    </w:p>
    <w:p w14:paraId="07458247" w14:textId="77777777" w:rsidR="00DD5AD0" w:rsidRDefault="00DD5AD0" w:rsidP="00DD5AD0">
      <w:pPr>
        <w:spacing w:line="360" w:lineRule="auto"/>
        <w:jc w:val="center"/>
        <w:rPr>
          <w:rFonts w:ascii="Times New Roman" w:eastAsia="Times New Roman" w:hAnsi="Times New Roman" w:cs="Times New Roman"/>
          <w:b/>
          <w:color w:val="000000" w:themeColor="text1"/>
          <w:sz w:val="24"/>
          <w:szCs w:val="24"/>
        </w:rPr>
      </w:pPr>
    </w:p>
    <w:p w14:paraId="10A39FF5" w14:textId="77777777" w:rsidR="00DD5AD0" w:rsidRDefault="00DD5AD0" w:rsidP="00DD5AD0">
      <w:pPr>
        <w:spacing w:line="360" w:lineRule="auto"/>
        <w:jc w:val="center"/>
        <w:rPr>
          <w:rFonts w:ascii="Times New Roman" w:eastAsia="Times New Roman" w:hAnsi="Times New Roman" w:cs="Times New Roman"/>
          <w:b/>
          <w:color w:val="000000" w:themeColor="text1"/>
          <w:sz w:val="24"/>
          <w:szCs w:val="24"/>
        </w:rPr>
      </w:pPr>
    </w:p>
    <w:p w14:paraId="703C3C63" w14:textId="77777777" w:rsidR="00DD5AD0" w:rsidRDefault="00DD5AD0" w:rsidP="00DD5AD0">
      <w:pPr>
        <w:spacing w:line="360" w:lineRule="auto"/>
        <w:jc w:val="center"/>
        <w:rPr>
          <w:rFonts w:ascii="Times New Roman" w:eastAsia="Times New Roman" w:hAnsi="Times New Roman" w:cs="Times New Roman"/>
          <w:b/>
          <w:color w:val="000000" w:themeColor="text1"/>
          <w:sz w:val="24"/>
          <w:szCs w:val="24"/>
        </w:rPr>
      </w:pPr>
    </w:p>
    <w:p w14:paraId="51E59F9E" w14:textId="77777777" w:rsidR="00DD5AD0" w:rsidRDefault="00DD5AD0" w:rsidP="00DD5AD0">
      <w:pPr>
        <w:spacing w:line="360" w:lineRule="auto"/>
        <w:jc w:val="center"/>
        <w:rPr>
          <w:rFonts w:ascii="Times New Roman" w:eastAsia="Times New Roman" w:hAnsi="Times New Roman" w:cs="Times New Roman"/>
          <w:b/>
          <w:color w:val="000000" w:themeColor="text1"/>
          <w:sz w:val="24"/>
          <w:szCs w:val="24"/>
        </w:rPr>
      </w:pPr>
    </w:p>
    <w:p w14:paraId="712961C3" w14:textId="77777777" w:rsidR="00DD5AD0" w:rsidRDefault="00DD5AD0" w:rsidP="00DD5AD0">
      <w:pPr>
        <w:spacing w:line="360" w:lineRule="auto"/>
        <w:jc w:val="center"/>
        <w:rPr>
          <w:rFonts w:ascii="Times New Roman" w:eastAsia="Times New Roman" w:hAnsi="Times New Roman" w:cs="Times New Roman"/>
          <w:b/>
          <w:color w:val="000000" w:themeColor="text1"/>
          <w:sz w:val="24"/>
          <w:szCs w:val="24"/>
        </w:rPr>
      </w:pPr>
    </w:p>
    <w:p w14:paraId="5B986F39" w14:textId="77777777" w:rsidR="00DD5AD0" w:rsidRDefault="00DD5AD0" w:rsidP="00DD5AD0">
      <w:pPr>
        <w:spacing w:line="360" w:lineRule="auto"/>
        <w:jc w:val="center"/>
        <w:rPr>
          <w:rFonts w:ascii="Times New Roman" w:eastAsia="Times New Roman" w:hAnsi="Times New Roman" w:cs="Times New Roman"/>
          <w:b/>
          <w:color w:val="000000" w:themeColor="text1"/>
          <w:sz w:val="24"/>
          <w:szCs w:val="24"/>
        </w:rPr>
      </w:pPr>
    </w:p>
    <w:p w14:paraId="01EFC171" w14:textId="77777777" w:rsidR="00DD5AD0" w:rsidRDefault="00DD5AD0" w:rsidP="00DD5AD0">
      <w:pPr>
        <w:spacing w:line="360" w:lineRule="auto"/>
        <w:jc w:val="center"/>
        <w:rPr>
          <w:rFonts w:ascii="Times New Roman" w:eastAsia="Times New Roman" w:hAnsi="Times New Roman" w:cs="Times New Roman"/>
          <w:b/>
          <w:color w:val="000000" w:themeColor="text1"/>
          <w:sz w:val="24"/>
          <w:szCs w:val="24"/>
        </w:rPr>
      </w:pPr>
    </w:p>
    <w:p w14:paraId="65DCB675" w14:textId="77777777" w:rsidR="00DD5AD0" w:rsidRDefault="00DD5AD0" w:rsidP="00DD5AD0">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Student id:2026381</w:t>
      </w:r>
    </w:p>
    <w:p w14:paraId="5F509F5D" w14:textId="77777777" w:rsidR="00DD5AD0" w:rsidRDefault="00DD5AD0" w:rsidP="00DD5AD0">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Student Name: Adamache Anaida </w:t>
      </w:r>
    </w:p>
    <w:p w14:paraId="32FEA31B" w14:textId="77777777" w:rsidR="00DD5AD0" w:rsidRDefault="00DD5AD0" w:rsidP="00DD5AD0">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Module Code:</w:t>
      </w:r>
      <w:r>
        <w:rPr>
          <w:b/>
          <w:bCs/>
        </w:rPr>
        <w:t xml:space="preserve"> BMIH5004</w:t>
      </w:r>
    </w:p>
    <w:p w14:paraId="6DC400FF" w14:textId="77777777" w:rsidR="00DD5AD0" w:rsidRDefault="00DD5AD0" w:rsidP="00DD5AD0">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Module Title: Management &amp; Organisational Behaviour</w:t>
      </w:r>
    </w:p>
    <w:p w14:paraId="13672DB3" w14:textId="77777777" w:rsidR="00DD5AD0" w:rsidRDefault="00DD5AD0" w:rsidP="00DD5AD0">
      <w:pPr>
        <w:spacing w:line="360" w:lineRule="auto"/>
        <w:jc w:val="center"/>
        <w:rPr>
          <w:rFonts w:ascii="Times New Roman" w:eastAsia="Times New Roman" w:hAnsi="Times New Roman" w:cs="Times New Roman"/>
          <w:b/>
          <w:color w:val="000000" w:themeColor="text1"/>
          <w:sz w:val="24"/>
          <w:szCs w:val="24"/>
        </w:rPr>
      </w:pPr>
    </w:p>
    <w:p w14:paraId="261C8FDD" w14:textId="77777777" w:rsidR="00FC73A0" w:rsidRDefault="00FC73A0">
      <w:pPr>
        <w:rPr>
          <w:rFonts w:ascii="Times New Roman" w:eastAsia="Times New Roman" w:hAnsi="Times New Roman" w:cs="Times New Roman"/>
          <w:b/>
          <w:color w:val="000000" w:themeColor="text1"/>
          <w:sz w:val="36"/>
          <w:szCs w:val="36"/>
        </w:rPr>
      </w:pPr>
      <w:r>
        <w:rPr>
          <w:rFonts w:ascii="Times New Roman" w:eastAsia="Times New Roman" w:hAnsi="Times New Roman" w:cs="Times New Roman"/>
          <w:b/>
          <w:color w:val="000000" w:themeColor="text1"/>
          <w:sz w:val="36"/>
          <w:szCs w:val="36"/>
        </w:rPr>
        <w:br w:type="page"/>
      </w:r>
    </w:p>
    <w:p w14:paraId="2C6E7CD1" w14:textId="77777777" w:rsidR="00FC73A0" w:rsidRPr="00FC73A0" w:rsidRDefault="00FC73A0" w:rsidP="00B2509E">
      <w:pPr>
        <w:spacing w:line="360" w:lineRule="auto"/>
        <w:rPr>
          <w:rFonts w:ascii="Times New Roman" w:eastAsia="Times New Roman" w:hAnsi="Times New Roman" w:cs="Times New Roman"/>
          <w:b/>
          <w:bCs/>
          <w:color w:val="000000" w:themeColor="text1"/>
          <w:sz w:val="24"/>
          <w:szCs w:val="24"/>
        </w:rPr>
      </w:pPr>
      <w:r w:rsidRPr="00FC73A0">
        <w:rPr>
          <w:rFonts w:ascii="Times New Roman" w:eastAsia="Times New Roman" w:hAnsi="Times New Roman" w:cs="Times New Roman"/>
          <w:b/>
          <w:bCs/>
          <w:color w:val="000000" w:themeColor="text1"/>
          <w:sz w:val="24"/>
          <w:szCs w:val="24"/>
        </w:rPr>
        <w:lastRenderedPageBreak/>
        <w:t>AI Statement</w:t>
      </w:r>
    </w:p>
    <w:p w14:paraId="7BD6E75F" w14:textId="7EBA2F13" w:rsidR="008B2DE0" w:rsidRDefault="00FC73A0" w:rsidP="00B2509E">
      <w:pPr>
        <w:spacing w:line="360" w:lineRule="auto"/>
        <w:rPr>
          <w:rFonts w:ascii="Times New Roman" w:eastAsia="Times New Roman" w:hAnsi="Times New Roman" w:cs="Times New Roman"/>
          <w:bCs/>
          <w:color w:val="000000" w:themeColor="text1"/>
          <w:sz w:val="24"/>
          <w:szCs w:val="24"/>
        </w:rPr>
      </w:pPr>
      <w:r w:rsidRPr="00B2509E">
        <w:rPr>
          <w:rFonts w:ascii="Times New Roman" w:eastAsia="Times New Roman" w:hAnsi="Times New Roman" w:cs="Times New Roman"/>
          <w:bCs/>
          <w:color w:val="000000" w:themeColor="text1"/>
          <w:sz w:val="24"/>
          <w:szCs w:val="24"/>
        </w:rP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r w:rsidR="008B2DE0">
        <w:rPr>
          <w:rFonts w:ascii="Times New Roman" w:eastAsia="Times New Roman" w:hAnsi="Times New Roman" w:cs="Times New Roman"/>
          <w:bCs/>
          <w:color w:val="000000" w:themeColor="text1"/>
          <w:sz w:val="24"/>
          <w:szCs w:val="24"/>
        </w:rPr>
        <w:t xml:space="preserve">  </w:t>
      </w:r>
    </w:p>
    <w:p w14:paraId="47ACE1EA" w14:textId="77777777" w:rsidR="008B2DE0" w:rsidRDefault="008B2DE0">
      <w:pP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br w:type="page"/>
      </w:r>
    </w:p>
    <w:p w14:paraId="03A8D32E" w14:textId="45E0A8C8" w:rsidR="008B2DE0" w:rsidRDefault="008B2DE0" w:rsidP="00B2509E">
      <w:pPr>
        <w:spacing w:line="360" w:lineRule="auto"/>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lastRenderedPageBreak/>
        <w:t xml:space="preserve">Executive </w:t>
      </w:r>
      <w:r w:rsidR="0062355D">
        <w:rPr>
          <w:rFonts w:ascii="Times New Roman" w:eastAsia="Times New Roman" w:hAnsi="Times New Roman" w:cs="Times New Roman"/>
          <w:bCs/>
          <w:color w:val="000000" w:themeColor="text1"/>
          <w:sz w:val="24"/>
          <w:szCs w:val="24"/>
        </w:rPr>
        <w:t>Summary</w:t>
      </w:r>
    </w:p>
    <w:p w14:paraId="110A9451" w14:textId="77777777" w:rsidR="008B2DE0" w:rsidRDefault="008B2DE0" w:rsidP="00B2509E">
      <w:pPr>
        <w:spacing w:line="360" w:lineRule="auto"/>
        <w:rPr>
          <w:rFonts w:ascii="Times New Roman" w:eastAsia="Times New Roman" w:hAnsi="Times New Roman" w:cs="Times New Roman"/>
          <w:bCs/>
          <w:color w:val="000000" w:themeColor="text1"/>
          <w:sz w:val="24"/>
          <w:szCs w:val="24"/>
        </w:rPr>
      </w:pPr>
    </w:p>
    <w:p w14:paraId="0D80ED1F" w14:textId="6C63C654" w:rsidR="008B2DE0" w:rsidRDefault="008B2DE0" w:rsidP="00B2509E">
      <w:pPr>
        <w:spacing w:line="360" w:lineRule="auto"/>
        <w:rPr>
          <w:rFonts w:ascii="Times New Roman" w:eastAsia="Times New Roman" w:hAnsi="Times New Roman" w:cs="Times New Roman"/>
          <w:bCs/>
          <w:color w:val="000000" w:themeColor="text1"/>
          <w:sz w:val="24"/>
          <w:szCs w:val="24"/>
        </w:rPr>
      </w:pPr>
      <w:r w:rsidRPr="008B2DE0">
        <w:rPr>
          <w:rFonts w:ascii="Times New Roman" w:eastAsia="Times New Roman" w:hAnsi="Times New Roman" w:cs="Times New Roman"/>
          <w:bCs/>
          <w:color w:val="000000" w:themeColor="text1"/>
          <w:sz w:val="24"/>
          <w:szCs w:val="24"/>
        </w:rPr>
        <w:t>Hyatt Hotels Corporation represents one of the global leaders in the hospitality industry that uses a very flexible multi-divisional structure. The hotel offers personalized experiences in various regions of the world. Its culture is mostly directed at people, and this is called the Hyatt Effect. The culture should also emphasize authenticity, thus leading to a much higher satisfaction of its guests. This report aims at a thorough and detailed analysis of the culture, the organizational structure, but also of Hyatt's objectives. It also examines recent initiatives that have been implemented by Hyatt together with its strategic direction. The report integrates management theories to evaluate the company's behavioural approach.</w:t>
      </w:r>
    </w:p>
    <w:p w14:paraId="04E2B528" w14:textId="7E771DBF" w:rsidR="008A5024" w:rsidRPr="00B2509E" w:rsidRDefault="008B2DE0" w:rsidP="00B2509E">
      <w:pPr>
        <w:spacing w:line="360" w:lineRule="auto"/>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 </w:t>
      </w:r>
      <w:r w:rsidR="00250B95" w:rsidRPr="00B2509E">
        <w:rPr>
          <w:rFonts w:ascii="Times New Roman" w:eastAsia="Times New Roman" w:hAnsi="Times New Roman" w:cs="Times New Roman"/>
          <w:bCs/>
          <w:color w:val="000000" w:themeColor="text1"/>
          <w:sz w:val="24"/>
          <w:szCs w:val="24"/>
        </w:rPr>
        <w:br w:type="page"/>
      </w:r>
    </w:p>
    <w:sdt>
      <w:sdtPr>
        <w:rPr>
          <w:rFonts w:ascii="Times New Roman" w:eastAsia="Arial" w:hAnsi="Times New Roman" w:cs="Times New Roman"/>
          <w:color w:val="000000" w:themeColor="text1"/>
          <w:sz w:val="24"/>
          <w:szCs w:val="24"/>
          <w:lang w:val="en-GB" w:eastAsia="en-GB"/>
        </w:rPr>
        <w:id w:val="-1432274291"/>
        <w:docPartObj>
          <w:docPartGallery w:val="Table of Contents"/>
          <w:docPartUnique/>
        </w:docPartObj>
      </w:sdtPr>
      <w:sdtEndPr>
        <w:rPr>
          <w:b/>
          <w:bCs/>
        </w:rPr>
      </w:sdtEndPr>
      <w:sdtContent>
        <w:p w14:paraId="6FBE1E30" w14:textId="7DB9A08B" w:rsidR="008A5024" w:rsidRPr="002A0906" w:rsidRDefault="00000000" w:rsidP="008A5024">
          <w:pPr>
            <w:pStyle w:val="TOCHeading"/>
            <w:spacing w:line="360" w:lineRule="auto"/>
            <w:jc w:val="center"/>
            <w:rPr>
              <w:rFonts w:ascii="Times New Roman" w:hAnsi="Times New Roman" w:cs="Times New Roman"/>
              <w:b/>
              <w:bCs/>
              <w:color w:val="000000" w:themeColor="text1"/>
              <w:sz w:val="24"/>
              <w:szCs w:val="24"/>
              <w:lang w:val="en-GB"/>
            </w:rPr>
          </w:pPr>
          <w:r w:rsidRPr="002A0906">
            <w:rPr>
              <w:rFonts w:ascii="Times New Roman" w:hAnsi="Times New Roman" w:cs="Times New Roman"/>
              <w:b/>
              <w:bCs/>
              <w:color w:val="000000" w:themeColor="text1"/>
              <w:sz w:val="24"/>
              <w:szCs w:val="24"/>
              <w:lang w:val="en-GB"/>
            </w:rPr>
            <w:t>Table of Contents</w:t>
          </w:r>
        </w:p>
        <w:p w14:paraId="2678865C" w14:textId="3D4E3851" w:rsidR="008B2DE0" w:rsidRDefault="00000000">
          <w:pPr>
            <w:pStyle w:val="TOC1"/>
            <w:tabs>
              <w:tab w:val="right" w:leader="dot" w:pos="9019"/>
            </w:tabs>
            <w:rPr>
              <w:rFonts w:asciiTheme="minorHAnsi" w:eastAsiaTheme="minorEastAsia" w:hAnsiTheme="minorHAnsi" w:cstheme="minorBidi"/>
              <w:noProof/>
              <w:kern w:val="2"/>
              <w:sz w:val="24"/>
              <w:szCs w:val="24"/>
              <w14:ligatures w14:val="standardContextual"/>
            </w:rPr>
          </w:pPr>
          <w:r w:rsidRPr="002A0906">
            <w:rPr>
              <w:rFonts w:ascii="Times New Roman" w:hAnsi="Times New Roman" w:cs="Times New Roman"/>
              <w:color w:val="000000" w:themeColor="text1"/>
              <w:sz w:val="24"/>
              <w:szCs w:val="24"/>
            </w:rPr>
            <w:fldChar w:fldCharType="begin"/>
          </w:r>
          <w:r w:rsidRPr="002A0906">
            <w:rPr>
              <w:rFonts w:ascii="Times New Roman" w:hAnsi="Times New Roman" w:cs="Times New Roman"/>
              <w:color w:val="000000" w:themeColor="text1"/>
              <w:sz w:val="24"/>
              <w:szCs w:val="24"/>
            </w:rPr>
            <w:instrText xml:space="preserve"> TOC \o "1-3" \h \z \u </w:instrText>
          </w:r>
          <w:r w:rsidRPr="002A0906">
            <w:rPr>
              <w:rFonts w:ascii="Times New Roman" w:hAnsi="Times New Roman" w:cs="Times New Roman"/>
              <w:color w:val="000000" w:themeColor="text1"/>
              <w:sz w:val="24"/>
              <w:szCs w:val="24"/>
            </w:rPr>
            <w:fldChar w:fldCharType="separate"/>
          </w:r>
          <w:hyperlink w:anchor="_Toc181987794" w:history="1">
            <w:r w:rsidR="008B2DE0" w:rsidRPr="001F6650">
              <w:rPr>
                <w:rStyle w:val="Hyperlink"/>
                <w:rFonts w:cs="Times New Roman"/>
                <w:noProof/>
              </w:rPr>
              <w:t>Introduction</w:t>
            </w:r>
            <w:r w:rsidR="008B2DE0">
              <w:rPr>
                <w:noProof/>
                <w:webHidden/>
              </w:rPr>
              <w:tab/>
            </w:r>
            <w:r w:rsidR="008B2DE0">
              <w:rPr>
                <w:noProof/>
                <w:webHidden/>
              </w:rPr>
              <w:fldChar w:fldCharType="begin"/>
            </w:r>
            <w:r w:rsidR="008B2DE0">
              <w:rPr>
                <w:noProof/>
                <w:webHidden/>
              </w:rPr>
              <w:instrText xml:space="preserve"> PAGEREF _Toc181987794 \h </w:instrText>
            </w:r>
            <w:r w:rsidR="008B2DE0">
              <w:rPr>
                <w:noProof/>
                <w:webHidden/>
              </w:rPr>
            </w:r>
            <w:r w:rsidR="008B2DE0">
              <w:rPr>
                <w:noProof/>
                <w:webHidden/>
              </w:rPr>
              <w:fldChar w:fldCharType="separate"/>
            </w:r>
            <w:r w:rsidR="008B2DE0">
              <w:rPr>
                <w:noProof/>
                <w:webHidden/>
              </w:rPr>
              <w:t>5</w:t>
            </w:r>
            <w:r w:rsidR="008B2DE0">
              <w:rPr>
                <w:noProof/>
                <w:webHidden/>
              </w:rPr>
              <w:fldChar w:fldCharType="end"/>
            </w:r>
          </w:hyperlink>
        </w:p>
        <w:p w14:paraId="78C75142" w14:textId="7A9F8CEB" w:rsidR="008B2DE0" w:rsidRDefault="008B2DE0">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81987795" w:history="1">
            <w:r w:rsidRPr="001F6650">
              <w:rPr>
                <w:rStyle w:val="Hyperlink"/>
                <w:rFonts w:cs="Times New Roman"/>
                <w:noProof/>
              </w:rPr>
              <w:t>Main Body</w:t>
            </w:r>
            <w:r>
              <w:rPr>
                <w:noProof/>
                <w:webHidden/>
              </w:rPr>
              <w:tab/>
            </w:r>
            <w:r>
              <w:rPr>
                <w:noProof/>
                <w:webHidden/>
              </w:rPr>
              <w:fldChar w:fldCharType="begin"/>
            </w:r>
            <w:r>
              <w:rPr>
                <w:noProof/>
                <w:webHidden/>
              </w:rPr>
              <w:instrText xml:space="preserve"> PAGEREF _Toc181987795 \h </w:instrText>
            </w:r>
            <w:r>
              <w:rPr>
                <w:noProof/>
                <w:webHidden/>
              </w:rPr>
            </w:r>
            <w:r>
              <w:rPr>
                <w:noProof/>
                <w:webHidden/>
              </w:rPr>
              <w:fldChar w:fldCharType="separate"/>
            </w:r>
            <w:r>
              <w:rPr>
                <w:noProof/>
                <w:webHidden/>
              </w:rPr>
              <w:t>5</w:t>
            </w:r>
            <w:r>
              <w:rPr>
                <w:noProof/>
                <w:webHidden/>
              </w:rPr>
              <w:fldChar w:fldCharType="end"/>
            </w:r>
          </w:hyperlink>
        </w:p>
        <w:p w14:paraId="11854904" w14:textId="21E644F5" w:rsidR="008B2DE0" w:rsidRDefault="008B2DE0">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81987796" w:history="1">
            <w:r w:rsidRPr="001F6650">
              <w:rPr>
                <w:rStyle w:val="Hyperlink"/>
                <w:rFonts w:cs="Times New Roman"/>
                <w:noProof/>
              </w:rPr>
              <w:t>Organisation Structure, Culture, and Goals</w:t>
            </w:r>
            <w:r>
              <w:rPr>
                <w:noProof/>
                <w:webHidden/>
              </w:rPr>
              <w:tab/>
            </w:r>
            <w:r>
              <w:rPr>
                <w:noProof/>
                <w:webHidden/>
              </w:rPr>
              <w:fldChar w:fldCharType="begin"/>
            </w:r>
            <w:r>
              <w:rPr>
                <w:noProof/>
                <w:webHidden/>
              </w:rPr>
              <w:instrText xml:space="preserve"> PAGEREF _Toc181987796 \h </w:instrText>
            </w:r>
            <w:r>
              <w:rPr>
                <w:noProof/>
                <w:webHidden/>
              </w:rPr>
            </w:r>
            <w:r>
              <w:rPr>
                <w:noProof/>
                <w:webHidden/>
              </w:rPr>
              <w:fldChar w:fldCharType="separate"/>
            </w:r>
            <w:r>
              <w:rPr>
                <w:noProof/>
                <w:webHidden/>
              </w:rPr>
              <w:t>5</w:t>
            </w:r>
            <w:r>
              <w:rPr>
                <w:noProof/>
                <w:webHidden/>
              </w:rPr>
              <w:fldChar w:fldCharType="end"/>
            </w:r>
          </w:hyperlink>
        </w:p>
        <w:p w14:paraId="414ED17B" w14:textId="6E8EA2C6" w:rsidR="008B2DE0" w:rsidRDefault="008B2DE0">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81987797" w:history="1">
            <w:r w:rsidRPr="001F6650">
              <w:rPr>
                <w:rStyle w:val="Hyperlink"/>
                <w:rFonts w:cs="Times New Roman"/>
                <w:noProof/>
              </w:rPr>
              <w:t>Recent Change Initiatives</w:t>
            </w:r>
            <w:r>
              <w:rPr>
                <w:noProof/>
                <w:webHidden/>
              </w:rPr>
              <w:tab/>
            </w:r>
            <w:r>
              <w:rPr>
                <w:noProof/>
                <w:webHidden/>
              </w:rPr>
              <w:fldChar w:fldCharType="begin"/>
            </w:r>
            <w:r>
              <w:rPr>
                <w:noProof/>
                <w:webHidden/>
              </w:rPr>
              <w:instrText xml:space="preserve"> PAGEREF _Toc181987797 \h </w:instrText>
            </w:r>
            <w:r>
              <w:rPr>
                <w:noProof/>
                <w:webHidden/>
              </w:rPr>
            </w:r>
            <w:r>
              <w:rPr>
                <w:noProof/>
                <w:webHidden/>
              </w:rPr>
              <w:fldChar w:fldCharType="separate"/>
            </w:r>
            <w:r>
              <w:rPr>
                <w:noProof/>
                <w:webHidden/>
              </w:rPr>
              <w:t>7</w:t>
            </w:r>
            <w:r>
              <w:rPr>
                <w:noProof/>
                <w:webHidden/>
              </w:rPr>
              <w:fldChar w:fldCharType="end"/>
            </w:r>
          </w:hyperlink>
        </w:p>
        <w:p w14:paraId="07C729EA" w14:textId="77CE7428" w:rsidR="008B2DE0" w:rsidRDefault="008B2DE0">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81987798" w:history="1">
            <w:r w:rsidRPr="001F6650">
              <w:rPr>
                <w:rStyle w:val="Hyperlink"/>
                <w:rFonts w:cs="Times New Roman"/>
                <w:noProof/>
              </w:rPr>
              <w:t>Strategic Direction</w:t>
            </w:r>
            <w:r>
              <w:rPr>
                <w:noProof/>
                <w:webHidden/>
              </w:rPr>
              <w:tab/>
            </w:r>
            <w:r>
              <w:rPr>
                <w:noProof/>
                <w:webHidden/>
              </w:rPr>
              <w:fldChar w:fldCharType="begin"/>
            </w:r>
            <w:r>
              <w:rPr>
                <w:noProof/>
                <w:webHidden/>
              </w:rPr>
              <w:instrText xml:space="preserve"> PAGEREF _Toc181987798 \h </w:instrText>
            </w:r>
            <w:r>
              <w:rPr>
                <w:noProof/>
                <w:webHidden/>
              </w:rPr>
            </w:r>
            <w:r>
              <w:rPr>
                <w:noProof/>
                <w:webHidden/>
              </w:rPr>
              <w:fldChar w:fldCharType="separate"/>
            </w:r>
            <w:r>
              <w:rPr>
                <w:noProof/>
                <w:webHidden/>
              </w:rPr>
              <w:t>8</w:t>
            </w:r>
            <w:r>
              <w:rPr>
                <w:noProof/>
                <w:webHidden/>
              </w:rPr>
              <w:fldChar w:fldCharType="end"/>
            </w:r>
          </w:hyperlink>
        </w:p>
        <w:p w14:paraId="7E9F9B65" w14:textId="570C67D6" w:rsidR="008B2DE0" w:rsidRDefault="008B2DE0">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81987799" w:history="1">
            <w:r w:rsidRPr="00DD5AD0">
              <w:rPr>
                <w:rStyle w:val="Hyperlink"/>
                <w:noProof/>
              </w:rPr>
              <w:t>Conclusion</w:t>
            </w:r>
            <w:r w:rsidRPr="00DD5AD0">
              <w:rPr>
                <w:noProof/>
                <w:webHidden/>
              </w:rPr>
              <w:tab/>
            </w:r>
            <w:r w:rsidRPr="00DD5AD0">
              <w:rPr>
                <w:noProof/>
                <w:webHidden/>
              </w:rPr>
              <w:fldChar w:fldCharType="begin"/>
            </w:r>
            <w:r w:rsidRPr="00DD5AD0">
              <w:rPr>
                <w:noProof/>
                <w:webHidden/>
              </w:rPr>
              <w:instrText xml:space="preserve"> PAGEREF _Toc181987799 \h </w:instrText>
            </w:r>
            <w:r w:rsidRPr="00DD5AD0">
              <w:rPr>
                <w:noProof/>
                <w:webHidden/>
              </w:rPr>
            </w:r>
            <w:r w:rsidRPr="00DD5AD0">
              <w:rPr>
                <w:noProof/>
                <w:webHidden/>
              </w:rPr>
              <w:fldChar w:fldCharType="separate"/>
            </w:r>
            <w:r w:rsidRPr="00DD5AD0">
              <w:rPr>
                <w:noProof/>
                <w:webHidden/>
              </w:rPr>
              <w:t>9</w:t>
            </w:r>
            <w:r w:rsidRPr="00DD5AD0">
              <w:rPr>
                <w:noProof/>
                <w:webHidden/>
              </w:rPr>
              <w:fldChar w:fldCharType="end"/>
            </w:r>
          </w:hyperlink>
        </w:p>
        <w:p w14:paraId="4C196408" w14:textId="6780EA9C" w:rsidR="008B2DE0" w:rsidRDefault="008B2DE0">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81987800" w:history="1">
            <w:r w:rsidRPr="001F6650">
              <w:rPr>
                <w:rStyle w:val="Hyperlink"/>
                <w:rFonts w:cs="Times New Roman"/>
                <w:noProof/>
              </w:rPr>
              <w:t>Recommendations</w:t>
            </w:r>
            <w:r>
              <w:rPr>
                <w:noProof/>
                <w:webHidden/>
              </w:rPr>
              <w:tab/>
            </w:r>
            <w:r>
              <w:rPr>
                <w:noProof/>
                <w:webHidden/>
              </w:rPr>
              <w:fldChar w:fldCharType="begin"/>
            </w:r>
            <w:r>
              <w:rPr>
                <w:noProof/>
                <w:webHidden/>
              </w:rPr>
              <w:instrText xml:space="preserve"> PAGEREF _Toc181987800 \h </w:instrText>
            </w:r>
            <w:r>
              <w:rPr>
                <w:noProof/>
                <w:webHidden/>
              </w:rPr>
            </w:r>
            <w:r>
              <w:rPr>
                <w:noProof/>
                <w:webHidden/>
              </w:rPr>
              <w:fldChar w:fldCharType="separate"/>
            </w:r>
            <w:r>
              <w:rPr>
                <w:noProof/>
                <w:webHidden/>
              </w:rPr>
              <w:t>9</w:t>
            </w:r>
            <w:r>
              <w:rPr>
                <w:noProof/>
                <w:webHidden/>
              </w:rPr>
              <w:fldChar w:fldCharType="end"/>
            </w:r>
          </w:hyperlink>
        </w:p>
        <w:p w14:paraId="051F67CB" w14:textId="7601C455" w:rsidR="008B2DE0" w:rsidRDefault="008B2DE0">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81987801" w:history="1">
            <w:r w:rsidRPr="001F6650">
              <w:rPr>
                <w:rStyle w:val="Hyperlink"/>
                <w:rFonts w:cs="Times New Roman"/>
                <w:noProof/>
              </w:rPr>
              <w:t>Reference</w:t>
            </w:r>
            <w:r>
              <w:rPr>
                <w:noProof/>
                <w:webHidden/>
              </w:rPr>
              <w:tab/>
            </w:r>
            <w:r>
              <w:rPr>
                <w:noProof/>
                <w:webHidden/>
              </w:rPr>
              <w:fldChar w:fldCharType="begin"/>
            </w:r>
            <w:r>
              <w:rPr>
                <w:noProof/>
                <w:webHidden/>
              </w:rPr>
              <w:instrText xml:space="preserve"> PAGEREF _Toc181987801 \h </w:instrText>
            </w:r>
            <w:r>
              <w:rPr>
                <w:noProof/>
                <w:webHidden/>
              </w:rPr>
            </w:r>
            <w:r>
              <w:rPr>
                <w:noProof/>
                <w:webHidden/>
              </w:rPr>
              <w:fldChar w:fldCharType="separate"/>
            </w:r>
            <w:r>
              <w:rPr>
                <w:noProof/>
                <w:webHidden/>
              </w:rPr>
              <w:t>11</w:t>
            </w:r>
            <w:r>
              <w:rPr>
                <w:noProof/>
                <w:webHidden/>
              </w:rPr>
              <w:fldChar w:fldCharType="end"/>
            </w:r>
          </w:hyperlink>
        </w:p>
        <w:p w14:paraId="6B991923" w14:textId="20DD84E7" w:rsidR="008A5024" w:rsidRPr="002A0906" w:rsidRDefault="00000000" w:rsidP="008A5024">
          <w:pPr>
            <w:spacing w:line="360" w:lineRule="auto"/>
            <w:jc w:val="both"/>
            <w:rPr>
              <w:rFonts w:ascii="Times New Roman" w:hAnsi="Times New Roman" w:cs="Times New Roman"/>
              <w:color w:val="000000" w:themeColor="text1"/>
              <w:sz w:val="24"/>
              <w:szCs w:val="24"/>
            </w:rPr>
          </w:pPr>
          <w:r w:rsidRPr="002A0906">
            <w:rPr>
              <w:rFonts w:ascii="Times New Roman" w:hAnsi="Times New Roman" w:cs="Times New Roman"/>
              <w:b/>
              <w:bCs/>
              <w:color w:val="000000" w:themeColor="text1"/>
              <w:sz w:val="24"/>
              <w:szCs w:val="24"/>
            </w:rPr>
            <w:fldChar w:fldCharType="end"/>
          </w:r>
        </w:p>
      </w:sdtContent>
    </w:sdt>
    <w:p w14:paraId="76F09063" w14:textId="77777777" w:rsidR="008A5024" w:rsidRPr="002A0906" w:rsidRDefault="00000000" w:rsidP="008A5024">
      <w:pPr>
        <w:spacing w:line="360" w:lineRule="auto"/>
        <w:jc w:val="both"/>
        <w:rPr>
          <w:rFonts w:ascii="Times New Roman" w:eastAsia="Times New Roman" w:hAnsi="Times New Roman" w:cs="Times New Roman"/>
          <w:b/>
          <w:color w:val="000000" w:themeColor="text1"/>
          <w:sz w:val="24"/>
          <w:szCs w:val="24"/>
        </w:rPr>
      </w:pPr>
      <w:r w:rsidRPr="002A0906">
        <w:rPr>
          <w:rFonts w:ascii="Times New Roman" w:eastAsia="Times New Roman" w:hAnsi="Times New Roman" w:cs="Times New Roman"/>
          <w:b/>
          <w:color w:val="000000" w:themeColor="text1"/>
          <w:sz w:val="24"/>
          <w:szCs w:val="24"/>
        </w:rPr>
        <w:br w:type="page"/>
      </w:r>
    </w:p>
    <w:p w14:paraId="00000001" w14:textId="084C6CA4" w:rsidR="00E56CC9" w:rsidRPr="002A0906" w:rsidRDefault="00000000" w:rsidP="008A5024">
      <w:pPr>
        <w:pStyle w:val="Heading1"/>
        <w:rPr>
          <w:rFonts w:cs="Times New Roman"/>
          <w:b w:val="0"/>
          <w:color w:val="000000" w:themeColor="text1"/>
        </w:rPr>
      </w:pPr>
      <w:bookmarkStart w:id="0" w:name="_Toc181987794"/>
      <w:r w:rsidRPr="002A0906">
        <w:rPr>
          <w:rFonts w:cs="Times New Roman"/>
          <w:color w:val="000000" w:themeColor="text1"/>
        </w:rPr>
        <w:lastRenderedPageBreak/>
        <w:t>Introduction</w:t>
      </w:r>
      <w:bookmarkEnd w:id="0"/>
    </w:p>
    <w:p w14:paraId="36EE68A2" w14:textId="1B223FA7" w:rsidR="008B2DE0" w:rsidRDefault="00000000" w:rsidP="008B2DE0">
      <w:pPr>
        <w:spacing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 xml:space="preserve">Hyatt Hotels Corporation is a global hospitality company headquartered in Chicago, Illinois. </w:t>
      </w:r>
      <w:r w:rsidRPr="002A0906">
        <w:rPr>
          <w:rFonts w:ascii="Times New Roman" w:eastAsia="Times New Roman" w:hAnsi="Times New Roman" w:cs="Times New Roman"/>
          <w:color w:val="000000" w:themeColor="text1"/>
          <w:sz w:val="24"/>
          <w:szCs w:val="24"/>
          <w:highlight w:val="white"/>
        </w:rPr>
        <w:t xml:space="preserve">As of March 2022, Hyatt’s portfolio consisted of more than 1,100 hotel and all-inclusive properties in 71 countries across six continents </w:t>
      </w:r>
      <w:r w:rsidRPr="002A0906">
        <w:rPr>
          <w:rFonts w:ascii="Times New Roman" w:eastAsia="Times New Roman" w:hAnsi="Times New Roman" w:cs="Times New Roman"/>
          <w:color w:val="000000" w:themeColor="text1"/>
          <w:sz w:val="24"/>
          <w:szCs w:val="24"/>
        </w:rPr>
        <w:t>(Kelleher, 2024). The company operates under several brand flags, including its namesake Hyatt brand, as well as Park Hyatt, Grand Hyatt, Hyatt Centric, Hyatt House, Hyatt Place, and UrCove. This report aims to provide a critical analysis of Hyatt Hotels Corporation's organisational structure, culture, and goals (</w:t>
      </w:r>
      <w:r w:rsidRPr="002A0906">
        <w:rPr>
          <w:rFonts w:ascii="Times New Roman" w:hAnsi="Times New Roman" w:cs="Times New Roman"/>
          <w:color w:val="000000" w:themeColor="text1"/>
          <w:sz w:val="24"/>
          <w:szCs w:val="24"/>
          <w:highlight w:val="white"/>
        </w:rPr>
        <w:t>Qi, 2023)</w:t>
      </w:r>
      <w:r w:rsidRPr="002A0906">
        <w:rPr>
          <w:rFonts w:ascii="Times New Roman" w:eastAsia="Times New Roman" w:hAnsi="Times New Roman" w:cs="Times New Roman"/>
          <w:color w:val="000000" w:themeColor="text1"/>
          <w:sz w:val="24"/>
          <w:szCs w:val="24"/>
        </w:rPr>
        <w:t>. An assessment will also be conducted on recent change initiatives undertaken by the company and its strategic direction. Key topics that will be examined include the relationship between Hyatt’s structure and organisational performance, the role of leadership and factors influencing effective management, and an evaluation of the company’s behavioural approach using relevant management theories.</w:t>
      </w:r>
    </w:p>
    <w:p w14:paraId="295D6F74" w14:textId="576F4C5B" w:rsidR="008B2DE0" w:rsidRPr="008B2DE0" w:rsidRDefault="008B2DE0" w:rsidP="008B2DE0">
      <w:pPr>
        <w:pStyle w:val="Heading1"/>
        <w:rPr>
          <w:rFonts w:cs="Times New Roman"/>
          <w:color w:val="000000" w:themeColor="text1"/>
        </w:rPr>
      </w:pPr>
      <w:bookmarkStart w:id="1" w:name="_Toc181987795"/>
      <w:r>
        <w:rPr>
          <w:rFonts w:cs="Times New Roman"/>
          <w:color w:val="000000" w:themeColor="text1"/>
        </w:rPr>
        <w:t>Main Body</w:t>
      </w:r>
      <w:bookmarkEnd w:id="1"/>
    </w:p>
    <w:p w14:paraId="00000003" w14:textId="64088BF7" w:rsidR="00E56CC9" w:rsidRPr="002A0906" w:rsidRDefault="00000000" w:rsidP="008A5024">
      <w:pPr>
        <w:pStyle w:val="Heading1"/>
        <w:rPr>
          <w:rFonts w:cs="Times New Roman"/>
          <w:color w:val="000000" w:themeColor="text1"/>
        </w:rPr>
      </w:pPr>
      <w:bookmarkStart w:id="2" w:name="_Toc181987796"/>
      <w:r w:rsidRPr="002A0906">
        <w:rPr>
          <w:rFonts w:cs="Times New Roman"/>
          <w:color w:val="000000" w:themeColor="text1"/>
        </w:rPr>
        <w:t>Organisation Structure, Culture, and Goals</w:t>
      </w:r>
      <w:bookmarkEnd w:id="2"/>
    </w:p>
    <w:p w14:paraId="00000004" w14:textId="77777777" w:rsidR="00E56CC9" w:rsidRPr="002A0906" w:rsidRDefault="00000000" w:rsidP="008A5024">
      <w:pPr>
        <w:spacing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Hyatt Hotels Corporation follows a hybrid multidivisional organisational structure comprising various branded divisions that allow each brand to cater to distinct customer segments while capitalising on Hyatt's scale. Hyatt is organised into four business divisions: Americas, Asia Pacific, Europe, Africa, and Middle East, and Central/South America and the Caribbean (Hyatt, 2023). Each region has distinct P&amp;Ls and is responsible for the operations and performance of hotels within their geographic scope. This decentralised structure empowers regional and local hotel units to make decisions tailored to the unique demands of their markets. However, to ensure consistency across the portfolio and coordinate global strategies, the corporation maintains authority over capital allocation and new brand launches. According to ‌Guo (2021), Burns and Stalker's organic organisational theory characterises Hyatt's flexible, networked structure that facilitates experimentation and adaptation critical in the dynamic hospitality environment.</w:t>
      </w:r>
    </w:p>
    <w:p w14:paraId="00000005" w14:textId="77777777" w:rsidR="00E56CC9" w:rsidRPr="002A0906" w:rsidRDefault="00000000" w:rsidP="008A5024">
      <w:pPr>
        <w:spacing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 xml:space="preserve">Hyatt’s culture centres on genuineness, care, and authenticity in hospitality. Referred to as the “Hyatt Effect,” this people-focused approach emphasises caring for guests and colleagues (O’Neill, 2024). Hyatt aims to provide “feel connected, feel cared for, feel inspired” experiences for guests through teamwork and customer service excellence (Hyatt, 2020). Hyatt’s strong cultural values reinforce employee behaviours that maximise guest satisfaction </w:t>
      </w:r>
      <w:r w:rsidRPr="002A0906">
        <w:rPr>
          <w:rFonts w:ascii="Times New Roman" w:eastAsia="Times New Roman" w:hAnsi="Times New Roman" w:cs="Times New Roman"/>
          <w:color w:val="000000" w:themeColor="text1"/>
          <w:sz w:val="24"/>
          <w:szCs w:val="24"/>
        </w:rPr>
        <w:lastRenderedPageBreak/>
        <w:t>and performance. Goals mirror Hyatt’s culture, balancing corporate financial targets with hospitality priorities (</w:t>
      </w:r>
      <w:r w:rsidRPr="002A0906">
        <w:rPr>
          <w:rFonts w:ascii="Times New Roman" w:eastAsia="Times New Roman" w:hAnsi="Times New Roman" w:cs="Times New Roman"/>
          <w:color w:val="000000" w:themeColor="text1"/>
          <w:sz w:val="24"/>
          <w:szCs w:val="24"/>
          <w:highlight w:val="white"/>
        </w:rPr>
        <w:t xml:space="preserve">Tariq </w:t>
      </w:r>
      <w:r w:rsidRPr="002A0906">
        <w:rPr>
          <w:rFonts w:ascii="Times New Roman" w:eastAsia="Times New Roman" w:hAnsi="Times New Roman" w:cs="Times New Roman"/>
          <w:i/>
          <w:color w:val="000000" w:themeColor="text1"/>
          <w:sz w:val="24"/>
          <w:szCs w:val="24"/>
          <w:highlight w:val="white"/>
        </w:rPr>
        <w:t xml:space="preserve">et al. </w:t>
      </w:r>
      <w:r w:rsidRPr="002A0906">
        <w:rPr>
          <w:rFonts w:ascii="Times New Roman" w:eastAsia="Times New Roman" w:hAnsi="Times New Roman" w:cs="Times New Roman"/>
          <w:color w:val="000000" w:themeColor="text1"/>
          <w:sz w:val="24"/>
          <w:szCs w:val="24"/>
          <w:highlight w:val="white"/>
        </w:rPr>
        <w:t>2021</w:t>
      </w:r>
      <w:r w:rsidRPr="002A0906">
        <w:rPr>
          <w:rFonts w:ascii="Times New Roman" w:eastAsia="Times New Roman" w:hAnsi="Times New Roman" w:cs="Times New Roman"/>
          <w:color w:val="000000" w:themeColor="text1"/>
          <w:sz w:val="24"/>
          <w:szCs w:val="24"/>
        </w:rPr>
        <w:t>). At the corporate level, profitability metrics include net income growth and RevPAR increases. Regional divisions add localised targets on occupancy rates and revenue generation to their scorecards. According to Bettencourt and Houston (2024), hotel units prioritise Net Promoter Scores, guest satisfaction ratings, and colleague engagement scores to reflect guest and colleague well-being. This two-tiered "profits through people" model, theorised by Pfeffer and Veiga, aims to optimise collective and individual performance.</w:t>
      </w:r>
    </w:p>
    <w:p w14:paraId="2934B7BA" w14:textId="20F138C8" w:rsidR="00167FA0" w:rsidRDefault="00000000" w:rsidP="00167FA0">
      <w:pPr>
        <w:spacing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Hayat is a social enterprise based in India that aims to make quality healthcare accessible and affordable. Their overarching mission is to solve critical issues around healthcare access and cost burden in the country.</w:t>
      </w:r>
    </w:p>
    <w:p w14:paraId="54E24889" w14:textId="3102194B" w:rsidR="00145660" w:rsidRPr="002A0906" w:rsidRDefault="00145660" w:rsidP="00167FA0">
      <w:pPr>
        <w:spacing w:line="360" w:lineRule="auto"/>
        <w:jc w:val="both"/>
        <w:rPr>
          <w:rFonts w:ascii="Times New Roman" w:eastAsia="Times New Roman" w:hAnsi="Times New Roman" w:cs="Times New Roman"/>
          <w:color w:val="000000" w:themeColor="text1"/>
          <w:sz w:val="24"/>
          <w:szCs w:val="24"/>
        </w:rPr>
      </w:pPr>
      <w:r w:rsidRPr="00DD5AD0">
        <w:rPr>
          <w:rFonts w:ascii="Times New Roman" w:eastAsia="Times New Roman" w:hAnsi="Times New Roman" w:cs="Times New Roman"/>
          <w:color w:val="000000" w:themeColor="text1"/>
          <w:sz w:val="24"/>
          <w:szCs w:val="24"/>
        </w:rPr>
        <w:t>Hyatt's strategies can be effectively aligned to various management theories. Hyatt's multidivisional structure supports Burns and Stalker's organic theory by enabling adaptation in a dynamic industry. Their emphasis on employees and customers aligns with Pfeffer and Veiga's "profits through people" model. The Ansoff Matrix informed Hyatt's diversification into new territories and market segments. Kotter's change model and Lewis's unfreezing-refreezing process aid in refining acquisitions. Community engagement and talent development strategies reflect stakeholder and institutional theories. Hyatt's use of data analytics demonstrates resource-based and relationship marketing theories, optimizing segmentation and customer experience.</w:t>
      </w:r>
    </w:p>
    <w:p w14:paraId="4E36675B" w14:textId="611C06E7" w:rsidR="00167FA0" w:rsidRPr="002A0906" w:rsidRDefault="00000000" w:rsidP="00167FA0">
      <w:pPr>
        <w:spacing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Some of Hayatt's key goals include building a sustainable digital healthcare platform that can serve both urban and rural populations at scale. They seek to connect patients to qualified doctors for virtual consultations using technology. This allows Hyatt to significantly reduce overhead costs and pass the savings to patients in the form of affordable consultation fees.</w:t>
      </w:r>
    </w:p>
    <w:p w14:paraId="509E95B4" w14:textId="0588FF32" w:rsidR="00167FA0" w:rsidRPr="002A0906" w:rsidRDefault="00000000" w:rsidP="00167FA0">
      <w:pPr>
        <w:spacing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Another goal is to develop a network of partner hospitals and clinics where patients can access diagnostic tests, medicines or referrals for speciali</w:t>
      </w:r>
      <w:r w:rsidR="00250B95">
        <w:rPr>
          <w:rFonts w:ascii="Times New Roman" w:eastAsia="Times New Roman" w:hAnsi="Times New Roman" w:cs="Times New Roman"/>
          <w:color w:val="000000" w:themeColor="text1"/>
          <w:sz w:val="24"/>
          <w:szCs w:val="24"/>
        </w:rPr>
        <w:t>s</w:t>
      </w:r>
      <w:r w:rsidRPr="002A0906">
        <w:rPr>
          <w:rFonts w:ascii="Times New Roman" w:eastAsia="Times New Roman" w:hAnsi="Times New Roman" w:cs="Times New Roman"/>
          <w:color w:val="000000" w:themeColor="text1"/>
          <w:sz w:val="24"/>
          <w:szCs w:val="24"/>
        </w:rPr>
        <w:t>ed care. This aims to ensure patients have end-to-end healthcare services, from basic consultations to speciality care, through a single platform.</w:t>
      </w:r>
    </w:p>
    <w:p w14:paraId="360914A3" w14:textId="2DC59208" w:rsidR="00167FA0" w:rsidRPr="002A0906" w:rsidRDefault="00000000" w:rsidP="00167FA0">
      <w:pPr>
        <w:spacing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Ultimately, Hyatt aspires to make universal health coverage a reality in India by helping to improve health outcomes, especially in underserved regions where healthcare access remains limited. If successful, their model hopes to enhance access to affordable primary care and help reduce India's disease burden over the long run. Hayat's work also has the potential to be replicated across other developing countries with similar healthcare challenges.</w:t>
      </w:r>
    </w:p>
    <w:p w14:paraId="00000006" w14:textId="77777777" w:rsidR="00E56CC9" w:rsidRPr="002A0906" w:rsidRDefault="00000000" w:rsidP="008A5024">
      <w:pPr>
        <w:pStyle w:val="Heading1"/>
        <w:rPr>
          <w:rFonts w:cs="Times New Roman"/>
          <w:color w:val="000000" w:themeColor="text1"/>
        </w:rPr>
      </w:pPr>
      <w:bookmarkStart w:id="3" w:name="_Toc181987797"/>
      <w:r w:rsidRPr="002A0906">
        <w:rPr>
          <w:rFonts w:cs="Times New Roman"/>
          <w:color w:val="000000" w:themeColor="text1"/>
        </w:rPr>
        <w:lastRenderedPageBreak/>
        <w:t>Recent Change Initiatives</w:t>
      </w:r>
      <w:bookmarkEnd w:id="3"/>
    </w:p>
    <w:p w14:paraId="00000007" w14:textId="77777777" w:rsidR="00E56CC9" w:rsidRPr="002A0906" w:rsidRDefault="00000000" w:rsidP="008A5024">
      <w:pPr>
        <w:spacing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Hyatt has implemented several notable change initiatives in recent years to enhance service quality and increase efficiency. A major program was Project Wise, a digital transformation effort from 2018-2020 involving extensive technology upgrades (‌IBM, 2024). This included fully mobilising the guest booking and registration experience via mobile apps and web check-ins/check-outs. Additionally, back-office operations were streamlined through investments in cloud-based PMS systems and advanced revenue management tools (</w:t>
      </w:r>
      <w:r w:rsidRPr="002A0906">
        <w:rPr>
          <w:rFonts w:ascii="Times New Roman" w:hAnsi="Times New Roman" w:cs="Times New Roman"/>
          <w:color w:val="000000" w:themeColor="text1"/>
          <w:sz w:val="24"/>
          <w:szCs w:val="24"/>
          <w:highlight w:val="white"/>
        </w:rPr>
        <w:t>Khosla, 2024)</w:t>
      </w:r>
      <w:r w:rsidRPr="002A0906">
        <w:rPr>
          <w:rFonts w:ascii="Times New Roman" w:eastAsia="Times New Roman" w:hAnsi="Times New Roman" w:cs="Times New Roman"/>
          <w:color w:val="000000" w:themeColor="text1"/>
          <w:sz w:val="24"/>
          <w:szCs w:val="24"/>
        </w:rPr>
        <w:t>. Project Wise helped Hyatt dramatically scale online bookings while reducing staff workloads, allowing them to devote more efforts to elevating the on-property experience. Guest satisfaction metrics showed the new convenience of digital offerings like keyless entry significantly improved the check-in process. However, staff felt unprepared for such wide-scale changes due to inadequate training per Kotter’s 8-step change model, resulting in inefficiencies as they adjusted. More extensive change management adhering to Lewis’s unfreezing-change-refreeze process could have accelerated benefits realisation.</w:t>
      </w:r>
    </w:p>
    <w:p w14:paraId="2A8123D9" w14:textId="291EB273" w:rsidR="00174B1A" w:rsidRDefault="00000000" w:rsidP="008A5024">
      <w:pPr>
        <w:spacing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According to ‌</w:t>
      </w:r>
      <w:r w:rsidRPr="002A0906">
        <w:rPr>
          <w:rFonts w:ascii="Times New Roman" w:eastAsia="Times New Roman" w:hAnsi="Times New Roman" w:cs="Times New Roman"/>
          <w:color w:val="000000" w:themeColor="text1"/>
          <w:sz w:val="24"/>
          <w:szCs w:val="24"/>
          <w:highlight w:val="white"/>
        </w:rPr>
        <w:t>Kim (2024</w:t>
      </w:r>
      <w:r w:rsidRPr="002A0906">
        <w:rPr>
          <w:rFonts w:ascii="Times New Roman" w:eastAsia="Times New Roman" w:hAnsi="Times New Roman" w:cs="Times New Roman"/>
          <w:color w:val="000000" w:themeColor="text1"/>
          <w:sz w:val="24"/>
          <w:szCs w:val="24"/>
        </w:rPr>
        <w:t xml:space="preserve">), Hyatt has diversified their portfolio through acquisitions of lifestyle brands appealing to new demographics like Generation Z. This includes the 2019 purchase of independent lifestyle brand Joie de Vivre Hotels with properties mainly in California and Colorado (Jdvhotels, 2024). While the introduction of these concept hotels succeeded in broadening Hyatt's market reach consistently with Ansoff's diversification strategy, integrating varying franchise and management operations proved challenging. In the future, change programs would benefit from pilot </w:t>
      </w:r>
      <w:r w:rsidR="0058054F" w:rsidRPr="002A0906">
        <w:rPr>
          <w:rFonts w:ascii="Times New Roman" w:eastAsia="Times New Roman" w:hAnsi="Times New Roman" w:cs="Times New Roman"/>
          <w:color w:val="000000" w:themeColor="text1"/>
          <w:sz w:val="24"/>
          <w:szCs w:val="24"/>
        </w:rPr>
        <w:t>rollouts</w:t>
      </w:r>
      <w:r w:rsidRPr="002A0906">
        <w:rPr>
          <w:rFonts w:ascii="Times New Roman" w:eastAsia="Times New Roman" w:hAnsi="Times New Roman" w:cs="Times New Roman"/>
          <w:color w:val="000000" w:themeColor="text1"/>
          <w:sz w:val="24"/>
          <w:szCs w:val="24"/>
        </w:rPr>
        <w:t xml:space="preserve"> prioritising affected stakeholders to ensure stronger alignment across a more complex enterprise.</w:t>
      </w:r>
    </w:p>
    <w:p w14:paraId="228B57AE" w14:textId="7E8238A1" w:rsidR="00FB7C41" w:rsidRPr="002A0906" w:rsidRDefault="00FB7C41" w:rsidP="008A5024">
      <w:pPr>
        <w:spacing w:line="360" w:lineRule="auto"/>
        <w:jc w:val="both"/>
        <w:rPr>
          <w:rFonts w:ascii="Times New Roman" w:eastAsia="Times New Roman" w:hAnsi="Times New Roman" w:cs="Times New Roman"/>
          <w:color w:val="000000" w:themeColor="text1"/>
          <w:sz w:val="24"/>
          <w:szCs w:val="24"/>
        </w:rPr>
      </w:pPr>
      <w:r w:rsidRPr="00DD5AD0">
        <w:rPr>
          <w:rFonts w:ascii="Times New Roman" w:eastAsia="Times New Roman" w:hAnsi="Times New Roman" w:cs="Times New Roman"/>
          <w:color w:val="000000" w:themeColor="text1"/>
          <w:sz w:val="24"/>
          <w:szCs w:val="24"/>
        </w:rPr>
        <w:t xml:space="preserve">Hyatt's recent efforts to change have helped its business grow and change, but it has not been easy to adapt to these changes. Digital changes like mobile check-in/out made the customer experience much better for Project Wise. But the </w:t>
      </w:r>
      <w:r w:rsidR="004D656F" w:rsidRPr="00DD5AD0">
        <w:rPr>
          <w:rFonts w:ascii="Times New Roman" w:eastAsia="Times New Roman" w:hAnsi="Times New Roman" w:cs="Times New Roman"/>
          <w:color w:val="000000" w:themeColor="text1"/>
          <w:sz w:val="24"/>
          <w:szCs w:val="24"/>
        </w:rPr>
        <w:t>employees faced difficulties</w:t>
      </w:r>
      <w:r w:rsidRPr="00DD5AD0">
        <w:rPr>
          <w:rFonts w:ascii="Times New Roman" w:eastAsia="Times New Roman" w:hAnsi="Times New Roman" w:cs="Times New Roman"/>
          <w:color w:val="000000" w:themeColor="text1"/>
          <w:sz w:val="24"/>
          <w:szCs w:val="24"/>
        </w:rPr>
        <w:t xml:space="preserve"> with the </w:t>
      </w:r>
      <w:r w:rsidR="004D656F" w:rsidRPr="00DD5AD0">
        <w:rPr>
          <w:rFonts w:ascii="Times New Roman" w:eastAsia="Times New Roman" w:hAnsi="Times New Roman" w:cs="Times New Roman"/>
          <w:color w:val="000000" w:themeColor="text1"/>
          <w:sz w:val="24"/>
          <w:szCs w:val="24"/>
        </w:rPr>
        <w:t>fast</w:t>
      </w:r>
      <w:r w:rsidRPr="00DD5AD0">
        <w:rPr>
          <w:rFonts w:ascii="Times New Roman" w:eastAsia="Times New Roman" w:hAnsi="Times New Roman" w:cs="Times New Roman"/>
          <w:color w:val="000000" w:themeColor="text1"/>
          <w:sz w:val="24"/>
          <w:szCs w:val="24"/>
        </w:rPr>
        <w:t xml:space="preserve"> changes because they had</w:t>
      </w:r>
      <w:r w:rsidR="004D656F" w:rsidRPr="00DD5AD0">
        <w:rPr>
          <w:rFonts w:ascii="Times New Roman" w:eastAsia="Times New Roman" w:hAnsi="Times New Roman" w:cs="Times New Roman"/>
          <w:color w:val="000000" w:themeColor="text1"/>
          <w:sz w:val="24"/>
          <w:szCs w:val="24"/>
        </w:rPr>
        <w:t xml:space="preserve"> </w:t>
      </w:r>
      <w:r w:rsidRPr="00DD5AD0">
        <w:rPr>
          <w:rFonts w:ascii="Times New Roman" w:eastAsia="Times New Roman" w:hAnsi="Times New Roman" w:cs="Times New Roman"/>
          <w:color w:val="000000" w:themeColor="text1"/>
          <w:sz w:val="24"/>
          <w:szCs w:val="24"/>
        </w:rPr>
        <w:t>n</w:t>
      </w:r>
      <w:r w:rsidR="004D656F" w:rsidRPr="00DD5AD0">
        <w:rPr>
          <w:rFonts w:ascii="Times New Roman" w:eastAsia="Times New Roman" w:hAnsi="Times New Roman" w:cs="Times New Roman"/>
          <w:color w:val="000000" w:themeColor="text1"/>
          <w:sz w:val="24"/>
          <w:szCs w:val="24"/>
        </w:rPr>
        <w:t>o</w:t>
      </w:r>
      <w:r w:rsidRPr="00DD5AD0">
        <w:rPr>
          <w:rFonts w:ascii="Times New Roman" w:eastAsia="Times New Roman" w:hAnsi="Times New Roman" w:cs="Times New Roman"/>
          <w:color w:val="000000" w:themeColor="text1"/>
          <w:sz w:val="24"/>
          <w:szCs w:val="24"/>
        </w:rPr>
        <w:t>t been trained enough according to Kotter's plan. In the same way, Ansoff's plan worked when Hyatt expanded its market reach by buying leisure brands. But adding different companies to a complicated business made it hard to work together. This showed how important it is to prioritize partners who will be affected by test programs. Hyatt can better help workers through change to get the most out of the perks while diversity and technology upgrades improve services. Hyatt is in a good situation to benefit from changes while reducing delays thanks to better change management.</w:t>
      </w:r>
      <w:r w:rsidRPr="00FB7C41">
        <w:rPr>
          <w:rFonts w:ascii="Times New Roman" w:eastAsia="Times New Roman" w:hAnsi="Times New Roman" w:cs="Times New Roman"/>
          <w:color w:val="000000" w:themeColor="text1"/>
          <w:sz w:val="24"/>
          <w:szCs w:val="24"/>
        </w:rPr>
        <w:t xml:space="preserve"> </w:t>
      </w:r>
    </w:p>
    <w:p w14:paraId="00000009" w14:textId="77777777" w:rsidR="00E56CC9" w:rsidRPr="002A0906" w:rsidRDefault="00000000" w:rsidP="008A5024">
      <w:pPr>
        <w:pStyle w:val="Heading1"/>
        <w:rPr>
          <w:rFonts w:cs="Times New Roman"/>
          <w:color w:val="000000" w:themeColor="text1"/>
        </w:rPr>
      </w:pPr>
      <w:bookmarkStart w:id="4" w:name="_Toc181987798"/>
      <w:r w:rsidRPr="002A0906">
        <w:rPr>
          <w:rFonts w:cs="Times New Roman"/>
          <w:color w:val="000000" w:themeColor="text1"/>
        </w:rPr>
        <w:lastRenderedPageBreak/>
        <w:t>Strategic Direction</w:t>
      </w:r>
      <w:bookmarkEnd w:id="4"/>
    </w:p>
    <w:p w14:paraId="0000000A" w14:textId="28EFC378" w:rsidR="00E56CC9" w:rsidRPr="002A0906" w:rsidRDefault="00000000" w:rsidP="008A5024">
      <w:pPr>
        <w:spacing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 xml:space="preserve">Hyatt's strategic vision is to strengthen its position as a leading global hospitality company through innovation and international expansion. A core tenet of their growth strategy involves diversifying the portfolio to capture more market share beyond traditional luxury and business traveller segments. According to Hyatt (2023), acquisitions of lifestyle brands like the 2019 addition of Joie de Vivre Hotels broadened Hyatt's reach into the lucrative space, appealing to guests demanding unique, </w:t>
      </w:r>
      <w:r w:rsidR="00B67597" w:rsidRPr="002A0906">
        <w:rPr>
          <w:rFonts w:ascii="Times New Roman" w:eastAsia="Times New Roman" w:hAnsi="Times New Roman" w:cs="Times New Roman"/>
          <w:color w:val="000000" w:themeColor="text1"/>
          <w:sz w:val="24"/>
          <w:szCs w:val="24"/>
        </w:rPr>
        <w:t>locally influenced</w:t>
      </w:r>
      <w:r w:rsidRPr="002A0906">
        <w:rPr>
          <w:rFonts w:ascii="Times New Roman" w:eastAsia="Times New Roman" w:hAnsi="Times New Roman" w:cs="Times New Roman"/>
          <w:color w:val="000000" w:themeColor="text1"/>
          <w:sz w:val="24"/>
          <w:szCs w:val="24"/>
        </w:rPr>
        <w:t xml:space="preserve"> experiences. Further bolstering this initiative, Hyatt launched their independent brand portfolio, Hyatt Centric, in 2014, catering to modern explorers (Hyatt, 2023). Franchising these brands also allows Hyatt to grow their presence through lower capital expenditures relative to managed properties.</w:t>
      </w:r>
    </w:p>
    <w:p w14:paraId="0F82DB4E" w14:textId="1A878F2F" w:rsidR="00B67597" w:rsidRDefault="00000000" w:rsidP="00B67597">
      <w:pPr>
        <w:spacing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 xml:space="preserve">Hyatt has focused on penetrating high-potential emerging markets through new-build properties and acquisitions. Recent openings in regions like Southeast Asia, India, and Africa capitalise on rising travel demand from Asia's growing middle class. Hyatt also aims to increase their Chinese portfolio to 165 properties, </w:t>
      </w:r>
      <w:r w:rsidRPr="00DD5AD0">
        <w:rPr>
          <w:rFonts w:ascii="Times New Roman" w:eastAsia="Times New Roman" w:hAnsi="Times New Roman" w:cs="Times New Roman"/>
          <w:color w:val="000000" w:themeColor="text1"/>
          <w:sz w:val="24"/>
          <w:szCs w:val="24"/>
        </w:rPr>
        <w:t>recogni</w:t>
      </w:r>
      <w:r w:rsidR="00FB7C41" w:rsidRPr="00DD5AD0">
        <w:rPr>
          <w:rFonts w:ascii="Times New Roman" w:eastAsia="Times New Roman" w:hAnsi="Times New Roman" w:cs="Times New Roman"/>
          <w:color w:val="000000" w:themeColor="text1"/>
          <w:sz w:val="24"/>
          <w:szCs w:val="24"/>
        </w:rPr>
        <w:t>s</w:t>
      </w:r>
      <w:r w:rsidRPr="00DD5AD0">
        <w:rPr>
          <w:rFonts w:ascii="Times New Roman" w:eastAsia="Times New Roman" w:hAnsi="Times New Roman" w:cs="Times New Roman"/>
          <w:color w:val="000000" w:themeColor="text1"/>
          <w:sz w:val="24"/>
          <w:szCs w:val="24"/>
        </w:rPr>
        <w:t>ing</w:t>
      </w:r>
      <w:r w:rsidRPr="002A0906">
        <w:rPr>
          <w:rFonts w:ascii="Times New Roman" w:eastAsia="Times New Roman" w:hAnsi="Times New Roman" w:cs="Times New Roman"/>
          <w:color w:val="000000" w:themeColor="text1"/>
          <w:sz w:val="24"/>
          <w:szCs w:val="24"/>
        </w:rPr>
        <w:t xml:space="preserve"> China as a strategic long-term opportunity (Hyatt Newsroom, 2024). Hyatt transformed through modernization efforts like Project Wise enhancing digital capabilities. Leveraging analytical insights from programs integrating sales and marketing data supports Hyatt's revenue optimization goals. Strategic partnerships pursuing non-traditional distribution channels further broaden reach. Through diversifying brands, international expansion into underrepresented areas forecast for gains, and innovation transforming the guest journey, Hyatt crafts an agile, encompassing strategy to achieve their vision (</w:t>
      </w:r>
      <w:r w:rsidRPr="002A0906">
        <w:rPr>
          <w:rFonts w:ascii="Times New Roman" w:eastAsia="Times New Roman" w:hAnsi="Times New Roman" w:cs="Times New Roman"/>
          <w:color w:val="000000" w:themeColor="text1"/>
          <w:sz w:val="24"/>
          <w:szCs w:val="24"/>
          <w:highlight w:val="white"/>
        </w:rPr>
        <w:t>Geller and French, 2024)</w:t>
      </w:r>
      <w:r w:rsidRPr="002A0906">
        <w:rPr>
          <w:rFonts w:ascii="Times New Roman" w:eastAsia="Times New Roman" w:hAnsi="Times New Roman" w:cs="Times New Roman"/>
          <w:color w:val="000000" w:themeColor="text1"/>
          <w:sz w:val="24"/>
          <w:szCs w:val="24"/>
        </w:rPr>
        <w:t>. Hyatt moves competently between core growth vectors of market penetration, product development, and diversification to navigate industry shifts (</w:t>
      </w:r>
      <w:r w:rsidRPr="002A0906">
        <w:rPr>
          <w:rFonts w:ascii="Times New Roman" w:eastAsia="Times New Roman" w:hAnsi="Times New Roman" w:cs="Times New Roman"/>
          <w:color w:val="000000" w:themeColor="text1"/>
          <w:sz w:val="24"/>
          <w:szCs w:val="24"/>
          <w:highlight w:val="white"/>
        </w:rPr>
        <w:t xml:space="preserve">Chernov </w:t>
      </w:r>
      <w:r w:rsidRPr="002A0906">
        <w:rPr>
          <w:rFonts w:ascii="Times New Roman" w:eastAsia="Times New Roman" w:hAnsi="Times New Roman" w:cs="Times New Roman"/>
          <w:i/>
          <w:color w:val="000000" w:themeColor="text1"/>
          <w:sz w:val="24"/>
          <w:szCs w:val="24"/>
          <w:highlight w:val="white"/>
        </w:rPr>
        <w:t xml:space="preserve">et al., </w:t>
      </w:r>
      <w:r w:rsidRPr="002A0906">
        <w:rPr>
          <w:rFonts w:ascii="Times New Roman" w:eastAsia="Times New Roman" w:hAnsi="Times New Roman" w:cs="Times New Roman"/>
          <w:color w:val="000000" w:themeColor="text1"/>
          <w:sz w:val="24"/>
          <w:szCs w:val="24"/>
          <w:highlight w:val="white"/>
        </w:rPr>
        <w:t>2020</w:t>
      </w:r>
      <w:r w:rsidRPr="002A0906">
        <w:rPr>
          <w:rFonts w:ascii="Times New Roman" w:eastAsia="Times New Roman" w:hAnsi="Times New Roman" w:cs="Times New Roman"/>
          <w:color w:val="000000" w:themeColor="text1"/>
          <w:sz w:val="24"/>
          <w:szCs w:val="24"/>
        </w:rPr>
        <w:t xml:space="preserve">). Sustaining this balanced, multidimensional strategic approach positioning for all travel segments should propel Hyatt's continued ascent. </w:t>
      </w:r>
    </w:p>
    <w:p w14:paraId="1B8A1875" w14:textId="3693A8C9" w:rsidR="00BA62B4" w:rsidRDefault="00FB7C41" w:rsidP="00B67597">
      <w:pPr>
        <w:spacing w:line="360" w:lineRule="auto"/>
        <w:jc w:val="both"/>
        <w:rPr>
          <w:rFonts w:ascii="Times New Roman" w:eastAsia="Times New Roman" w:hAnsi="Times New Roman" w:cs="Times New Roman"/>
          <w:color w:val="000000" w:themeColor="text1"/>
          <w:sz w:val="24"/>
          <w:szCs w:val="24"/>
        </w:rPr>
      </w:pPr>
      <w:r w:rsidRPr="00DD5AD0">
        <w:rPr>
          <w:rFonts w:ascii="Times New Roman" w:eastAsia="Times New Roman" w:hAnsi="Times New Roman" w:cs="Times New Roman"/>
          <w:color w:val="000000" w:themeColor="text1"/>
          <w:sz w:val="24"/>
          <w:szCs w:val="24"/>
        </w:rPr>
        <w:t xml:space="preserve">Hyatt and Marriott both aim to enhance their positions as the largest hotel corporations in the world. However, their strategies for achieving success differ in several key respects. Hyatt aims to entice travellers seeking distinctive local experiences by incorporating lifestyle brands such as Joie de Vivre into its portfolio. In contrast, Marriott relies more on expanding its primary luxury and business travel brands globally. Hyatt expands by acquiring other companies and utilizing leases, reducing their capital expenses. In contrast, Marriott prefers managed properties that necessitate larger investments. Hyatt and Marriott are both keen on developing nations that show significant potential. Nonetheless, Hyatt is concentrating on China, a market where Marriott has established a significant presence. Marriott emphasizes loyalty connections </w:t>
      </w:r>
      <w:r w:rsidRPr="00DD5AD0">
        <w:rPr>
          <w:rFonts w:ascii="Times New Roman" w:eastAsia="Times New Roman" w:hAnsi="Times New Roman" w:cs="Times New Roman"/>
          <w:color w:val="000000" w:themeColor="text1"/>
          <w:sz w:val="24"/>
          <w:szCs w:val="24"/>
        </w:rPr>
        <w:lastRenderedPageBreak/>
        <w:t>and co-branded credit cards, whereas Hyatt generates innovative concepts through initiatives like Project Wise. Overall, Hyatt manages a variety of factors more effectively, whereas Marriott emphasizes growth through larger, more well-known brands.</w:t>
      </w:r>
    </w:p>
    <w:p w14:paraId="65A540F9" w14:textId="77777777" w:rsidR="00BA62B4" w:rsidRPr="00BA62B4" w:rsidRDefault="00BA62B4" w:rsidP="00BA62B4">
      <w:pPr>
        <w:pStyle w:val="Heading1"/>
        <w:rPr>
          <w:highlight w:val="yellow"/>
        </w:rPr>
      </w:pPr>
      <w:bookmarkStart w:id="5" w:name="_Toc181987799"/>
      <w:r w:rsidRPr="00DD5AD0">
        <w:t>Conclusion</w:t>
      </w:r>
      <w:bookmarkEnd w:id="5"/>
      <w:r w:rsidRPr="00BA62B4">
        <w:rPr>
          <w:highlight w:val="yellow"/>
        </w:rPr>
        <w:t xml:space="preserve"> </w:t>
      </w:r>
    </w:p>
    <w:p w14:paraId="7E7E2C6A" w14:textId="7180C58B" w:rsidR="00BA62B4" w:rsidRPr="00DD5AD0" w:rsidRDefault="00BA62B4" w:rsidP="00BA62B4">
      <w:pPr>
        <w:spacing w:line="360" w:lineRule="auto"/>
        <w:jc w:val="both"/>
        <w:rPr>
          <w:rFonts w:ascii="Times New Roman" w:eastAsia="Times New Roman" w:hAnsi="Times New Roman" w:cs="Times New Roman"/>
          <w:color w:val="000000" w:themeColor="text1"/>
          <w:sz w:val="24"/>
          <w:szCs w:val="24"/>
        </w:rPr>
      </w:pPr>
      <w:r w:rsidRPr="00DD5AD0">
        <w:rPr>
          <w:rFonts w:ascii="Times New Roman" w:eastAsia="Times New Roman" w:hAnsi="Times New Roman" w:cs="Times New Roman"/>
          <w:color w:val="000000" w:themeColor="text1"/>
          <w:sz w:val="24"/>
          <w:szCs w:val="24"/>
        </w:rPr>
        <w:t xml:space="preserve">Hyatt Hotels Corporation has demonstrated effective strategy implementation and change management to drive performance over the years. Its organic organisational structure, people-focused culture and balanced corporate and hotel goals have Hyatt well-positioned in the highly competitive hospitality industry. However, to sustain its competitive edge, some areas could still be refined. Streamlining acquisition integration through stronger planning will maximise the benefits of portfolio diversification. Enhancing coordination between regional divisions via improved communication and incentive alignment will leverage Hyatt's global scale. Healthy long-term growth is made possible by investing in local communities and building talent pools in growing areas. </w:t>
      </w:r>
    </w:p>
    <w:p w14:paraId="0000000C" w14:textId="77777777" w:rsidR="00E56CC9" w:rsidRPr="002A0906" w:rsidRDefault="00000000" w:rsidP="008A5024">
      <w:pPr>
        <w:pStyle w:val="Heading1"/>
        <w:rPr>
          <w:rFonts w:cs="Times New Roman"/>
          <w:color w:val="000000" w:themeColor="text1"/>
        </w:rPr>
      </w:pPr>
      <w:bookmarkStart w:id="6" w:name="_Toc181987800"/>
      <w:r w:rsidRPr="002A0906">
        <w:rPr>
          <w:rFonts w:cs="Times New Roman"/>
          <w:color w:val="000000" w:themeColor="text1"/>
        </w:rPr>
        <w:t>Recommendations</w:t>
      </w:r>
      <w:bookmarkEnd w:id="6"/>
    </w:p>
    <w:p w14:paraId="19425101" w14:textId="77777777" w:rsidR="001126A6" w:rsidRPr="002A0906" w:rsidRDefault="00000000" w:rsidP="001126A6">
      <w:pPr>
        <w:spacing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 xml:space="preserve">Adding leisure and small brands to Hyatt's portfolio has helped them become more diverse. However, an easy integration of different processes into the Hyatt system is still something that could be done better. For future mergers and acquisitions, Hyatt should do more thorough due research before the purchase and plan for integration after the merger. A better shift would be made possible by clear rules that spell out cultural harmony, technology roadmaps, branding rules, and success measures. Pilot programs that try different ways of integrating at a few sites before the full rollout could also help keep problems to a minimum (Kim et al. 2024). Using theories like Kotter's to improve change management techniques would help get people ready for change. </w:t>
      </w:r>
    </w:p>
    <w:p w14:paraId="0000000E" w14:textId="43388550" w:rsidR="00E56CC9" w:rsidRPr="002A0906" w:rsidRDefault="00000000" w:rsidP="008A5024">
      <w:pPr>
        <w:spacing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Hyatt's multidivisional structure gives each area its own independence, but company and hotel goals could be more closely aligned to get the most out of benefits. Structured communication that shares strategy goals and best practices across areas would make it easier for people to work together. Cooperative tactics would be encouraged by pay programs that balance network-wide goals with the needs of local markets. Regular cross-functional meetings and information systems connecting divisions can overcome structural barriers to cooperation (</w:t>
      </w:r>
      <w:r w:rsidRPr="002A0906">
        <w:rPr>
          <w:rFonts w:ascii="Times New Roman" w:eastAsia="Times New Roman" w:hAnsi="Times New Roman" w:cs="Times New Roman"/>
          <w:color w:val="000000" w:themeColor="text1"/>
          <w:sz w:val="24"/>
          <w:szCs w:val="24"/>
          <w:highlight w:val="white"/>
        </w:rPr>
        <w:t xml:space="preserve">Ewim </w:t>
      </w:r>
      <w:r w:rsidRPr="002A0906">
        <w:rPr>
          <w:rFonts w:ascii="Times New Roman" w:eastAsia="Times New Roman" w:hAnsi="Times New Roman" w:cs="Times New Roman"/>
          <w:i/>
          <w:color w:val="000000" w:themeColor="text1"/>
          <w:sz w:val="24"/>
          <w:szCs w:val="24"/>
          <w:highlight w:val="white"/>
        </w:rPr>
        <w:t xml:space="preserve">et al. </w:t>
      </w:r>
      <w:r w:rsidRPr="002A0906">
        <w:rPr>
          <w:rFonts w:ascii="Times New Roman" w:eastAsia="Times New Roman" w:hAnsi="Times New Roman" w:cs="Times New Roman"/>
          <w:color w:val="000000" w:themeColor="text1"/>
          <w:sz w:val="24"/>
          <w:szCs w:val="24"/>
          <w:highlight w:val="white"/>
        </w:rPr>
        <w:t>2024</w:t>
      </w:r>
      <w:r w:rsidRPr="002A0906">
        <w:rPr>
          <w:rFonts w:ascii="Times New Roman" w:eastAsia="Times New Roman" w:hAnsi="Times New Roman" w:cs="Times New Roman"/>
          <w:color w:val="000000" w:themeColor="text1"/>
          <w:sz w:val="24"/>
          <w:szCs w:val="24"/>
        </w:rPr>
        <w:t>). Hybrid organic-mechanistic elements balancing centralization and decentralisation, as per Burns &amp; Stalker's framework, could optimise coordination.</w:t>
      </w:r>
    </w:p>
    <w:p w14:paraId="25C899FE" w14:textId="69D16EE8" w:rsidR="00C46140" w:rsidRPr="00DD5AD0" w:rsidRDefault="00C46140" w:rsidP="00C46140">
      <w:pPr>
        <w:spacing w:line="360" w:lineRule="auto"/>
        <w:jc w:val="both"/>
        <w:rPr>
          <w:rFonts w:ascii="Times New Roman" w:eastAsia="Times New Roman" w:hAnsi="Times New Roman" w:cs="Times New Roman"/>
          <w:color w:val="000000" w:themeColor="text1"/>
          <w:sz w:val="24"/>
          <w:szCs w:val="24"/>
        </w:rPr>
      </w:pPr>
      <w:r w:rsidRPr="00DD5AD0">
        <w:rPr>
          <w:rFonts w:ascii="Times New Roman" w:eastAsia="Times New Roman" w:hAnsi="Times New Roman" w:cs="Times New Roman"/>
          <w:color w:val="000000" w:themeColor="text1"/>
          <w:sz w:val="24"/>
          <w:szCs w:val="24"/>
        </w:rPr>
        <w:lastRenderedPageBreak/>
        <w:t>Kotter's eight-step strategy for managing change is a proven approach that Hyatt can utilize to more effectively prepare their employees for transitions. Establishing a sense of urgency, forming a solid coalition, creating a vision for transformation, communicating that vision, empowering employees to act, achieving quick wins, capitalizing on successes for further change, and embedding new practices into the culture are the necessary steps</w:t>
      </w:r>
      <w:r w:rsidR="00B3320C" w:rsidRPr="00DD5AD0">
        <w:rPr>
          <w:rFonts w:ascii="Times New Roman" w:eastAsia="Times New Roman" w:hAnsi="Times New Roman" w:cs="Times New Roman"/>
          <w:color w:val="000000" w:themeColor="text1"/>
          <w:sz w:val="24"/>
          <w:szCs w:val="24"/>
        </w:rPr>
        <w:t xml:space="preserve"> (</w:t>
      </w:r>
      <w:proofErr w:type="spellStart"/>
      <w:r w:rsidR="00B3320C" w:rsidRPr="00DD5AD0">
        <w:rPr>
          <w:rFonts w:ascii="Times New Roman" w:eastAsia="Times New Roman" w:hAnsi="Times New Roman" w:cs="Times New Roman"/>
          <w:color w:val="000000" w:themeColor="text1"/>
          <w:sz w:val="24"/>
          <w:szCs w:val="24"/>
        </w:rPr>
        <w:t>Khuadthong</w:t>
      </w:r>
      <w:proofErr w:type="spellEnd"/>
      <w:r w:rsidR="00B3320C" w:rsidRPr="00DD5AD0">
        <w:rPr>
          <w:rFonts w:ascii="Times New Roman" w:eastAsia="Times New Roman" w:hAnsi="Times New Roman" w:cs="Times New Roman"/>
          <w:color w:val="000000" w:themeColor="text1"/>
          <w:sz w:val="24"/>
          <w:szCs w:val="24"/>
        </w:rPr>
        <w:t xml:space="preserve"> and Kasim, 2020)</w:t>
      </w:r>
      <w:r w:rsidRPr="00DD5AD0">
        <w:rPr>
          <w:rFonts w:ascii="Times New Roman" w:eastAsia="Times New Roman" w:hAnsi="Times New Roman" w:cs="Times New Roman"/>
          <w:color w:val="000000" w:themeColor="text1"/>
          <w:sz w:val="24"/>
          <w:szCs w:val="24"/>
        </w:rPr>
        <w:t>. Hyatt can ensure that the processes resulting from mergers and acquisitions are implemented sustainably by allocating sufficient time and resources to each phase of completion.</w:t>
      </w:r>
    </w:p>
    <w:p w14:paraId="1BC862DE" w14:textId="77777777" w:rsidR="00C46140" w:rsidRPr="00DD5AD0" w:rsidRDefault="00C46140" w:rsidP="00C46140">
      <w:pPr>
        <w:spacing w:line="360" w:lineRule="auto"/>
        <w:jc w:val="both"/>
        <w:rPr>
          <w:rFonts w:ascii="Times New Roman" w:eastAsia="Times New Roman" w:hAnsi="Times New Roman" w:cs="Times New Roman"/>
          <w:color w:val="000000" w:themeColor="text1"/>
          <w:sz w:val="24"/>
          <w:szCs w:val="24"/>
        </w:rPr>
      </w:pPr>
      <w:r w:rsidRPr="00DD5AD0">
        <w:rPr>
          <w:rFonts w:ascii="Times New Roman" w:eastAsia="Times New Roman" w:hAnsi="Times New Roman" w:cs="Times New Roman"/>
          <w:color w:val="000000" w:themeColor="text1"/>
          <w:sz w:val="24"/>
          <w:szCs w:val="24"/>
        </w:rPr>
        <w:t>Burns and Stalker's concepts regarding organic and mechanical structures are beneficial for organisations, which aims to achieve a balance between control and decentralization (Sibindi, and Samuel, 2019). Their current multidivisional setup is somewhat organic as it provides flexibility, yet objectives could be more seamlessly aligned throughout the organization with a few additional mechanical elements like standardized KPIs. Grounded in this concept of potential outcomes, hybrid frameworks tailored for each market might facilitate coordination that promotes collaboration among individuals from different regions.</w:t>
      </w:r>
    </w:p>
    <w:p w14:paraId="4A2913DA" w14:textId="71859DF6" w:rsidR="00C46140" w:rsidRPr="002A0906" w:rsidRDefault="00C46140" w:rsidP="00C46140">
      <w:pPr>
        <w:spacing w:line="360" w:lineRule="auto"/>
        <w:jc w:val="both"/>
        <w:rPr>
          <w:rFonts w:ascii="Times New Roman" w:eastAsia="Times New Roman" w:hAnsi="Times New Roman" w:cs="Times New Roman"/>
          <w:color w:val="000000" w:themeColor="text1"/>
          <w:sz w:val="24"/>
          <w:szCs w:val="24"/>
        </w:rPr>
      </w:pPr>
      <w:r w:rsidRPr="00DD5AD0">
        <w:rPr>
          <w:rFonts w:ascii="Times New Roman" w:eastAsia="Times New Roman" w:hAnsi="Times New Roman" w:cs="Times New Roman"/>
          <w:color w:val="000000" w:themeColor="text1"/>
          <w:sz w:val="24"/>
          <w:szCs w:val="24"/>
        </w:rPr>
        <w:t>It can be said that Hyatt will be prepared for continuous disruptions if they consistently evaluate how effectively their organizational structure aligns with the uncertainties in their external environments. This is grounded in concepts from structural contingency theory. Hyatt will more effectively manage industry changes with their diverse, balanced approach if they maintain an open, adaptable framework that embraces new opportunities, as indicated in the initial case.</w:t>
      </w:r>
    </w:p>
    <w:p w14:paraId="00000010" w14:textId="77777777" w:rsidR="00E56CC9" w:rsidRPr="002A0906" w:rsidRDefault="00000000" w:rsidP="008A5024">
      <w:pPr>
        <w:spacing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 xml:space="preserve">Leveraging insights collected through enhanced CRM capabilities, Hyatt is well-placed to provide even more personalised experiences. Deploying analytic profiles to improve segmentation could optimise digital marketing initiatives. Piloting innovative service concepts like consolidated mobile check-ins tailored to cultural preferences would refine the guest journey. </w:t>
      </w:r>
    </w:p>
    <w:p w14:paraId="00000013" w14:textId="018CC88A" w:rsidR="00E56CC9" w:rsidRPr="002A0906" w:rsidRDefault="00E56CC9" w:rsidP="008A5024">
      <w:pPr>
        <w:spacing w:line="360" w:lineRule="auto"/>
        <w:jc w:val="both"/>
        <w:rPr>
          <w:rFonts w:ascii="Times New Roman" w:eastAsia="Times New Roman" w:hAnsi="Times New Roman" w:cs="Times New Roman"/>
          <w:color w:val="000000" w:themeColor="text1"/>
          <w:sz w:val="24"/>
          <w:szCs w:val="24"/>
        </w:rPr>
      </w:pPr>
    </w:p>
    <w:p w14:paraId="29D58532" w14:textId="77777777" w:rsidR="00AA6AE0" w:rsidRPr="002A0906" w:rsidRDefault="00000000">
      <w:pPr>
        <w:rPr>
          <w:rFonts w:ascii="Times New Roman" w:hAnsi="Times New Roman" w:cs="Times New Roman"/>
          <w:b/>
          <w:color w:val="000000" w:themeColor="text1"/>
          <w:sz w:val="28"/>
          <w:szCs w:val="40"/>
        </w:rPr>
      </w:pPr>
      <w:r w:rsidRPr="002A0906">
        <w:rPr>
          <w:rFonts w:ascii="Times New Roman" w:hAnsi="Times New Roman" w:cs="Times New Roman"/>
          <w:color w:val="000000" w:themeColor="text1"/>
        </w:rPr>
        <w:br w:type="page"/>
      </w:r>
    </w:p>
    <w:p w14:paraId="00000014" w14:textId="54039E1C" w:rsidR="00E56CC9" w:rsidRPr="002A0906" w:rsidRDefault="00000000" w:rsidP="008A5024">
      <w:pPr>
        <w:pStyle w:val="Heading1"/>
        <w:rPr>
          <w:rFonts w:cs="Times New Roman"/>
          <w:color w:val="000000" w:themeColor="text1"/>
        </w:rPr>
      </w:pPr>
      <w:bookmarkStart w:id="7" w:name="_Toc181987801"/>
      <w:r w:rsidRPr="002A0906">
        <w:rPr>
          <w:rFonts w:cs="Times New Roman"/>
          <w:color w:val="000000" w:themeColor="text1"/>
        </w:rPr>
        <w:lastRenderedPageBreak/>
        <w:t>Reference</w:t>
      </w:r>
      <w:bookmarkEnd w:id="7"/>
      <w:r w:rsidRPr="002A0906">
        <w:rPr>
          <w:rFonts w:cs="Times New Roman"/>
          <w:color w:val="000000" w:themeColor="text1"/>
        </w:rPr>
        <w:t xml:space="preserve"> </w:t>
      </w:r>
    </w:p>
    <w:p w14:paraId="31B015D6" w14:textId="77777777" w:rsidR="001428FD" w:rsidRPr="002A0906" w:rsidRDefault="001428FD" w:rsidP="008A5024">
      <w:pPr>
        <w:spacing w:before="240" w:after="240"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highlight w:val="white"/>
        </w:rPr>
        <w:t xml:space="preserve">Bettencourt, L.A. and Houston, M.B., (2024). The untested assumption: Can a net promoter study be used to improve net promoter score? </w:t>
      </w:r>
      <w:r w:rsidRPr="002A0906">
        <w:rPr>
          <w:rFonts w:ascii="Times New Roman" w:eastAsia="Times New Roman" w:hAnsi="Times New Roman" w:cs="Times New Roman"/>
          <w:i/>
          <w:color w:val="000000" w:themeColor="text1"/>
          <w:sz w:val="24"/>
          <w:szCs w:val="24"/>
          <w:highlight w:val="white"/>
        </w:rPr>
        <w:t>International Journal of Market Research</w:t>
      </w:r>
      <w:r w:rsidRPr="002A0906">
        <w:rPr>
          <w:rFonts w:ascii="Times New Roman" w:eastAsia="Times New Roman" w:hAnsi="Times New Roman" w:cs="Times New Roman"/>
          <w:color w:val="000000" w:themeColor="text1"/>
          <w:sz w:val="24"/>
          <w:szCs w:val="24"/>
          <w:highlight w:val="white"/>
        </w:rPr>
        <w:t xml:space="preserve">, </w:t>
      </w:r>
      <w:r w:rsidRPr="002A0906">
        <w:rPr>
          <w:rFonts w:ascii="Times New Roman" w:eastAsia="Times New Roman" w:hAnsi="Times New Roman" w:cs="Times New Roman"/>
          <w:i/>
          <w:color w:val="000000" w:themeColor="text1"/>
          <w:sz w:val="24"/>
          <w:szCs w:val="24"/>
          <w:highlight w:val="white"/>
        </w:rPr>
        <w:t>66</w:t>
      </w:r>
      <w:r w:rsidRPr="002A0906">
        <w:rPr>
          <w:rFonts w:ascii="Times New Roman" w:eastAsia="Times New Roman" w:hAnsi="Times New Roman" w:cs="Times New Roman"/>
          <w:color w:val="000000" w:themeColor="text1"/>
          <w:sz w:val="24"/>
          <w:szCs w:val="24"/>
          <w:highlight w:val="white"/>
        </w:rPr>
        <w:t>(2-3), pp.216-240.</w:t>
      </w:r>
    </w:p>
    <w:p w14:paraId="4B428B75" w14:textId="77777777" w:rsidR="001428FD" w:rsidRPr="002A0906" w:rsidRDefault="001428FD" w:rsidP="008A5024">
      <w:pPr>
        <w:spacing w:before="240" w:after="240" w:line="360" w:lineRule="auto"/>
        <w:jc w:val="both"/>
        <w:rPr>
          <w:rFonts w:ascii="Times New Roman" w:eastAsia="Times New Roman" w:hAnsi="Times New Roman" w:cs="Times New Roman"/>
          <w:color w:val="000000" w:themeColor="text1"/>
          <w:sz w:val="24"/>
          <w:szCs w:val="24"/>
          <w:highlight w:val="white"/>
        </w:rPr>
      </w:pPr>
      <w:r w:rsidRPr="002A0906">
        <w:rPr>
          <w:rFonts w:ascii="Times New Roman" w:eastAsia="Times New Roman" w:hAnsi="Times New Roman" w:cs="Times New Roman"/>
          <w:color w:val="000000" w:themeColor="text1"/>
          <w:sz w:val="24"/>
          <w:szCs w:val="24"/>
          <w:highlight w:val="white"/>
        </w:rPr>
        <w:t xml:space="preserve">Chernov, D., Sornette, D., Chernov, D. and Sornette, D., (2020). Specific Features of Risk Management in the Service Sector. </w:t>
      </w:r>
      <w:r w:rsidRPr="002A0906">
        <w:rPr>
          <w:rFonts w:ascii="Times New Roman" w:eastAsia="Times New Roman" w:hAnsi="Times New Roman" w:cs="Times New Roman"/>
          <w:i/>
          <w:color w:val="000000" w:themeColor="text1"/>
          <w:sz w:val="24"/>
          <w:szCs w:val="24"/>
          <w:highlight w:val="white"/>
        </w:rPr>
        <w:t>Critical Risks of Different Economic Sectors: Based on the Analysis of More Than 500 Incidents, Accidents and Disasters</w:t>
      </w:r>
      <w:r w:rsidRPr="002A0906">
        <w:rPr>
          <w:rFonts w:ascii="Times New Roman" w:eastAsia="Times New Roman" w:hAnsi="Times New Roman" w:cs="Times New Roman"/>
          <w:color w:val="000000" w:themeColor="text1"/>
          <w:sz w:val="24"/>
          <w:szCs w:val="24"/>
          <w:highlight w:val="white"/>
        </w:rPr>
        <w:t>, pp.147-261.</w:t>
      </w:r>
    </w:p>
    <w:p w14:paraId="52ECE3BD" w14:textId="77777777" w:rsidR="001428FD" w:rsidRPr="002A0906" w:rsidRDefault="001428FD" w:rsidP="008A5024">
      <w:pPr>
        <w:spacing w:before="240" w:after="240" w:line="360" w:lineRule="auto"/>
        <w:jc w:val="both"/>
        <w:rPr>
          <w:rFonts w:ascii="Times New Roman" w:eastAsia="Times New Roman" w:hAnsi="Times New Roman" w:cs="Times New Roman"/>
          <w:color w:val="000000" w:themeColor="text1"/>
          <w:sz w:val="24"/>
          <w:szCs w:val="24"/>
          <w:highlight w:val="white"/>
        </w:rPr>
      </w:pPr>
      <w:r w:rsidRPr="002A0906">
        <w:rPr>
          <w:rFonts w:ascii="Times New Roman" w:eastAsia="Times New Roman" w:hAnsi="Times New Roman" w:cs="Times New Roman"/>
          <w:color w:val="000000" w:themeColor="text1"/>
          <w:sz w:val="24"/>
          <w:szCs w:val="24"/>
          <w:highlight w:val="white"/>
        </w:rPr>
        <w:t xml:space="preserve">Ewim, C.P.M., </w:t>
      </w:r>
      <w:proofErr w:type="spellStart"/>
      <w:r w:rsidRPr="002A0906">
        <w:rPr>
          <w:rFonts w:ascii="Times New Roman" w:eastAsia="Times New Roman" w:hAnsi="Times New Roman" w:cs="Times New Roman"/>
          <w:color w:val="000000" w:themeColor="text1"/>
          <w:sz w:val="24"/>
          <w:szCs w:val="24"/>
          <w:highlight w:val="white"/>
        </w:rPr>
        <w:t>Achumie</w:t>
      </w:r>
      <w:proofErr w:type="spellEnd"/>
      <w:r w:rsidRPr="002A0906">
        <w:rPr>
          <w:rFonts w:ascii="Times New Roman" w:eastAsia="Times New Roman" w:hAnsi="Times New Roman" w:cs="Times New Roman"/>
          <w:color w:val="000000" w:themeColor="text1"/>
          <w:sz w:val="24"/>
          <w:szCs w:val="24"/>
          <w:highlight w:val="white"/>
        </w:rPr>
        <w:t xml:space="preserve">, G.O., Adeleke, A.G., Okeke, I.C. and </w:t>
      </w:r>
      <w:proofErr w:type="spellStart"/>
      <w:r w:rsidRPr="002A0906">
        <w:rPr>
          <w:rFonts w:ascii="Times New Roman" w:eastAsia="Times New Roman" w:hAnsi="Times New Roman" w:cs="Times New Roman"/>
          <w:color w:val="000000" w:themeColor="text1"/>
          <w:sz w:val="24"/>
          <w:szCs w:val="24"/>
          <w:highlight w:val="white"/>
        </w:rPr>
        <w:t>Mokogwu</w:t>
      </w:r>
      <w:proofErr w:type="spellEnd"/>
      <w:r w:rsidRPr="002A0906">
        <w:rPr>
          <w:rFonts w:ascii="Times New Roman" w:eastAsia="Times New Roman" w:hAnsi="Times New Roman" w:cs="Times New Roman"/>
          <w:color w:val="000000" w:themeColor="text1"/>
          <w:sz w:val="24"/>
          <w:szCs w:val="24"/>
          <w:highlight w:val="white"/>
        </w:rPr>
        <w:t>, C., (2024). Developing a cross-functional team coordination framework: A model for optimizing business operations.</w:t>
      </w:r>
    </w:p>
    <w:p w14:paraId="64E9BA80" w14:textId="77777777" w:rsidR="001428FD" w:rsidRPr="002A0906" w:rsidRDefault="001428FD" w:rsidP="008A5024">
      <w:pPr>
        <w:spacing w:line="360" w:lineRule="auto"/>
        <w:jc w:val="both"/>
        <w:rPr>
          <w:rFonts w:ascii="Times New Roman" w:eastAsia="Times New Roman" w:hAnsi="Times New Roman" w:cs="Times New Roman"/>
          <w:color w:val="000000" w:themeColor="text1"/>
          <w:sz w:val="24"/>
          <w:szCs w:val="24"/>
          <w:highlight w:val="white"/>
        </w:rPr>
      </w:pPr>
      <w:r w:rsidRPr="002A0906">
        <w:rPr>
          <w:rFonts w:ascii="Times New Roman" w:eastAsia="Times New Roman" w:hAnsi="Times New Roman" w:cs="Times New Roman"/>
          <w:color w:val="000000" w:themeColor="text1"/>
          <w:sz w:val="24"/>
          <w:szCs w:val="24"/>
          <w:highlight w:val="white"/>
        </w:rPr>
        <w:t xml:space="preserve">Geller, E. and French, S., (2024). </w:t>
      </w:r>
      <w:r w:rsidRPr="002A0906">
        <w:rPr>
          <w:rFonts w:ascii="Times New Roman" w:eastAsia="Times New Roman" w:hAnsi="Times New Roman" w:cs="Times New Roman"/>
          <w:i/>
          <w:color w:val="000000" w:themeColor="text1"/>
          <w:sz w:val="24"/>
          <w:szCs w:val="24"/>
          <w:highlight w:val="white"/>
        </w:rPr>
        <w:t>The complete guide to the World of Hyatt</w:t>
      </w:r>
      <w:r w:rsidRPr="002A0906">
        <w:rPr>
          <w:rFonts w:ascii="Times New Roman" w:eastAsia="Times New Roman" w:hAnsi="Times New Roman" w:cs="Times New Roman"/>
          <w:color w:val="000000" w:themeColor="text1"/>
          <w:sz w:val="24"/>
          <w:szCs w:val="24"/>
          <w:highlight w:val="white"/>
        </w:rPr>
        <w:t>. [online] NerdWallet. Available at: &lt;</w:t>
      </w:r>
      <w:hyperlink r:id="rId7">
        <w:r w:rsidRPr="002A0906">
          <w:rPr>
            <w:rFonts w:ascii="Times New Roman" w:eastAsia="Times New Roman" w:hAnsi="Times New Roman" w:cs="Times New Roman"/>
            <w:color w:val="000000" w:themeColor="text1"/>
            <w:sz w:val="24"/>
            <w:szCs w:val="24"/>
            <w:highlight w:val="white"/>
            <w:u w:val="single"/>
          </w:rPr>
          <w:t>https://www.nerdwallet.com/article/travel/world-hyatt-complete-guide</w:t>
        </w:r>
      </w:hyperlink>
      <w:r w:rsidRPr="002A0906">
        <w:rPr>
          <w:rFonts w:ascii="Times New Roman" w:eastAsia="Times New Roman" w:hAnsi="Times New Roman" w:cs="Times New Roman"/>
          <w:color w:val="000000" w:themeColor="text1"/>
          <w:sz w:val="24"/>
          <w:szCs w:val="24"/>
          <w:highlight w:val="white"/>
        </w:rPr>
        <w:t>&gt;.</w:t>
      </w:r>
    </w:p>
    <w:p w14:paraId="75A4AF77" w14:textId="77777777" w:rsidR="001428FD" w:rsidRPr="002A0906" w:rsidRDefault="001428FD" w:rsidP="008A5024">
      <w:pPr>
        <w:spacing w:before="240" w:after="240"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w:t>
      </w:r>
      <w:r w:rsidRPr="002A0906">
        <w:rPr>
          <w:rFonts w:ascii="Times New Roman" w:eastAsia="Times New Roman" w:hAnsi="Times New Roman" w:cs="Times New Roman"/>
          <w:color w:val="000000" w:themeColor="text1"/>
          <w:sz w:val="24"/>
          <w:szCs w:val="24"/>
          <w:highlight w:val="white"/>
        </w:rPr>
        <w:t xml:space="preserve">Guo, S., (2021). STRUCTURAL ARCHETYPES AND INNOVATIVENESS. </w:t>
      </w:r>
      <w:r w:rsidRPr="002A0906">
        <w:rPr>
          <w:rFonts w:ascii="Times New Roman" w:eastAsia="Times New Roman" w:hAnsi="Times New Roman" w:cs="Times New Roman"/>
          <w:i/>
          <w:color w:val="000000" w:themeColor="text1"/>
          <w:sz w:val="24"/>
          <w:szCs w:val="24"/>
          <w:highlight w:val="white"/>
        </w:rPr>
        <w:t>Journal of Organizational Culture, Communications and Conflict</w:t>
      </w:r>
      <w:r w:rsidRPr="002A0906">
        <w:rPr>
          <w:rFonts w:ascii="Times New Roman" w:eastAsia="Times New Roman" w:hAnsi="Times New Roman" w:cs="Times New Roman"/>
          <w:color w:val="000000" w:themeColor="text1"/>
          <w:sz w:val="24"/>
          <w:szCs w:val="24"/>
          <w:highlight w:val="white"/>
        </w:rPr>
        <w:t xml:space="preserve">, </w:t>
      </w:r>
      <w:r w:rsidRPr="002A0906">
        <w:rPr>
          <w:rFonts w:ascii="Times New Roman" w:eastAsia="Times New Roman" w:hAnsi="Times New Roman" w:cs="Times New Roman"/>
          <w:i/>
          <w:color w:val="000000" w:themeColor="text1"/>
          <w:sz w:val="24"/>
          <w:szCs w:val="24"/>
          <w:highlight w:val="white"/>
        </w:rPr>
        <w:t>25</w:t>
      </w:r>
      <w:r w:rsidRPr="002A0906">
        <w:rPr>
          <w:rFonts w:ascii="Times New Roman" w:eastAsia="Times New Roman" w:hAnsi="Times New Roman" w:cs="Times New Roman"/>
          <w:color w:val="000000" w:themeColor="text1"/>
          <w:sz w:val="24"/>
          <w:szCs w:val="24"/>
          <w:highlight w:val="white"/>
        </w:rPr>
        <w:t>, pp.1-2.</w:t>
      </w:r>
    </w:p>
    <w:p w14:paraId="49EC68CF" w14:textId="77777777" w:rsidR="001428FD" w:rsidRPr="002A0906" w:rsidRDefault="001428FD" w:rsidP="008A5024">
      <w:pPr>
        <w:spacing w:before="240" w:after="240"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 xml:space="preserve">Hyatt Newsroom. (2024). </w:t>
      </w:r>
      <w:r w:rsidRPr="002A0906">
        <w:rPr>
          <w:rFonts w:ascii="Times New Roman" w:eastAsia="Times New Roman" w:hAnsi="Times New Roman" w:cs="Times New Roman"/>
          <w:i/>
          <w:color w:val="000000" w:themeColor="text1"/>
          <w:sz w:val="24"/>
          <w:szCs w:val="24"/>
        </w:rPr>
        <w:t>Hyatt Hotels Corporation</w:t>
      </w:r>
      <w:r w:rsidRPr="002A0906">
        <w:rPr>
          <w:rFonts w:ascii="Times New Roman" w:eastAsia="Times New Roman" w:hAnsi="Times New Roman" w:cs="Times New Roman"/>
          <w:color w:val="000000" w:themeColor="text1"/>
          <w:sz w:val="24"/>
          <w:szCs w:val="24"/>
        </w:rPr>
        <w:t>. [online] Hyatt Newsroom. Available at: &lt;https://newsroom.hyatt.com/2024-10-16-Hyatt-Enters-Joint-Venture-with-China-Resources-Land-to-Expand-Portfolio-Across-China&gt; [Accessed 30 October 2024].</w:t>
      </w:r>
    </w:p>
    <w:p w14:paraId="0D7D9B5A" w14:textId="77777777" w:rsidR="001428FD" w:rsidRPr="002A0906" w:rsidRDefault="001428FD" w:rsidP="008A5024">
      <w:pPr>
        <w:spacing w:before="240" w:after="240"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 xml:space="preserve">Hyatt. (2020). </w:t>
      </w:r>
      <w:r w:rsidRPr="002A0906">
        <w:rPr>
          <w:rFonts w:ascii="Times New Roman" w:eastAsia="Times New Roman" w:hAnsi="Times New Roman" w:cs="Times New Roman"/>
          <w:i/>
          <w:color w:val="000000" w:themeColor="text1"/>
          <w:sz w:val="24"/>
          <w:szCs w:val="24"/>
        </w:rPr>
        <w:t>World of Care</w:t>
      </w:r>
      <w:r w:rsidRPr="002A0906">
        <w:rPr>
          <w:rFonts w:ascii="Times New Roman" w:eastAsia="Times New Roman" w:hAnsi="Times New Roman" w:cs="Times New Roman"/>
          <w:color w:val="000000" w:themeColor="text1"/>
          <w:sz w:val="24"/>
          <w:szCs w:val="24"/>
        </w:rPr>
        <w:t>. [online] Hyatt.com. Available at: &lt;https://www.hyatt.com/world-of-care/en-US/caring-for-people&gt; [Accessed 30 October 2024].</w:t>
      </w:r>
    </w:p>
    <w:p w14:paraId="26BD907B" w14:textId="77777777" w:rsidR="001428FD" w:rsidRPr="002A0906" w:rsidRDefault="001428FD" w:rsidP="008A5024">
      <w:pPr>
        <w:spacing w:after="240"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 xml:space="preserve">Hyatt. (2023). </w:t>
      </w:r>
      <w:r w:rsidRPr="002A0906">
        <w:rPr>
          <w:rFonts w:ascii="Times New Roman" w:eastAsia="Times New Roman" w:hAnsi="Times New Roman" w:cs="Times New Roman"/>
          <w:i/>
          <w:color w:val="000000" w:themeColor="text1"/>
          <w:sz w:val="24"/>
          <w:szCs w:val="24"/>
        </w:rPr>
        <w:t>About Hyatt</w:t>
      </w:r>
      <w:r w:rsidRPr="002A0906">
        <w:rPr>
          <w:rFonts w:ascii="Times New Roman" w:eastAsia="Times New Roman" w:hAnsi="Times New Roman" w:cs="Times New Roman"/>
          <w:color w:val="000000" w:themeColor="text1"/>
          <w:sz w:val="24"/>
          <w:szCs w:val="24"/>
        </w:rPr>
        <w:t>. [online] Hyatt About. Available at: &lt;https://about.hyatt.com/en.html&gt; [Accessed 30 October 2024].</w:t>
      </w:r>
    </w:p>
    <w:p w14:paraId="515C8EC8" w14:textId="77777777" w:rsidR="001428FD" w:rsidRPr="002A0906" w:rsidRDefault="001428FD" w:rsidP="008A5024">
      <w:pPr>
        <w:spacing w:before="240" w:after="240"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 xml:space="preserve">Hyatt. (2023). </w:t>
      </w:r>
      <w:r w:rsidRPr="002A0906">
        <w:rPr>
          <w:rFonts w:ascii="Times New Roman" w:eastAsia="Times New Roman" w:hAnsi="Times New Roman" w:cs="Times New Roman"/>
          <w:i/>
          <w:color w:val="000000" w:themeColor="text1"/>
          <w:sz w:val="24"/>
          <w:szCs w:val="24"/>
        </w:rPr>
        <w:t>Hyatt Introduces Hyatt Centric</w:t>
      </w:r>
      <w:r w:rsidRPr="002A0906">
        <w:rPr>
          <w:rFonts w:ascii="Times New Roman" w:eastAsia="Times New Roman" w:hAnsi="Times New Roman" w:cs="Times New Roman"/>
          <w:color w:val="000000" w:themeColor="text1"/>
          <w:sz w:val="24"/>
          <w:szCs w:val="24"/>
        </w:rPr>
        <w:t>. [online] Hyatt.com. Available at: &lt;https://investors.hyatt.com/news/investor-news/news-details/2015/Hyatt-Introduces-Hyatt-Centric-01-27-2015/default.aspx&gt; [Accessed 30 October 2024].</w:t>
      </w:r>
    </w:p>
    <w:p w14:paraId="66DE6F29" w14:textId="77777777" w:rsidR="001428FD" w:rsidRPr="002A0906" w:rsidRDefault="001428FD" w:rsidP="008A5024">
      <w:pPr>
        <w:spacing w:before="240" w:after="240"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 xml:space="preserve">Hyatt. (2023). </w:t>
      </w:r>
      <w:r w:rsidRPr="002A0906">
        <w:rPr>
          <w:rFonts w:ascii="Times New Roman" w:eastAsia="Times New Roman" w:hAnsi="Times New Roman" w:cs="Times New Roman"/>
          <w:i/>
          <w:color w:val="000000" w:themeColor="text1"/>
          <w:sz w:val="24"/>
          <w:szCs w:val="24"/>
        </w:rPr>
        <w:t>Hyatt to Acquire Standard International and its Iconic Hotel Brands, The Standard and Bunkhouse Hotels, Expanding Its Leading Position in Lifestyle Hospitality</w:t>
      </w:r>
      <w:r w:rsidRPr="002A0906">
        <w:rPr>
          <w:rFonts w:ascii="Times New Roman" w:eastAsia="Times New Roman" w:hAnsi="Times New Roman" w:cs="Times New Roman"/>
          <w:color w:val="000000" w:themeColor="text1"/>
          <w:sz w:val="24"/>
          <w:szCs w:val="24"/>
        </w:rPr>
        <w:t xml:space="preserve">. </w:t>
      </w:r>
      <w:r w:rsidRPr="002A0906">
        <w:rPr>
          <w:rFonts w:ascii="Times New Roman" w:eastAsia="Times New Roman" w:hAnsi="Times New Roman" w:cs="Times New Roman"/>
          <w:color w:val="000000" w:themeColor="text1"/>
          <w:sz w:val="24"/>
          <w:szCs w:val="24"/>
        </w:rPr>
        <w:lastRenderedPageBreak/>
        <w:t>[online] Hyatt.com. Available at: &lt;https://investors.hyatt.com/news/investor-news/news-details/2024/Hyatt-to-Acquire-Standard-International-and-its-Iconic-Hotel-Brands-The-Standard-and-Bunkhouse-Hotels-Expanding-Its-Leading-Position-in-Lifestyle-Hospitality/default.aspx#:~:text=The%20new%20lifestyle%20group%20will%20be%20made,evolution%20to%20a%20brand%2D%20and%20experience%2Ddriven%20company.&gt; [Accessed 30 October 2024].</w:t>
      </w:r>
    </w:p>
    <w:p w14:paraId="7E5B764C" w14:textId="77777777" w:rsidR="001428FD" w:rsidRPr="002A0906" w:rsidRDefault="001428FD" w:rsidP="008A5024">
      <w:pPr>
        <w:spacing w:before="240" w:after="240"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 xml:space="preserve">‌IBM, (2024). </w:t>
      </w:r>
      <w:r w:rsidRPr="002A0906">
        <w:rPr>
          <w:rFonts w:ascii="Times New Roman" w:eastAsia="Times New Roman" w:hAnsi="Times New Roman" w:cs="Times New Roman"/>
          <w:i/>
          <w:color w:val="000000" w:themeColor="text1"/>
          <w:sz w:val="24"/>
          <w:szCs w:val="24"/>
        </w:rPr>
        <w:t>Digital transformation</w:t>
      </w:r>
      <w:r w:rsidRPr="002A0906">
        <w:rPr>
          <w:rFonts w:ascii="Times New Roman" w:eastAsia="Times New Roman" w:hAnsi="Times New Roman" w:cs="Times New Roman"/>
          <w:color w:val="000000" w:themeColor="text1"/>
          <w:sz w:val="24"/>
          <w:szCs w:val="24"/>
        </w:rPr>
        <w:t>. [online] Ibm.com. Available at: &lt;https://www.ibm.com/topics/digital-transformation#:~:text=Digital%20transformation%20efforts%20to%20improve,Customer%20experience&gt; [Accessed 30 October 2024].</w:t>
      </w:r>
    </w:p>
    <w:p w14:paraId="15D62BDC" w14:textId="77777777" w:rsidR="001428FD" w:rsidRPr="002A0906" w:rsidRDefault="001428FD" w:rsidP="008A5024">
      <w:pPr>
        <w:spacing w:after="240"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 xml:space="preserve">Jdvhotels. (2024). </w:t>
      </w:r>
      <w:r w:rsidRPr="002A0906">
        <w:rPr>
          <w:rFonts w:ascii="Times New Roman" w:eastAsia="Times New Roman" w:hAnsi="Times New Roman" w:cs="Times New Roman"/>
          <w:i/>
          <w:color w:val="000000" w:themeColor="text1"/>
          <w:sz w:val="24"/>
          <w:szCs w:val="24"/>
        </w:rPr>
        <w:t>Boutique Hotels | Joie de Vivre – About Us</w:t>
      </w:r>
      <w:r w:rsidRPr="002A0906">
        <w:rPr>
          <w:rFonts w:ascii="Times New Roman" w:eastAsia="Times New Roman" w:hAnsi="Times New Roman" w:cs="Times New Roman"/>
          <w:color w:val="000000" w:themeColor="text1"/>
          <w:sz w:val="24"/>
          <w:szCs w:val="24"/>
        </w:rPr>
        <w:t>. [online] Jdvhotels.com. Available at: &lt;https://www.jdvhotels.com/about/about-us&gt; [Accessed 30 October 2024].</w:t>
      </w:r>
    </w:p>
    <w:p w14:paraId="545D6047" w14:textId="77777777" w:rsidR="001428FD" w:rsidRPr="002A0906" w:rsidRDefault="001428FD" w:rsidP="008A5024">
      <w:pPr>
        <w:spacing w:after="240"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 xml:space="preserve">Kelleher, S.R., (2024). </w:t>
      </w:r>
      <w:r w:rsidRPr="002A0906">
        <w:rPr>
          <w:rFonts w:ascii="Times New Roman" w:eastAsia="Times New Roman" w:hAnsi="Times New Roman" w:cs="Times New Roman"/>
          <w:i/>
          <w:color w:val="000000" w:themeColor="text1"/>
          <w:sz w:val="24"/>
          <w:szCs w:val="24"/>
        </w:rPr>
        <w:t>Hyatt’s New Joint Venture Cements Its Lead in All-Inclusive Segment</w:t>
      </w:r>
      <w:r w:rsidRPr="002A0906">
        <w:rPr>
          <w:rFonts w:ascii="Times New Roman" w:eastAsia="Times New Roman" w:hAnsi="Times New Roman" w:cs="Times New Roman"/>
          <w:color w:val="000000" w:themeColor="text1"/>
          <w:sz w:val="24"/>
          <w:szCs w:val="24"/>
        </w:rPr>
        <w:t>. [online] Forbes. Available at: &lt;https://www.forbes.com/sites/suzannerowankelleher/2024/10/29/hyatt-all-inclusive-bahia-principe/&gt; [Accessed 30 October 2024].</w:t>
      </w:r>
    </w:p>
    <w:p w14:paraId="1D4356F7" w14:textId="77777777" w:rsidR="001428FD" w:rsidRPr="002A0906" w:rsidRDefault="001428FD" w:rsidP="008A5024">
      <w:pPr>
        <w:spacing w:line="360" w:lineRule="auto"/>
        <w:jc w:val="both"/>
        <w:rPr>
          <w:rFonts w:ascii="Times New Roman" w:eastAsia="Times New Roman" w:hAnsi="Times New Roman" w:cs="Times New Roman"/>
          <w:color w:val="000000" w:themeColor="text1"/>
          <w:sz w:val="24"/>
          <w:szCs w:val="24"/>
          <w:highlight w:val="white"/>
        </w:rPr>
      </w:pPr>
      <w:r w:rsidRPr="002A0906">
        <w:rPr>
          <w:rFonts w:ascii="Times New Roman" w:eastAsia="Times New Roman" w:hAnsi="Times New Roman" w:cs="Times New Roman"/>
          <w:color w:val="000000" w:themeColor="text1"/>
          <w:sz w:val="24"/>
          <w:szCs w:val="24"/>
          <w:highlight w:val="white"/>
        </w:rPr>
        <w:t xml:space="preserve">Khosla, V., (2024). Hyatt to tap into India’s golden age with luxury hospitality offerings: CEO. </w:t>
      </w:r>
      <w:r w:rsidRPr="002A0906">
        <w:rPr>
          <w:rFonts w:ascii="Times New Roman" w:eastAsia="Times New Roman" w:hAnsi="Times New Roman" w:cs="Times New Roman"/>
          <w:i/>
          <w:color w:val="000000" w:themeColor="text1"/>
          <w:sz w:val="24"/>
          <w:szCs w:val="24"/>
          <w:highlight w:val="white"/>
        </w:rPr>
        <w:t>Mint</w:t>
      </w:r>
      <w:r w:rsidRPr="002A0906">
        <w:rPr>
          <w:rFonts w:ascii="Times New Roman" w:eastAsia="Times New Roman" w:hAnsi="Times New Roman" w:cs="Times New Roman"/>
          <w:color w:val="000000" w:themeColor="text1"/>
          <w:sz w:val="24"/>
          <w:szCs w:val="24"/>
          <w:highlight w:val="white"/>
        </w:rPr>
        <w:t>. [online] 5 Apr. Available at: &lt;</w:t>
      </w:r>
      <w:hyperlink r:id="rId8">
        <w:r w:rsidRPr="002A0906">
          <w:rPr>
            <w:rFonts w:ascii="Times New Roman" w:eastAsia="Times New Roman" w:hAnsi="Times New Roman" w:cs="Times New Roman"/>
            <w:color w:val="000000" w:themeColor="text1"/>
            <w:sz w:val="24"/>
            <w:szCs w:val="24"/>
            <w:highlight w:val="white"/>
            <w:u w:val="single"/>
          </w:rPr>
          <w:t>https://www.livemint.com/companies/people/hyatt-to-tap-into-indias-golden-age-with-luxury-hospitality-offerings-ceo-11712223024923.html</w:t>
        </w:r>
      </w:hyperlink>
      <w:r w:rsidRPr="002A0906">
        <w:rPr>
          <w:rFonts w:ascii="Times New Roman" w:eastAsia="Times New Roman" w:hAnsi="Times New Roman" w:cs="Times New Roman"/>
          <w:color w:val="000000" w:themeColor="text1"/>
          <w:sz w:val="24"/>
          <w:szCs w:val="24"/>
          <w:highlight w:val="white"/>
        </w:rPr>
        <w:t>&gt;.</w:t>
      </w:r>
    </w:p>
    <w:p w14:paraId="3B6C0D09" w14:textId="77777777" w:rsidR="001428FD" w:rsidRPr="002A0906" w:rsidRDefault="001428FD" w:rsidP="008A5024">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2A0906">
        <w:rPr>
          <w:rFonts w:ascii="Times New Roman" w:eastAsia="Times New Roman" w:hAnsi="Times New Roman" w:cs="Times New Roman"/>
          <w:color w:val="000000" w:themeColor="text1"/>
          <w:sz w:val="24"/>
          <w:szCs w:val="24"/>
          <w:highlight w:val="white"/>
        </w:rPr>
        <w:t>Khuadthong</w:t>
      </w:r>
      <w:proofErr w:type="spellEnd"/>
      <w:r w:rsidRPr="002A0906">
        <w:rPr>
          <w:rFonts w:ascii="Times New Roman" w:eastAsia="Times New Roman" w:hAnsi="Times New Roman" w:cs="Times New Roman"/>
          <w:color w:val="000000" w:themeColor="text1"/>
          <w:sz w:val="24"/>
          <w:szCs w:val="24"/>
          <w:highlight w:val="white"/>
        </w:rPr>
        <w:t xml:space="preserve">, B. and Kasim, A., (2020). CRITICAL SUCCESS FACTORS FOR COMMUNITY-RELATED CORPORATE SOCIAL RESPONSIBILITY IN THE HOTEL SECTOR. </w:t>
      </w:r>
      <w:r w:rsidRPr="002A0906">
        <w:rPr>
          <w:rFonts w:ascii="Times New Roman" w:eastAsia="Times New Roman" w:hAnsi="Times New Roman" w:cs="Times New Roman"/>
          <w:i/>
          <w:color w:val="000000" w:themeColor="text1"/>
          <w:sz w:val="24"/>
          <w:szCs w:val="24"/>
          <w:highlight w:val="white"/>
        </w:rPr>
        <w:t>The Routledge Handbook of Community Based Tourism Management: Concepts, Issues &amp; Implications</w:t>
      </w:r>
      <w:r w:rsidRPr="002A0906">
        <w:rPr>
          <w:rFonts w:ascii="Times New Roman" w:eastAsia="Times New Roman" w:hAnsi="Times New Roman" w:cs="Times New Roman"/>
          <w:color w:val="000000" w:themeColor="text1"/>
          <w:sz w:val="24"/>
          <w:szCs w:val="24"/>
          <w:highlight w:val="white"/>
        </w:rPr>
        <w:t>, p.8.</w:t>
      </w:r>
    </w:p>
    <w:p w14:paraId="3B3CDACD" w14:textId="77777777" w:rsidR="001428FD" w:rsidRPr="002A0906" w:rsidRDefault="001428FD" w:rsidP="008A5024">
      <w:pPr>
        <w:spacing w:before="240" w:after="240" w:line="360" w:lineRule="auto"/>
        <w:jc w:val="both"/>
        <w:rPr>
          <w:rFonts w:ascii="Times New Roman" w:eastAsia="Times New Roman" w:hAnsi="Times New Roman" w:cs="Times New Roman"/>
          <w:color w:val="000000" w:themeColor="text1"/>
          <w:sz w:val="24"/>
          <w:szCs w:val="24"/>
          <w:highlight w:val="white"/>
        </w:rPr>
      </w:pPr>
      <w:r w:rsidRPr="002A0906">
        <w:rPr>
          <w:rFonts w:ascii="Times New Roman" w:eastAsia="Times New Roman" w:hAnsi="Times New Roman" w:cs="Times New Roman"/>
          <w:color w:val="000000" w:themeColor="text1"/>
          <w:sz w:val="24"/>
          <w:szCs w:val="24"/>
          <w:highlight w:val="white"/>
        </w:rPr>
        <w:t xml:space="preserve">Kim, C., Shin, J., Yang, H., Bang, D. and Verma, R., (2024). Strategy Divergence and Performance Polarization in the Hotel Industry. </w:t>
      </w:r>
      <w:r w:rsidRPr="002A0906">
        <w:rPr>
          <w:rFonts w:ascii="Times New Roman" w:eastAsia="Times New Roman" w:hAnsi="Times New Roman" w:cs="Times New Roman"/>
          <w:i/>
          <w:color w:val="000000" w:themeColor="text1"/>
          <w:sz w:val="24"/>
          <w:szCs w:val="24"/>
          <w:highlight w:val="white"/>
        </w:rPr>
        <w:t>Cornell Hospitality Quarterly</w:t>
      </w:r>
      <w:r w:rsidRPr="002A0906">
        <w:rPr>
          <w:rFonts w:ascii="Times New Roman" w:eastAsia="Times New Roman" w:hAnsi="Times New Roman" w:cs="Times New Roman"/>
          <w:color w:val="000000" w:themeColor="text1"/>
          <w:sz w:val="24"/>
          <w:szCs w:val="24"/>
          <w:highlight w:val="white"/>
        </w:rPr>
        <w:t>, p.19389655241244703.</w:t>
      </w:r>
    </w:p>
    <w:p w14:paraId="28A2BDB8" w14:textId="77777777" w:rsidR="001428FD" w:rsidRPr="002A0906" w:rsidRDefault="001428FD" w:rsidP="008A5024">
      <w:pPr>
        <w:spacing w:before="240" w:after="240"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t>‌</w:t>
      </w:r>
      <w:r w:rsidRPr="002A0906">
        <w:rPr>
          <w:rFonts w:ascii="Times New Roman" w:eastAsia="Times New Roman" w:hAnsi="Times New Roman" w:cs="Times New Roman"/>
          <w:color w:val="000000" w:themeColor="text1"/>
          <w:sz w:val="24"/>
          <w:szCs w:val="24"/>
          <w:highlight w:val="white"/>
        </w:rPr>
        <w:t xml:space="preserve">Kim, J.J., (2024). Brand portfolio extension of international hotel chains: a perspective on consumer confusion and consumer decision-making process. </w:t>
      </w:r>
      <w:r w:rsidRPr="002A0906">
        <w:rPr>
          <w:rFonts w:ascii="Times New Roman" w:eastAsia="Times New Roman" w:hAnsi="Times New Roman" w:cs="Times New Roman"/>
          <w:i/>
          <w:color w:val="000000" w:themeColor="text1"/>
          <w:sz w:val="24"/>
          <w:szCs w:val="24"/>
          <w:highlight w:val="white"/>
        </w:rPr>
        <w:t>International Journal of Contemporary Hospitality Management</w:t>
      </w:r>
      <w:r w:rsidRPr="002A0906">
        <w:rPr>
          <w:rFonts w:ascii="Times New Roman" w:eastAsia="Times New Roman" w:hAnsi="Times New Roman" w:cs="Times New Roman"/>
          <w:color w:val="000000" w:themeColor="text1"/>
          <w:sz w:val="24"/>
          <w:szCs w:val="24"/>
          <w:highlight w:val="white"/>
        </w:rPr>
        <w:t>.</w:t>
      </w:r>
    </w:p>
    <w:p w14:paraId="06550E1E" w14:textId="77777777" w:rsidR="001428FD" w:rsidRPr="002A0906" w:rsidRDefault="001428FD" w:rsidP="008A5024">
      <w:pPr>
        <w:spacing w:after="240" w:line="360" w:lineRule="auto"/>
        <w:jc w:val="both"/>
        <w:rPr>
          <w:rFonts w:ascii="Times New Roman" w:eastAsia="Times New Roman" w:hAnsi="Times New Roman" w:cs="Times New Roman"/>
          <w:color w:val="000000" w:themeColor="text1"/>
          <w:sz w:val="24"/>
          <w:szCs w:val="24"/>
        </w:rPr>
      </w:pPr>
      <w:r w:rsidRPr="002A0906">
        <w:rPr>
          <w:rFonts w:ascii="Times New Roman" w:eastAsia="Times New Roman" w:hAnsi="Times New Roman" w:cs="Times New Roman"/>
          <w:color w:val="000000" w:themeColor="text1"/>
          <w:sz w:val="24"/>
          <w:szCs w:val="24"/>
        </w:rPr>
        <w:lastRenderedPageBreak/>
        <w:t xml:space="preserve">O’Neill, S., (2024). </w:t>
      </w:r>
      <w:r w:rsidRPr="002A0906">
        <w:rPr>
          <w:rFonts w:ascii="Times New Roman" w:eastAsia="Times New Roman" w:hAnsi="Times New Roman" w:cs="Times New Roman"/>
          <w:i/>
          <w:color w:val="000000" w:themeColor="text1"/>
          <w:sz w:val="24"/>
          <w:szCs w:val="24"/>
        </w:rPr>
        <w:t>Hyatt Pursues Standard Hotels: What’s Behind the Luxury Lifestyle Play</w:t>
      </w:r>
      <w:r w:rsidRPr="002A0906">
        <w:rPr>
          <w:rFonts w:ascii="Times New Roman" w:eastAsia="Times New Roman" w:hAnsi="Times New Roman" w:cs="Times New Roman"/>
          <w:color w:val="000000" w:themeColor="text1"/>
          <w:sz w:val="24"/>
          <w:szCs w:val="24"/>
        </w:rPr>
        <w:t>. [online] Skift. Available at: &lt;https://skift.com/2024/07/20/hyatt-pursues-standard-hotels-whats-behind-the-luxury-lifestyle-play/&gt; [Accessed 30 October 2024].</w:t>
      </w:r>
    </w:p>
    <w:p w14:paraId="080B5950" w14:textId="77777777" w:rsidR="001428FD" w:rsidRPr="002A0906" w:rsidRDefault="001428FD" w:rsidP="008A5024">
      <w:pPr>
        <w:spacing w:line="360" w:lineRule="auto"/>
        <w:jc w:val="both"/>
        <w:rPr>
          <w:rFonts w:ascii="Times New Roman" w:eastAsia="Times New Roman" w:hAnsi="Times New Roman" w:cs="Times New Roman"/>
          <w:color w:val="000000" w:themeColor="text1"/>
          <w:sz w:val="24"/>
          <w:szCs w:val="24"/>
          <w:highlight w:val="white"/>
        </w:rPr>
      </w:pPr>
      <w:r w:rsidRPr="002A0906">
        <w:rPr>
          <w:rFonts w:ascii="Times New Roman" w:eastAsia="Times New Roman" w:hAnsi="Times New Roman" w:cs="Times New Roman"/>
          <w:color w:val="000000" w:themeColor="text1"/>
          <w:sz w:val="24"/>
          <w:szCs w:val="24"/>
          <w:highlight w:val="white"/>
        </w:rPr>
        <w:t xml:space="preserve">Qi, Y., (2023). Financial analysis of Hyatt Hotels Corporation. </w:t>
      </w:r>
      <w:r w:rsidRPr="002A0906">
        <w:rPr>
          <w:rFonts w:ascii="Times New Roman" w:eastAsia="Times New Roman" w:hAnsi="Times New Roman" w:cs="Times New Roman"/>
          <w:i/>
          <w:color w:val="000000" w:themeColor="text1"/>
          <w:sz w:val="24"/>
          <w:szCs w:val="24"/>
          <w:highlight w:val="white"/>
        </w:rPr>
        <w:t>Highlights in Business Economics and Management</w:t>
      </w:r>
      <w:r w:rsidRPr="002A0906">
        <w:rPr>
          <w:rFonts w:ascii="Times New Roman" w:eastAsia="Times New Roman" w:hAnsi="Times New Roman" w:cs="Times New Roman"/>
          <w:color w:val="000000" w:themeColor="text1"/>
          <w:sz w:val="24"/>
          <w:szCs w:val="24"/>
          <w:highlight w:val="white"/>
        </w:rPr>
        <w:t xml:space="preserve">, [online] 15, pp.111–116. </w:t>
      </w:r>
      <w:hyperlink r:id="rId9">
        <w:r w:rsidRPr="002A0906">
          <w:rPr>
            <w:rFonts w:ascii="Times New Roman" w:eastAsia="Times New Roman" w:hAnsi="Times New Roman" w:cs="Times New Roman"/>
            <w:color w:val="000000" w:themeColor="text1"/>
            <w:sz w:val="24"/>
            <w:szCs w:val="24"/>
            <w:highlight w:val="white"/>
            <w:u w:val="single"/>
          </w:rPr>
          <w:t>https://drpress.org/ojs/index.php/HBEM/article/view/9325/9082</w:t>
        </w:r>
      </w:hyperlink>
      <w:r w:rsidRPr="002A0906">
        <w:rPr>
          <w:rFonts w:ascii="Times New Roman" w:eastAsia="Times New Roman" w:hAnsi="Times New Roman" w:cs="Times New Roman"/>
          <w:color w:val="000000" w:themeColor="text1"/>
          <w:sz w:val="24"/>
          <w:szCs w:val="24"/>
          <w:highlight w:val="white"/>
        </w:rPr>
        <w:t>.</w:t>
      </w:r>
    </w:p>
    <w:p w14:paraId="366DFF52" w14:textId="77777777" w:rsidR="001428FD" w:rsidRPr="00BA62B4" w:rsidRDefault="001428FD" w:rsidP="00BA62B4">
      <w:pPr>
        <w:spacing w:before="240" w:after="240" w:line="360" w:lineRule="auto"/>
        <w:jc w:val="both"/>
        <w:rPr>
          <w:rFonts w:ascii="Times New Roman" w:eastAsia="Times New Roman" w:hAnsi="Times New Roman" w:cs="Times New Roman"/>
          <w:color w:val="000000" w:themeColor="text1"/>
          <w:sz w:val="24"/>
          <w:szCs w:val="24"/>
        </w:rPr>
      </w:pPr>
      <w:r w:rsidRPr="00BA62B4">
        <w:rPr>
          <w:rFonts w:ascii="Times New Roman" w:eastAsia="Times New Roman" w:hAnsi="Times New Roman" w:cs="Times New Roman"/>
          <w:color w:val="000000" w:themeColor="text1"/>
          <w:sz w:val="24"/>
          <w:szCs w:val="24"/>
          <w:highlight w:val="yellow"/>
        </w:rPr>
        <w:t xml:space="preserve">Sibindi, N. and Samuel, O.M., 2019. </w:t>
      </w:r>
      <w:r w:rsidRPr="00BA62B4">
        <w:rPr>
          <w:rFonts w:ascii="Times New Roman" w:eastAsia="Times New Roman" w:hAnsi="Times New Roman" w:cs="Times New Roman"/>
          <w:i/>
          <w:iCs/>
          <w:color w:val="000000" w:themeColor="text1"/>
          <w:sz w:val="24"/>
          <w:szCs w:val="24"/>
          <w:highlight w:val="yellow"/>
        </w:rPr>
        <w:t>Structure and an unstable business operating environment: Revisiting Burns and Stalker’s organisation-environment theory in Zimbabwe’s manufacturing sector</w:t>
      </w:r>
      <w:r w:rsidRPr="00BA62B4">
        <w:rPr>
          <w:rFonts w:ascii="Times New Roman" w:eastAsia="Times New Roman" w:hAnsi="Times New Roman" w:cs="Times New Roman"/>
          <w:color w:val="000000" w:themeColor="text1"/>
          <w:sz w:val="24"/>
          <w:szCs w:val="24"/>
          <w:highlight w:val="yellow"/>
        </w:rPr>
        <w:t>. [online] Sibindi | South African Journal of Economic and Management Sciences. Available at: &lt;https://sajems.org/index.php/sajems/article/view/2113/1968&gt;.</w:t>
      </w:r>
    </w:p>
    <w:p w14:paraId="34E8BB8A" w14:textId="77777777" w:rsidR="001428FD" w:rsidRPr="002A0906" w:rsidRDefault="001428FD" w:rsidP="002971C1">
      <w:pPr>
        <w:spacing w:line="360" w:lineRule="auto"/>
        <w:jc w:val="both"/>
        <w:rPr>
          <w:rFonts w:ascii="Times New Roman" w:eastAsia="Times New Roman" w:hAnsi="Times New Roman" w:cs="Times New Roman"/>
          <w:color w:val="000000" w:themeColor="text1"/>
          <w:sz w:val="24"/>
          <w:szCs w:val="24"/>
          <w:highlight w:val="white"/>
        </w:rPr>
      </w:pPr>
      <w:r w:rsidRPr="002A0906">
        <w:rPr>
          <w:rFonts w:ascii="Times New Roman" w:eastAsia="Times New Roman" w:hAnsi="Times New Roman" w:cs="Times New Roman"/>
          <w:color w:val="000000" w:themeColor="text1"/>
          <w:sz w:val="24"/>
          <w:szCs w:val="24"/>
          <w:highlight w:val="white"/>
        </w:rPr>
        <w:t xml:space="preserve">Tariq, M.I.B., Ahmed, A., Khan, M.A. and </w:t>
      </w:r>
      <w:proofErr w:type="spellStart"/>
      <w:r w:rsidRPr="002A0906">
        <w:rPr>
          <w:rFonts w:ascii="Times New Roman" w:eastAsia="Times New Roman" w:hAnsi="Times New Roman" w:cs="Times New Roman"/>
          <w:color w:val="000000" w:themeColor="text1"/>
          <w:sz w:val="24"/>
          <w:szCs w:val="24"/>
          <w:highlight w:val="white"/>
        </w:rPr>
        <w:t>Nobanee</w:t>
      </w:r>
      <w:proofErr w:type="spellEnd"/>
      <w:r w:rsidRPr="002A0906">
        <w:rPr>
          <w:rFonts w:ascii="Times New Roman" w:eastAsia="Times New Roman" w:hAnsi="Times New Roman" w:cs="Times New Roman"/>
          <w:color w:val="000000" w:themeColor="text1"/>
          <w:sz w:val="24"/>
          <w:szCs w:val="24"/>
          <w:highlight w:val="white"/>
        </w:rPr>
        <w:t xml:space="preserve">, H., (2021). Financial analysis of Hyatt Hotels Corporation. </w:t>
      </w:r>
      <w:r w:rsidRPr="002A0906">
        <w:rPr>
          <w:rFonts w:ascii="Times New Roman" w:eastAsia="Times New Roman" w:hAnsi="Times New Roman" w:cs="Times New Roman"/>
          <w:i/>
          <w:color w:val="000000" w:themeColor="text1"/>
          <w:sz w:val="24"/>
          <w:szCs w:val="24"/>
          <w:highlight w:val="white"/>
        </w:rPr>
        <w:t>ResearchGate</w:t>
      </w:r>
      <w:r w:rsidRPr="002A0906">
        <w:rPr>
          <w:rFonts w:ascii="Times New Roman" w:eastAsia="Times New Roman" w:hAnsi="Times New Roman" w:cs="Times New Roman"/>
          <w:color w:val="000000" w:themeColor="text1"/>
          <w:sz w:val="24"/>
          <w:szCs w:val="24"/>
          <w:highlight w:val="white"/>
        </w:rPr>
        <w:t>. [online] Available at: &lt;</w:t>
      </w:r>
      <w:hyperlink r:id="rId10">
        <w:r w:rsidRPr="002A0906">
          <w:rPr>
            <w:rFonts w:ascii="Times New Roman" w:eastAsia="Times New Roman" w:hAnsi="Times New Roman" w:cs="Times New Roman"/>
            <w:color w:val="000000" w:themeColor="text1"/>
            <w:sz w:val="24"/>
            <w:szCs w:val="24"/>
            <w:highlight w:val="white"/>
            <w:u w:val="single"/>
          </w:rPr>
          <w:t>https://www.researchgate.net/publication/355203647_Financial_analysis_of_Hyatt_Hotels_Corporation</w:t>
        </w:r>
      </w:hyperlink>
      <w:r w:rsidRPr="002A0906">
        <w:rPr>
          <w:rFonts w:ascii="Times New Roman" w:eastAsia="Times New Roman" w:hAnsi="Times New Roman" w:cs="Times New Roman"/>
          <w:color w:val="000000" w:themeColor="text1"/>
          <w:sz w:val="24"/>
          <w:szCs w:val="24"/>
          <w:highlight w:val="white"/>
        </w:rPr>
        <w:t>&gt;.</w:t>
      </w:r>
    </w:p>
    <w:p w14:paraId="0000002A" w14:textId="77777777" w:rsidR="00E56CC9" w:rsidRPr="002A0906" w:rsidRDefault="00E56CC9" w:rsidP="008A5024">
      <w:pPr>
        <w:spacing w:before="240" w:after="240" w:line="360" w:lineRule="auto"/>
        <w:jc w:val="both"/>
        <w:rPr>
          <w:rFonts w:ascii="Times New Roman" w:eastAsia="Times New Roman" w:hAnsi="Times New Roman" w:cs="Times New Roman"/>
          <w:color w:val="000000" w:themeColor="text1"/>
          <w:sz w:val="24"/>
          <w:szCs w:val="24"/>
        </w:rPr>
      </w:pPr>
    </w:p>
    <w:p w14:paraId="0000002B" w14:textId="77777777" w:rsidR="00E56CC9" w:rsidRPr="002A0906" w:rsidRDefault="00E56CC9" w:rsidP="008A5024">
      <w:pPr>
        <w:spacing w:before="240" w:after="240" w:line="360" w:lineRule="auto"/>
        <w:jc w:val="both"/>
        <w:rPr>
          <w:rFonts w:ascii="Times New Roman" w:eastAsia="Times New Roman" w:hAnsi="Times New Roman" w:cs="Times New Roman"/>
          <w:color w:val="000000" w:themeColor="text1"/>
          <w:sz w:val="24"/>
          <w:szCs w:val="24"/>
        </w:rPr>
      </w:pPr>
    </w:p>
    <w:p w14:paraId="0000002C" w14:textId="77777777" w:rsidR="00E56CC9" w:rsidRPr="002A0906" w:rsidRDefault="00E56CC9" w:rsidP="008A5024">
      <w:pPr>
        <w:spacing w:before="240" w:after="240" w:line="360" w:lineRule="auto"/>
        <w:jc w:val="both"/>
        <w:rPr>
          <w:rFonts w:ascii="Times New Roman" w:eastAsia="Times New Roman" w:hAnsi="Times New Roman" w:cs="Times New Roman"/>
          <w:color w:val="000000" w:themeColor="text1"/>
          <w:sz w:val="24"/>
          <w:szCs w:val="24"/>
        </w:rPr>
      </w:pPr>
    </w:p>
    <w:p w14:paraId="0000002D" w14:textId="77777777" w:rsidR="00E56CC9" w:rsidRPr="0058054F" w:rsidRDefault="00E56CC9" w:rsidP="008A5024">
      <w:pPr>
        <w:spacing w:line="360" w:lineRule="auto"/>
        <w:jc w:val="both"/>
        <w:rPr>
          <w:rFonts w:ascii="Times New Roman" w:eastAsia="Times New Roman" w:hAnsi="Times New Roman" w:cs="Times New Roman"/>
          <w:color w:val="000000" w:themeColor="text1"/>
          <w:sz w:val="24"/>
          <w:szCs w:val="24"/>
        </w:rPr>
      </w:pPr>
    </w:p>
    <w:sectPr w:rsidR="00E56CC9" w:rsidRPr="0058054F" w:rsidSect="008A5024">
      <w:footerReference w:type="default" r:id="rId1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78144" w14:textId="77777777" w:rsidR="005E2D57" w:rsidRPr="002A0906" w:rsidRDefault="005E2D57">
      <w:pPr>
        <w:spacing w:line="240" w:lineRule="auto"/>
      </w:pPr>
      <w:r w:rsidRPr="002A0906">
        <w:separator/>
      </w:r>
    </w:p>
  </w:endnote>
  <w:endnote w:type="continuationSeparator" w:id="0">
    <w:p w14:paraId="6D26CE44" w14:textId="77777777" w:rsidR="005E2D57" w:rsidRPr="002A0906" w:rsidRDefault="005E2D57">
      <w:pPr>
        <w:spacing w:line="240" w:lineRule="auto"/>
      </w:pPr>
      <w:r w:rsidRPr="002A090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1284776059"/>
      <w:docPartObj>
        <w:docPartGallery w:val="Page Numbers (Bottom of Page)"/>
        <w:docPartUnique/>
      </w:docPartObj>
    </w:sdtPr>
    <w:sdtContent>
      <w:sdt>
        <w:sdtPr>
          <w:rPr>
            <w:rFonts w:ascii="Times New Roman" w:hAnsi="Times New Roman" w:cs="Times New Roman"/>
            <w:sz w:val="24"/>
            <w:szCs w:val="24"/>
          </w:rPr>
          <w:id w:val="-1769616900"/>
          <w:docPartObj>
            <w:docPartGallery w:val="Page Numbers (Top of Page)"/>
            <w:docPartUnique/>
          </w:docPartObj>
        </w:sdtPr>
        <w:sdtContent>
          <w:p w14:paraId="4AFBA3CE" w14:textId="3CBE0073" w:rsidR="008A5024" w:rsidRPr="002A0906" w:rsidRDefault="00000000">
            <w:pPr>
              <w:pStyle w:val="Footer"/>
              <w:jc w:val="right"/>
              <w:rPr>
                <w:rFonts w:ascii="Times New Roman" w:hAnsi="Times New Roman" w:cs="Times New Roman"/>
                <w:sz w:val="24"/>
                <w:szCs w:val="24"/>
              </w:rPr>
            </w:pPr>
            <w:r w:rsidRPr="002A0906">
              <w:rPr>
                <w:rFonts w:ascii="Times New Roman" w:hAnsi="Times New Roman" w:cs="Times New Roman"/>
                <w:sz w:val="24"/>
                <w:szCs w:val="24"/>
              </w:rPr>
              <w:t xml:space="preserve">Page </w:t>
            </w:r>
            <w:r w:rsidRPr="002A0906">
              <w:rPr>
                <w:rFonts w:ascii="Times New Roman" w:hAnsi="Times New Roman" w:cs="Times New Roman"/>
                <w:b/>
                <w:bCs/>
                <w:sz w:val="24"/>
                <w:szCs w:val="24"/>
              </w:rPr>
              <w:fldChar w:fldCharType="begin"/>
            </w:r>
            <w:r w:rsidRPr="002A0906">
              <w:rPr>
                <w:rFonts w:ascii="Times New Roman" w:hAnsi="Times New Roman" w:cs="Times New Roman"/>
                <w:b/>
                <w:bCs/>
                <w:sz w:val="24"/>
                <w:szCs w:val="24"/>
              </w:rPr>
              <w:instrText xml:space="preserve"> PAGE </w:instrText>
            </w:r>
            <w:r w:rsidRPr="002A0906">
              <w:rPr>
                <w:rFonts w:ascii="Times New Roman" w:hAnsi="Times New Roman" w:cs="Times New Roman"/>
                <w:b/>
                <w:bCs/>
                <w:sz w:val="24"/>
                <w:szCs w:val="24"/>
              </w:rPr>
              <w:fldChar w:fldCharType="separate"/>
            </w:r>
            <w:r w:rsidRPr="002A0906">
              <w:rPr>
                <w:rFonts w:ascii="Times New Roman" w:hAnsi="Times New Roman" w:cs="Times New Roman"/>
                <w:b/>
                <w:bCs/>
                <w:sz w:val="24"/>
                <w:szCs w:val="24"/>
              </w:rPr>
              <w:t>2</w:t>
            </w:r>
            <w:r w:rsidRPr="002A0906">
              <w:rPr>
                <w:rFonts w:ascii="Times New Roman" w:hAnsi="Times New Roman" w:cs="Times New Roman"/>
                <w:b/>
                <w:bCs/>
                <w:sz w:val="24"/>
                <w:szCs w:val="24"/>
              </w:rPr>
              <w:fldChar w:fldCharType="end"/>
            </w:r>
            <w:r w:rsidRPr="002A0906">
              <w:rPr>
                <w:rFonts w:ascii="Times New Roman" w:hAnsi="Times New Roman" w:cs="Times New Roman"/>
                <w:sz w:val="24"/>
                <w:szCs w:val="24"/>
              </w:rPr>
              <w:t xml:space="preserve"> of </w:t>
            </w:r>
            <w:r w:rsidRPr="002A0906">
              <w:rPr>
                <w:rFonts w:ascii="Times New Roman" w:hAnsi="Times New Roman" w:cs="Times New Roman"/>
                <w:b/>
                <w:bCs/>
                <w:sz w:val="24"/>
                <w:szCs w:val="24"/>
              </w:rPr>
              <w:fldChar w:fldCharType="begin"/>
            </w:r>
            <w:r w:rsidRPr="002A0906">
              <w:rPr>
                <w:rFonts w:ascii="Times New Roman" w:hAnsi="Times New Roman" w:cs="Times New Roman"/>
                <w:b/>
                <w:bCs/>
                <w:sz w:val="24"/>
                <w:szCs w:val="24"/>
              </w:rPr>
              <w:instrText xml:space="preserve"> NUMPAGES  </w:instrText>
            </w:r>
            <w:r w:rsidRPr="002A0906">
              <w:rPr>
                <w:rFonts w:ascii="Times New Roman" w:hAnsi="Times New Roman" w:cs="Times New Roman"/>
                <w:b/>
                <w:bCs/>
                <w:sz w:val="24"/>
                <w:szCs w:val="24"/>
              </w:rPr>
              <w:fldChar w:fldCharType="separate"/>
            </w:r>
            <w:r w:rsidRPr="002A0906">
              <w:rPr>
                <w:rFonts w:ascii="Times New Roman" w:hAnsi="Times New Roman" w:cs="Times New Roman"/>
                <w:b/>
                <w:bCs/>
                <w:sz w:val="24"/>
                <w:szCs w:val="24"/>
              </w:rPr>
              <w:t>2</w:t>
            </w:r>
            <w:r w:rsidRPr="002A0906">
              <w:rPr>
                <w:rFonts w:ascii="Times New Roman" w:hAnsi="Times New Roman" w:cs="Times New Roman"/>
                <w:b/>
                <w:bCs/>
                <w:sz w:val="24"/>
                <w:szCs w:val="24"/>
              </w:rPr>
              <w:fldChar w:fldCharType="end"/>
            </w:r>
          </w:p>
        </w:sdtContent>
      </w:sdt>
    </w:sdtContent>
  </w:sdt>
  <w:p w14:paraId="426AAC72" w14:textId="77777777" w:rsidR="008A5024" w:rsidRPr="002A0906" w:rsidRDefault="008A5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0D2B87" w14:textId="77777777" w:rsidR="005E2D57" w:rsidRPr="002A0906" w:rsidRDefault="005E2D57">
      <w:pPr>
        <w:spacing w:line="240" w:lineRule="auto"/>
      </w:pPr>
      <w:r w:rsidRPr="002A0906">
        <w:separator/>
      </w:r>
    </w:p>
  </w:footnote>
  <w:footnote w:type="continuationSeparator" w:id="0">
    <w:p w14:paraId="78B713FF" w14:textId="77777777" w:rsidR="005E2D57" w:rsidRPr="002A0906" w:rsidRDefault="005E2D57">
      <w:pPr>
        <w:spacing w:line="240" w:lineRule="auto"/>
      </w:pPr>
      <w:r w:rsidRPr="002A0906">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C9"/>
    <w:rsid w:val="00034D0D"/>
    <w:rsid w:val="000C0293"/>
    <w:rsid w:val="000C0BEA"/>
    <w:rsid w:val="000D7E15"/>
    <w:rsid w:val="00103A4A"/>
    <w:rsid w:val="001126A6"/>
    <w:rsid w:val="00141316"/>
    <w:rsid w:val="001428FD"/>
    <w:rsid w:val="00143B02"/>
    <w:rsid w:val="00145660"/>
    <w:rsid w:val="001529F4"/>
    <w:rsid w:val="00167FA0"/>
    <w:rsid w:val="00174B1A"/>
    <w:rsid w:val="00230BF8"/>
    <w:rsid w:val="00250B95"/>
    <w:rsid w:val="00273FBC"/>
    <w:rsid w:val="00293CEA"/>
    <w:rsid w:val="002971C1"/>
    <w:rsid w:val="002A0906"/>
    <w:rsid w:val="002B3A35"/>
    <w:rsid w:val="002B6F3A"/>
    <w:rsid w:val="002D24F0"/>
    <w:rsid w:val="003045F1"/>
    <w:rsid w:val="0032144C"/>
    <w:rsid w:val="00326C50"/>
    <w:rsid w:val="00332023"/>
    <w:rsid w:val="003C3576"/>
    <w:rsid w:val="003D0E45"/>
    <w:rsid w:val="003F0A38"/>
    <w:rsid w:val="00426E1C"/>
    <w:rsid w:val="004365E8"/>
    <w:rsid w:val="00465A94"/>
    <w:rsid w:val="004D6183"/>
    <w:rsid w:val="004D656F"/>
    <w:rsid w:val="00535DF9"/>
    <w:rsid w:val="005403B8"/>
    <w:rsid w:val="0058054F"/>
    <w:rsid w:val="005E2D57"/>
    <w:rsid w:val="0061140D"/>
    <w:rsid w:val="0062355D"/>
    <w:rsid w:val="00694A20"/>
    <w:rsid w:val="006B6BF5"/>
    <w:rsid w:val="00705D04"/>
    <w:rsid w:val="0079270D"/>
    <w:rsid w:val="00803767"/>
    <w:rsid w:val="008A5024"/>
    <w:rsid w:val="008B2DE0"/>
    <w:rsid w:val="009638EC"/>
    <w:rsid w:val="009D0510"/>
    <w:rsid w:val="00A126C2"/>
    <w:rsid w:val="00A22771"/>
    <w:rsid w:val="00A83F9D"/>
    <w:rsid w:val="00A85303"/>
    <w:rsid w:val="00A86CA0"/>
    <w:rsid w:val="00A97EA5"/>
    <w:rsid w:val="00AA6AE0"/>
    <w:rsid w:val="00B2509E"/>
    <w:rsid w:val="00B3320C"/>
    <w:rsid w:val="00B67597"/>
    <w:rsid w:val="00B76F79"/>
    <w:rsid w:val="00BA62B4"/>
    <w:rsid w:val="00BC3124"/>
    <w:rsid w:val="00BD3D0D"/>
    <w:rsid w:val="00C04603"/>
    <w:rsid w:val="00C44733"/>
    <w:rsid w:val="00C46140"/>
    <w:rsid w:val="00C507C0"/>
    <w:rsid w:val="00CF4E63"/>
    <w:rsid w:val="00DD5AD0"/>
    <w:rsid w:val="00DE1B23"/>
    <w:rsid w:val="00DE204C"/>
    <w:rsid w:val="00E56CC9"/>
    <w:rsid w:val="00F11FF5"/>
    <w:rsid w:val="00F36751"/>
    <w:rsid w:val="00F6743D"/>
    <w:rsid w:val="00FB7C41"/>
    <w:rsid w:val="00FC73A0"/>
    <w:rsid w:val="00FD0F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9FB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A5024"/>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A5024"/>
    <w:pPr>
      <w:tabs>
        <w:tab w:val="center" w:pos="4513"/>
        <w:tab w:val="right" w:pos="9026"/>
      </w:tabs>
      <w:spacing w:line="240" w:lineRule="auto"/>
    </w:pPr>
  </w:style>
  <w:style w:type="character" w:customStyle="1" w:styleId="HeaderChar">
    <w:name w:val="Header Char"/>
    <w:basedOn w:val="DefaultParagraphFont"/>
    <w:link w:val="Header"/>
    <w:uiPriority w:val="99"/>
    <w:rsid w:val="008A5024"/>
  </w:style>
  <w:style w:type="paragraph" w:styleId="Footer">
    <w:name w:val="footer"/>
    <w:basedOn w:val="Normal"/>
    <w:link w:val="FooterChar"/>
    <w:uiPriority w:val="99"/>
    <w:unhideWhenUsed/>
    <w:rsid w:val="008A5024"/>
    <w:pPr>
      <w:tabs>
        <w:tab w:val="center" w:pos="4513"/>
        <w:tab w:val="right" w:pos="9026"/>
      </w:tabs>
      <w:spacing w:line="240" w:lineRule="auto"/>
    </w:pPr>
  </w:style>
  <w:style w:type="character" w:customStyle="1" w:styleId="FooterChar">
    <w:name w:val="Footer Char"/>
    <w:basedOn w:val="DefaultParagraphFont"/>
    <w:link w:val="Footer"/>
    <w:uiPriority w:val="99"/>
    <w:rsid w:val="008A5024"/>
  </w:style>
  <w:style w:type="paragraph" w:styleId="TOCHeading">
    <w:name w:val="TOC Heading"/>
    <w:basedOn w:val="Heading1"/>
    <w:next w:val="Normal"/>
    <w:uiPriority w:val="39"/>
    <w:unhideWhenUsed/>
    <w:qFormat/>
    <w:rsid w:val="008A5024"/>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A5024"/>
    <w:pPr>
      <w:spacing w:after="100"/>
    </w:pPr>
  </w:style>
  <w:style w:type="character" w:styleId="Hyperlink">
    <w:name w:val="Hyperlink"/>
    <w:basedOn w:val="DefaultParagraphFont"/>
    <w:uiPriority w:val="99"/>
    <w:unhideWhenUsed/>
    <w:rsid w:val="008A5024"/>
    <w:rPr>
      <w:color w:val="0000FF" w:themeColor="hyperlink"/>
      <w:u w:val="single"/>
    </w:rPr>
  </w:style>
  <w:style w:type="character" w:styleId="CommentReference">
    <w:name w:val="annotation reference"/>
    <w:basedOn w:val="DefaultParagraphFont"/>
    <w:uiPriority w:val="99"/>
    <w:semiHidden/>
    <w:unhideWhenUsed/>
    <w:rsid w:val="00250B95"/>
    <w:rPr>
      <w:sz w:val="16"/>
      <w:szCs w:val="16"/>
    </w:rPr>
  </w:style>
  <w:style w:type="paragraph" w:styleId="CommentText">
    <w:name w:val="annotation text"/>
    <w:basedOn w:val="Normal"/>
    <w:link w:val="CommentTextChar"/>
    <w:uiPriority w:val="99"/>
    <w:unhideWhenUsed/>
    <w:rsid w:val="00250B95"/>
    <w:pPr>
      <w:spacing w:line="240" w:lineRule="auto"/>
    </w:pPr>
    <w:rPr>
      <w:sz w:val="20"/>
      <w:szCs w:val="20"/>
    </w:rPr>
  </w:style>
  <w:style w:type="character" w:customStyle="1" w:styleId="CommentTextChar">
    <w:name w:val="Comment Text Char"/>
    <w:basedOn w:val="DefaultParagraphFont"/>
    <w:link w:val="CommentText"/>
    <w:uiPriority w:val="99"/>
    <w:rsid w:val="00250B95"/>
    <w:rPr>
      <w:sz w:val="20"/>
      <w:szCs w:val="20"/>
    </w:rPr>
  </w:style>
  <w:style w:type="paragraph" w:styleId="CommentSubject">
    <w:name w:val="annotation subject"/>
    <w:basedOn w:val="CommentText"/>
    <w:next w:val="CommentText"/>
    <w:link w:val="CommentSubjectChar"/>
    <w:uiPriority w:val="99"/>
    <w:semiHidden/>
    <w:unhideWhenUsed/>
    <w:rsid w:val="00250B95"/>
    <w:rPr>
      <w:b/>
      <w:bCs/>
    </w:rPr>
  </w:style>
  <w:style w:type="character" w:customStyle="1" w:styleId="CommentSubjectChar">
    <w:name w:val="Comment Subject Char"/>
    <w:basedOn w:val="CommentTextChar"/>
    <w:link w:val="CommentSubject"/>
    <w:uiPriority w:val="99"/>
    <w:semiHidden/>
    <w:rsid w:val="00250B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46578">
      <w:bodyDiv w:val="1"/>
      <w:marLeft w:val="0"/>
      <w:marRight w:val="0"/>
      <w:marTop w:val="0"/>
      <w:marBottom w:val="0"/>
      <w:divBdr>
        <w:top w:val="none" w:sz="0" w:space="0" w:color="auto"/>
        <w:left w:val="none" w:sz="0" w:space="0" w:color="auto"/>
        <w:bottom w:val="none" w:sz="0" w:space="0" w:color="auto"/>
        <w:right w:val="none" w:sz="0" w:space="0" w:color="auto"/>
      </w:divBdr>
      <w:divsChild>
        <w:div w:id="1188064007">
          <w:marLeft w:val="-720"/>
          <w:marRight w:val="0"/>
          <w:marTop w:val="0"/>
          <w:marBottom w:val="0"/>
          <w:divBdr>
            <w:top w:val="none" w:sz="0" w:space="0" w:color="auto"/>
            <w:left w:val="none" w:sz="0" w:space="0" w:color="auto"/>
            <w:bottom w:val="none" w:sz="0" w:space="0" w:color="auto"/>
            <w:right w:val="none" w:sz="0" w:space="0" w:color="auto"/>
          </w:divBdr>
        </w:div>
      </w:divsChild>
    </w:div>
    <w:div w:id="1240092037">
      <w:bodyDiv w:val="1"/>
      <w:marLeft w:val="0"/>
      <w:marRight w:val="0"/>
      <w:marTop w:val="0"/>
      <w:marBottom w:val="0"/>
      <w:divBdr>
        <w:top w:val="none" w:sz="0" w:space="0" w:color="auto"/>
        <w:left w:val="none" w:sz="0" w:space="0" w:color="auto"/>
        <w:bottom w:val="none" w:sz="0" w:space="0" w:color="auto"/>
        <w:right w:val="none" w:sz="0" w:space="0" w:color="auto"/>
      </w:divBdr>
      <w:divsChild>
        <w:div w:id="1950891788">
          <w:marLeft w:val="-720"/>
          <w:marRight w:val="0"/>
          <w:marTop w:val="0"/>
          <w:marBottom w:val="0"/>
          <w:divBdr>
            <w:top w:val="none" w:sz="0" w:space="0" w:color="auto"/>
            <w:left w:val="none" w:sz="0" w:space="0" w:color="auto"/>
            <w:bottom w:val="none" w:sz="0" w:space="0" w:color="auto"/>
            <w:right w:val="none" w:sz="0" w:space="0" w:color="auto"/>
          </w:divBdr>
        </w:div>
      </w:divsChild>
    </w:div>
    <w:div w:id="1246037826">
      <w:bodyDiv w:val="1"/>
      <w:marLeft w:val="0"/>
      <w:marRight w:val="0"/>
      <w:marTop w:val="0"/>
      <w:marBottom w:val="0"/>
      <w:divBdr>
        <w:top w:val="none" w:sz="0" w:space="0" w:color="auto"/>
        <w:left w:val="none" w:sz="0" w:space="0" w:color="auto"/>
        <w:bottom w:val="none" w:sz="0" w:space="0" w:color="auto"/>
        <w:right w:val="none" w:sz="0" w:space="0" w:color="auto"/>
      </w:divBdr>
    </w:div>
    <w:div w:id="1822193527">
      <w:bodyDiv w:val="1"/>
      <w:marLeft w:val="0"/>
      <w:marRight w:val="0"/>
      <w:marTop w:val="0"/>
      <w:marBottom w:val="0"/>
      <w:divBdr>
        <w:top w:val="none" w:sz="0" w:space="0" w:color="auto"/>
        <w:left w:val="none" w:sz="0" w:space="0" w:color="auto"/>
        <w:bottom w:val="none" w:sz="0" w:space="0" w:color="auto"/>
        <w:right w:val="none" w:sz="0" w:space="0" w:color="auto"/>
      </w:divBdr>
    </w:div>
    <w:div w:id="18796616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mint.com/companies/people/hyatt-to-tap-into-indias-golden-age-with-luxury-hospitality-offerings-ceo-11712223024923.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erdwallet.com/article/travel/world-hyatt-complete-guid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researchgate.net/publication/355203647_Financial_analysis_of_Hyatt_Hotels_Corporation" TargetMode="External"/><Relationship Id="rId4" Type="http://schemas.openxmlformats.org/officeDocument/2006/relationships/webSettings" Target="webSettings.xml"/><Relationship Id="rId9" Type="http://schemas.openxmlformats.org/officeDocument/2006/relationships/hyperlink" Target="https://drpress.org/ojs/index.php/HBEM/article/view/9325/90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3F184-59F7-4670-9E98-554DABDF7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3453</Words>
  <Characters>19688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2024-11-08T19:59:00Z</dcterms:created>
  <dcterms:modified xsi:type="dcterms:W3CDTF">2024-11-08T19:59:00Z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2c4f48163a9ad254580672cf0760db7988e6a4d25dd157a5ba87d31392891511</vt:lpwstr>
  </property>
</Properties>
</file>