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039C" w:rsidRPr="008C33BD" w:rsidRDefault="0016039C" w:rsidP="0016039C">
      <w:pPr>
        <w:jc w:val="both"/>
        <w:rPr>
          <w:rFonts w:ascii="Arial" w:hAnsi="Arial" w:cs="Arial"/>
          <w:sz w:val="24"/>
          <w:szCs w:val="24"/>
        </w:rPr>
      </w:pPr>
      <w:bookmarkStart w:id="0" w:name="_GoBack"/>
      <w:r w:rsidRPr="008C33BD">
        <w:rPr>
          <w:rFonts w:ascii="Arial" w:hAnsi="Arial" w:cs="Arial"/>
          <w:sz w:val="24"/>
          <w:szCs w:val="24"/>
        </w:rPr>
        <w:t>This essay will be split into two sections: the first section will review the literature surrounding teacher subject knowledge and effective learning and teaching in the primary school analysing the impact teacher subject knowledge has on effective learning and teaching, the literature review will discuss concepts theorised by Rowlands (The Knowledge Quartet, 2003)</w:t>
      </w:r>
      <w:r w:rsidR="00836139" w:rsidRPr="008C33BD">
        <w:rPr>
          <w:rFonts w:ascii="Arial" w:hAnsi="Arial" w:cs="Arial"/>
          <w:sz w:val="24"/>
          <w:szCs w:val="24"/>
        </w:rPr>
        <w:t xml:space="preserve"> and </w:t>
      </w:r>
      <w:r w:rsidRPr="008C33BD">
        <w:rPr>
          <w:rFonts w:ascii="Arial" w:hAnsi="Arial" w:cs="Arial"/>
          <w:sz w:val="24"/>
          <w:szCs w:val="24"/>
        </w:rPr>
        <w:t>Shulman (198</w:t>
      </w:r>
      <w:r w:rsidR="00124E3D" w:rsidRPr="008C33BD">
        <w:rPr>
          <w:rFonts w:ascii="Arial" w:hAnsi="Arial" w:cs="Arial"/>
          <w:sz w:val="24"/>
          <w:szCs w:val="24"/>
        </w:rPr>
        <w:t>7</w:t>
      </w:r>
      <w:r w:rsidRPr="008C33BD">
        <w:rPr>
          <w:rFonts w:ascii="Arial" w:hAnsi="Arial" w:cs="Arial"/>
          <w:sz w:val="24"/>
          <w:szCs w:val="24"/>
        </w:rPr>
        <w:t>)</w:t>
      </w:r>
      <w:r w:rsidR="00836139" w:rsidRPr="008C33BD">
        <w:rPr>
          <w:rFonts w:ascii="Arial" w:hAnsi="Arial" w:cs="Arial"/>
          <w:sz w:val="24"/>
          <w:szCs w:val="24"/>
        </w:rPr>
        <w:t xml:space="preserve">. </w:t>
      </w:r>
      <w:r w:rsidRPr="008C33BD">
        <w:rPr>
          <w:rFonts w:ascii="Arial" w:hAnsi="Arial" w:cs="Arial"/>
          <w:sz w:val="24"/>
          <w:szCs w:val="24"/>
        </w:rPr>
        <w:t xml:space="preserve">The second section will be an analysis and evaluation of own subject knowledge within a primary school, considering practice specifically from Professional Teaching Experience (PTE). To ensure anonymity the setting will be referred to as School A and children will be referred to as Child A, B, C etc. </w:t>
      </w:r>
    </w:p>
    <w:p w:rsidR="0016039C" w:rsidRPr="008C33BD" w:rsidRDefault="0016039C" w:rsidP="0016039C">
      <w:pPr>
        <w:jc w:val="both"/>
        <w:rPr>
          <w:rFonts w:ascii="Arial" w:hAnsi="Arial" w:cs="Arial"/>
          <w:sz w:val="24"/>
          <w:szCs w:val="24"/>
        </w:rPr>
      </w:pPr>
      <w:r w:rsidRPr="008C33BD">
        <w:rPr>
          <w:rFonts w:ascii="Arial" w:hAnsi="Arial" w:cs="Arial"/>
          <w:sz w:val="24"/>
          <w:szCs w:val="24"/>
        </w:rPr>
        <w:t>School A is a mainstream primary setting within South Wales, it caters for almost 500 children aged between 3 and 11 years old; It is mostly two form entry with some years having mixed age classes. 90% of children are from an ethnic minority background, with students from 32 different ethnic groups speaking 26 different languages and roughly 85% of children receiving support in English as an additional language (EAL).  School A identifies roughly 16% of students as having Additional Learning Needs (ALN) and around 25% of students are eligible for Free School Meals (FSMs) (Estyn, 2016).</w:t>
      </w:r>
    </w:p>
    <w:p w:rsidR="0016039C" w:rsidRPr="008C33BD" w:rsidRDefault="0016039C" w:rsidP="0016039C">
      <w:pPr>
        <w:jc w:val="both"/>
        <w:rPr>
          <w:rFonts w:ascii="Arial" w:hAnsi="Arial" w:cs="Arial"/>
          <w:sz w:val="24"/>
          <w:szCs w:val="24"/>
        </w:rPr>
      </w:pPr>
    </w:p>
    <w:p w:rsidR="0016039C" w:rsidRPr="008C33BD" w:rsidRDefault="0016039C" w:rsidP="0016039C">
      <w:pPr>
        <w:jc w:val="both"/>
        <w:rPr>
          <w:rFonts w:ascii="Arial" w:hAnsi="Arial" w:cs="Arial"/>
          <w:sz w:val="24"/>
          <w:szCs w:val="24"/>
          <w:u w:val="single"/>
        </w:rPr>
      </w:pPr>
      <w:r w:rsidRPr="008C33BD">
        <w:rPr>
          <w:rFonts w:ascii="Arial" w:hAnsi="Arial" w:cs="Arial"/>
          <w:sz w:val="24"/>
          <w:szCs w:val="24"/>
          <w:u w:val="single"/>
        </w:rPr>
        <w:t>Section One – A consideration of the literature regarding teacher subject knowledge and effective teaching and learning in the primary classroom.</w:t>
      </w:r>
    </w:p>
    <w:p w:rsidR="0016039C" w:rsidRPr="008C33BD" w:rsidRDefault="0016039C" w:rsidP="0016039C">
      <w:pPr>
        <w:jc w:val="both"/>
        <w:rPr>
          <w:rFonts w:ascii="Arial" w:hAnsi="Arial" w:cs="Arial"/>
          <w:sz w:val="24"/>
          <w:szCs w:val="24"/>
        </w:rPr>
      </w:pPr>
      <w:r w:rsidRPr="008C33BD">
        <w:rPr>
          <w:rFonts w:ascii="Arial" w:hAnsi="Arial" w:cs="Arial"/>
          <w:sz w:val="24"/>
          <w:szCs w:val="24"/>
        </w:rPr>
        <w:lastRenderedPageBreak/>
        <w:t xml:space="preserve">As educational research has evolved, links have been found between the quality of learning opportunities and experiences provided by the teacher and effective learning in the classroom with a specific focus on teacher subject knowledge. This review of literature will explore what effective teaching is and what teacher subject knowledge is, identifying the role it plays in effective teaching and learning (Hattie, </w:t>
      </w:r>
      <w:r w:rsidR="00F56EFC" w:rsidRPr="008C33BD">
        <w:rPr>
          <w:rFonts w:ascii="Arial" w:hAnsi="Arial" w:cs="Arial"/>
          <w:sz w:val="24"/>
          <w:szCs w:val="24"/>
        </w:rPr>
        <w:t>2012</w:t>
      </w:r>
      <w:r w:rsidRPr="008C33BD">
        <w:rPr>
          <w:rFonts w:ascii="Arial" w:hAnsi="Arial" w:cs="Arial"/>
          <w:sz w:val="24"/>
          <w:szCs w:val="24"/>
        </w:rPr>
        <w:t xml:space="preserve">; </w:t>
      </w:r>
      <w:proofErr w:type="spellStart"/>
      <w:r w:rsidRPr="008C33BD">
        <w:rPr>
          <w:rFonts w:ascii="Arial" w:hAnsi="Arial" w:cs="Arial"/>
          <w:sz w:val="24"/>
          <w:szCs w:val="24"/>
        </w:rPr>
        <w:t>Kleickman</w:t>
      </w:r>
      <w:proofErr w:type="spellEnd"/>
      <w:r w:rsidRPr="008C33BD">
        <w:rPr>
          <w:rFonts w:ascii="Arial" w:hAnsi="Arial" w:cs="Arial"/>
          <w:sz w:val="24"/>
          <w:szCs w:val="24"/>
        </w:rPr>
        <w:t xml:space="preserve"> et al 2013).</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The definition of effective teaching varies in the literature. Different interchangeable terms are used to describe effective teaching like ‘quality teaching’ (stones 1992), ‘expert teaching’ (Turner-Bisset, 2001), ‘high quality teachers’ (McLaughlin and </w:t>
      </w:r>
      <w:proofErr w:type="spellStart"/>
      <w:r w:rsidR="004F5EA3" w:rsidRPr="008C33BD">
        <w:rPr>
          <w:rFonts w:ascii="Arial" w:hAnsi="Arial" w:cs="Arial"/>
          <w:sz w:val="24"/>
          <w:szCs w:val="24"/>
        </w:rPr>
        <w:t>B</w:t>
      </w:r>
      <w:r w:rsidRPr="008C33BD">
        <w:rPr>
          <w:rFonts w:ascii="Arial" w:hAnsi="Arial" w:cs="Arial"/>
          <w:sz w:val="24"/>
          <w:szCs w:val="24"/>
        </w:rPr>
        <w:t>urnaford</w:t>
      </w:r>
      <w:proofErr w:type="spellEnd"/>
      <w:r w:rsidRPr="008C33BD">
        <w:rPr>
          <w:rFonts w:ascii="Arial" w:hAnsi="Arial" w:cs="Arial"/>
          <w:sz w:val="24"/>
          <w:szCs w:val="24"/>
        </w:rPr>
        <w:t xml:space="preserve"> 2007). Griggs (2010), described effective teaching as outstanding teaching and believed it was defined as best practice, with Estyn describing effective teaching as ‘a journey rather than a fixed point’ (2007, p4). In the ‘What Makes Great Teaching’ report carried out by Coe et al 2014 effective teaching is defined “as that which leads to improved student achievement using outcomes that matter to their future success” (Coe et al 2014, p2). The report suggests that teacher quality is measured against a child’s progress, this is supported by previous research carried out by Broody and Good (1986) and Shulman (1987), which found that effective teaching was measured by identifying teaching behaviours that correlate good test results.  Coe et al go on to recommend that for effective teaching to take place in the primary classroom six components: pedagogical content knowledge, quality of instruction, classroom climate, classroom management, teacher beliefs and professional behaviours, are considered and used as a benchmark for assessing and measuring teacher quality. </w:t>
      </w:r>
      <w:r w:rsidRPr="008C33BD">
        <w:rPr>
          <w:rFonts w:ascii="Arial" w:hAnsi="Arial" w:cs="Arial"/>
          <w:sz w:val="24"/>
          <w:szCs w:val="24"/>
        </w:rPr>
        <w:lastRenderedPageBreak/>
        <w:t xml:space="preserve">The six benchmarks recommended in the published report share elements found in the work of Rowlands and Shulman, which will be discussed below. </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Firstly, pedagogical content knowledge, a term first coined in the 1980s by Shulman. Shulman's work has set the foundations for defining teacher’s subject knowledge. It is hard to find one set definition of teacher subject knowledge due to differing perspectives, however, the literature appears to agree that teacher subject knowledge is made up of two fundamental components: Content or Subject Knowledge and Pedagogical Content Knowledge (Shulman, 1987; Woolfolk 2006). According to </w:t>
      </w:r>
      <w:proofErr w:type="spellStart"/>
      <w:r w:rsidRPr="008C33BD">
        <w:rPr>
          <w:rFonts w:ascii="Arial" w:hAnsi="Arial" w:cs="Arial"/>
          <w:sz w:val="24"/>
          <w:szCs w:val="24"/>
        </w:rPr>
        <w:t>Kleickman</w:t>
      </w:r>
      <w:proofErr w:type="spellEnd"/>
      <w:r w:rsidRPr="008C33BD">
        <w:rPr>
          <w:rFonts w:ascii="Arial" w:hAnsi="Arial" w:cs="Arial"/>
          <w:sz w:val="24"/>
          <w:szCs w:val="24"/>
        </w:rPr>
        <w:t xml:space="preserve"> (2013, p91), Content or subject knowledge “represents teachers’ understanding of the subject matter taught” and “pedagogical content knowledge is the knowledge needed to make the subject matter accessible to the students” (2013, p91). The work carried out by Shulman (198</w:t>
      </w:r>
      <w:r w:rsidR="00124E3D" w:rsidRPr="008C33BD">
        <w:rPr>
          <w:rFonts w:ascii="Arial" w:hAnsi="Arial" w:cs="Arial"/>
          <w:sz w:val="24"/>
          <w:szCs w:val="24"/>
        </w:rPr>
        <w:t>7</w:t>
      </w:r>
      <w:r w:rsidRPr="008C33BD">
        <w:rPr>
          <w:rFonts w:ascii="Arial" w:hAnsi="Arial" w:cs="Arial"/>
          <w:sz w:val="24"/>
          <w:szCs w:val="24"/>
        </w:rPr>
        <w:t xml:space="preserve">) has not only influenced teaching standards, but it has also founded his model ‘The Knowledge Base’. Shulman was one of the first scholars to investigate and identify the characteristics of teachers in relation to effective learning. Shulman pioneered the theory that content knowledge alone is not enough for effective teaching and learning, he believed that children needed a teacher that could teach the content and subject clearly and effectively which he described as the pedagogical content knowledge. This theory that teachers need skills and qualities that blended both content and pedagogical knowledge together formed The Knowledge Base.  This need for teachers to know more than just content or subject was later supported by Ball (2008), in which he found that content knowledge includes knowing the ways to unpack, represent and make the content </w:t>
      </w:r>
      <w:r w:rsidRPr="008C33BD">
        <w:rPr>
          <w:rFonts w:ascii="Arial" w:hAnsi="Arial" w:cs="Arial"/>
          <w:sz w:val="24"/>
          <w:szCs w:val="24"/>
        </w:rPr>
        <w:lastRenderedPageBreak/>
        <w:t>learnable, knowing different ways to teach content and knowing how the students think. Shulman’s knowledge base later became the foundation for his teaching reform, a model for effective teaching, redirecting “how teaching is to be understood, how teachers are to be trained and evaluated” (Shulman, 1987, p1). The teaching reform consists of competencies that form a teacher’s pedagogical content knowledge  and is made up of similar components to those recommended in the What Makes Great Teaching report, such as knowledge of learners and their characteristics, knowledge of curriculum materials and programmes, classroom organisation; Coe et al supports this belief that pedagogical content knowledge is still a key component of effective teaching, believing that as well as having a strong understanding of the content or subject  material, teachers must also understand the way that their students will think about the content, be able to evaluate the thinking behind students own methods and identify student’s common misconception stating “when teachers’ knowledge falls below a certain level it is a significant impediment to students’ learning” (Coe et al, 2014, p.2</w:t>
      </w:r>
      <w:r w:rsidR="00124E3D" w:rsidRPr="008C33BD">
        <w:rPr>
          <w:rFonts w:ascii="Arial" w:hAnsi="Arial" w:cs="Arial"/>
          <w:sz w:val="24"/>
          <w:szCs w:val="24"/>
        </w:rPr>
        <w:t xml:space="preserve">; </w:t>
      </w:r>
      <w:r w:rsidRPr="008C33BD">
        <w:rPr>
          <w:rFonts w:ascii="Arial" w:hAnsi="Arial" w:cs="Arial"/>
          <w:sz w:val="24"/>
          <w:szCs w:val="24"/>
        </w:rPr>
        <w:t xml:space="preserve">Shulman, 1987; Ball et al, 2008; Woolfolk 2006). </w:t>
      </w:r>
    </w:p>
    <w:p w:rsidR="0016039C" w:rsidRPr="008C33BD" w:rsidRDefault="0016039C" w:rsidP="0016039C">
      <w:pPr>
        <w:jc w:val="both"/>
        <w:rPr>
          <w:rFonts w:ascii="Arial" w:hAnsi="Arial" w:cs="Arial"/>
          <w:sz w:val="24"/>
          <w:szCs w:val="24"/>
        </w:rPr>
      </w:pP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Secondly quality of instruction is deemed as an important element in effective teaching, quality of instruction are skills used by a teacher to extend a student’s development, Coe et al discuss skills and practices such as effective questioning and assessment, which endorses findings from Bloom (1956), which forms Blooms Taxonomy, a hierarchical ordering of cognitive skills designed to help teachers teach and students learning. Blooms Taxonomy can be used to create an assessment, </w:t>
      </w:r>
      <w:r w:rsidRPr="008C33BD">
        <w:rPr>
          <w:rFonts w:ascii="Arial" w:hAnsi="Arial" w:cs="Arial"/>
          <w:sz w:val="24"/>
          <w:szCs w:val="24"/>
        </w:rPr>
        <w:lastRenderedPageBreak/>
        <w:t>structure lessons, personalise and extend learning due to the ordering of the 6 cognitive behaviour levels: Remembering, Understanding, Application, Analysis, Evaluation and Creation. Blooms Taxonomy is used by teachers to extend and challenge their thinking using the framework from level one which encourages students to remember content which could be through memorizing a piece of poetry or remembering the method to a maths equation, through to level 6 which involves the students rethinking the content for example, recreating their own poem or designing a solution to a problem. Coe et al also highlight the importance in reviewing previous learning and progressively introducing new learning, this supports findings theorised by Bruner, who believed that when children are learning new concepts they need active support from adults, in this case, the teacher. Bruner’s Scaffolding of Learning theory starts with the student being dependent on teacher support, as the student becomes more independent in their thinking, acquire new skills and knowledge the adult support referred to as scaffolding can be gradually removed (Bates, 2015</w:t>
      </w:r>
      <w:r w:rsidR="001F3F60" w:rsidRPr="008C33BD">
        <w:rPr>
          <w:rFonts w:ascii="Arial" w:hAnsi="Arial" w:cs="Arial"/>
          <w:sz w:val="24"/>
          <w:szCs w:val="24"/>
        </w:rPr>
        <w:t>; Gershon, 2015</w:t>
      </w:r>
      <w:r w:rsidRPr="008C33BD">
        <w:rPr>
          <w:rFonts w:ascii="Arial" w:hAnsi="Arial" w:cs="Arial"/>
          <w:sz w:val="24"/>
          <w:szCs w:val="24"/>
        </w:rPr>
        <w:t>).</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The ‘classroom climate’, ‘classroom management’, ‘teacher beliefs’ and ‘professional behaviours’ benchmarks described below mirror the final three elements in Shulman's Knowledge Base: knowledge of learners and their characteristics, knowledge of educational context, knowledge of educational ends. </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The classroom climate refers to the interaction between teachers and their students and teacher expectations. Coe et al believe that teachers “need to create a classroom that is constantly demanding more but still recognising student’s self-worth” (Coe et al </w:t>
      </w:r>
      <w:r w:rsidRPr="008C33BD">
        <w:rPr>
          <w:rFonts w:ascii="Arial" w:hAnsi="Arial" w:cs="Arial"/>
          <w:sz w:val="24"/>
          <w:szCs w:val="24"/>
        </w:rPr>
        <w:lastRenderedPageBreak/>
        <w:t>2014, p2); Classroom management, the teachers time management and ability to organise and coordinate resources and space. Within in this element, Coe et al refer to environmental factors that are relevant to maximising the students learning. In Hattie’s book Visible Learning, describing a good classroom climate as ‘one that generates an atmosphere of trust’, ‘welcome admissions of error’ (p.29), suggesting mistakes are at the heart of learning, implying that reflective skills would be important for a good classroom climate, as he discusses students learn from identifying errors and disbanding previous ideas and methods (</w:t>
      </w:r>
      <w:r w:rsidR="00124E3D" w:rsidRPr="008C33BD">
        <w:rPr>
          <w:rFonts w:ascii="Arial" w:hAnsi="Arial" w:cs="Arial"/>
          <w:sz w:val="24"/>
          <w:szCs w:val="24"/>
        </w:rPr>
        <w:t>Hattie, 2014; Coe et al, 2014</w:t>
      </w:r>
      <w:r w:rsidRPr="008C33BD">
        <w:rPr>
          <w:rFonts w:ascii="Arial" w:hAnsi="Arial" w:cs="Arial"/>
          <w:sz w:val="24"/>
          <w:szCs w:val="24"/>
        </w:rPr>
        <w:t xml:space="preserve">).  </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Teacher beliefs, the reason teachers adopt practices and their own perspectives and beliefs on teaching and learning. Finally, the report found that professional behaviours – behaviours that make up professional practice, professional development, supporting colleagues, liaising with parents attributed to effective learning (Coe et al, 2014). </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The elements discussed supports arguments raised by Valli and Tom in 1988 which proposed that a knowledge base should not only include academic disciplines, content knowledge and learner knowledge but should also have criteria that represent a practical relevance suggesting a usefulness criterion and a reflective criterion which talk about making a difference in the professional practice and encouraging thoughtfulness about educational practices.  Shulman’s concept of Pedagogical Content Knowledge later influenced the work of Rowland,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Knowledge Quartet (2003), a framework for the identification, discussion and evaluation of primary teacher’s content knowledge evidenced in their teaching. The </w:t>
      </w:r>
      <w:r w:rsidRPr="008C33BD">
        <w:rPr>
          <w:rFonts w:ascii="Arial" w:hAnsi="Arial" w:cs="Arial"/>
          <w:sz w:val="24"/>
          <w:szCs w:val="24"/>
        </w:rPr>
        <w:lastRenderedPageBreak/>
        <w:t xml:space="preserve">knowledge quartet is split into four units – foundation, transformation, connection and contingency to extend thinking.  Foundation – is about evaluating the knowledge, beliefs and understanding that teachers acquire during their teacher training. 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believe that the knowledge: content and subject knowledge, pedagogical knowledge such as how the content should be taught and beliefs: what content is important, the purpose behind teaching content acquired influence a practitioner’s pedagogical choices and strategies.  Transformation – this component refers to knowledge in action in both planning and in teaching itself. Supported by Shulman's claims that “the capacity of a teacher to transform the content knowledge into forms that are pedagogically powerful” (1987, p 15), 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believes this element focuses on behaviour that is directed towards a child or children, so the way in which practitioners deliver content, language used within the classroom and the ability to demonstrate methods. The Connection looks at a </w:t>
      </w:r>
      <w:proofErr w:type="gramStart"/>
      <w:r w:rsidRPr="008C33BD">
        <w:rPr>
          <w:rFonts w:ascii="Arial" w:hAnsi="Arial" w:cs="Arial"/>
          <w:sz w:val="24"/>
          <w:szCs w:val="24"/>
        </w:rPr>
        <w:t>long term</w:t>
      </w:r>
      <w:proofErr w:type="gramEnd"/>
      <w:r w:rsidRPr="008C33BD">
        <w:rPr>
          <w:rFonts w:ascii="Arial" w:hAnsi="Arial" w:cs="Arial"/>
          <w:sz w:val="24"/>
          <w:szCs w:val="24"/>
        </w:rPr>
        <w:t xml:space="preserve"> effective teaching, it focuses on the coherence of planning and teaching the content that is presented a lesson or series of lessons. 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conception of coherence also includes the teacher’s ability to sequence topics, instruction, ordering tasks and activities which reflect deliberation and choices that are appropriate to the child’s development. Finally, the Contingency category, 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refer to this as “classroom events that are almost impossible to plan for (20</w:t>
      </w:r>
      <w:r w:rsidR="007644FA" w:rsidRPr="008C33BD">
        <w:rPr>
          <w:rFonts w:ascii="Arial" w:hAnsi="Arial" w:cs="Arial"/>
          <w:sz w:val="24"/>
          <w:szCs w:val="24"/>
        </w:rPr>
        <w:t>0</w:t>
      </w:r>
      <w:r w:rsidRPr="008C33BD">
        <w:rPr>
          <w:rFonts w:ascii="Arial" w:hAnsi="Arial" w:cs="Arial"/>
          <w:sz w:val="24"/>
          <w:szCs w:val="24"/>
        </w:rPr>
        <w:t>3, p28), the readiness to respond to children’s ideas, the ability to be able to deviate from planning when and where appropriate to extend and challenge learning</w:t>
      </w:r>
      <w:r w:rsidR="00124E3D" w:rsidRPr="008C33BD">
        <w:rPr>
          <w:rFonts w:ascii="Arial" w:hAnsi="Arial" w:cs="Arial"/>
          <w:sz w:val="24"/>
          <w:szCs w:val="24"/>
        </w:rPr>
        <w:t xml:space="preserve"> (Shulman, 1987; Valli, 1988; Rowlands, </w:t>
      </w:r>
      <w:proofErr w:type="spellStart"/>
      <w:r w:rsidR="00124E3D" w:rsidRPr="008C33BD">
        <w:rPr>
          <w:rFonts w:ascii="Arial" w:hAnsi="Arial" w:cs="Arial"/>
          <w:sz w:val="24"/>
          <w:szCs w:val="24"/>
        </w:rPr>
        <w:t>Huckstep</w:t>
      </w:r>
      <w:proofErr w:type="spellEnd"/>
      <w:r w:rsidR="00124E3D" w:rsidRPr="008C33BD">
        <w:rPr>
          <w:rFonts w:ascii="Arial" w:hAnsi="Arial" w:cs="Arial"/>
          <w:sz w:val="24"/>
          <w:szCs w:val="24"/>
        </w:rPr>
        <w:t xml:space="preserve"> and Thwaites, 20</w:t>
      </w:r>
      <w:r w:rsidR="007644FA" w:rsidRPr="008C33BD">
        <w:rPr>
          <w:rFonts w:ascii="Arial" w:hAnsi="Arial" w:cs="Arial"/>
          <w:sz w:val="24"/>
          <w:szCs w:val="24"/>
        </w:rPr>
        <w:t>03</w:t>
      </w:r>
      <w:r w:rsidR="00124E3D" w:rsidRPr="008C33BD">
        <w:rPr>
          <w:rFonts w:ascii="Arial" w:hAnsi="Arial" w:cs="Arial"/>
          <w:sz w:val="24"/>
          <w:szCs w:val="24"/>
        </w:rPr>
        <w:t>)</w:t>
      </w:r>
      <w:r w:rsidRPr="008C33BD">
        <w:rPr>
          <w:rFonts w:ascii="Arial" w:hAnsi="Arial" w:cs="Arial"/>
          <w:sz w:val="24"/>
          <w:szCs w:val="24"/>
        </w:rPr>
        <w:t xml:space="preserve">. </w:t>
      </w:r>
    </w:p>
    <w:p w:rsidR="0016039C" w:rsidRPr="008C33BD" w:rsidRDefault="0016039C" w:rsidP="0016039C">
      <w:pPr>
        <w:jc w:val="both"/>
        <w:rPr>
          <w:rFonts w:ascii="Arial" w:hAnsi="Arial" w:cs="Arial"/>
          <w:sz w:val="24"/>
          <w:szCs w:val="24"/>
        </w:rPr>
      </w:pPr>
      <w:r w:rsidRPr="008C33BD">
        <w:rPr>
          <w:rFonts w:ascii="Arial" w:hAnsi="Arial" w:cs="Arial"/>
          <w:sz w:val="24"/>
          <w:szCs w:val="24"/>
        </w:rPr>
        <w:lastRenderedPageBreak/>
        <w:t xml:space="preserve">Since 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work,  Shulman has redefined the ‘the knowledge base’ model, In 2004, it was developed “combining general professional knowledge with complexity and individual differences” (p1) and the knowledge base developed from a framework to a professional community in which trainee and newly qualified teachers can learn and develop their own practice against more experienced or as Shulman calls them Veteran teachers to develop pedagogical content skills that are gained in the field.  Following these findings and beliefs on Pedagogical Content Knowledge, in 2008 Park and Oliver investigated the concept of pedagogical content knowledge to understand the complexity of a teacher’s role using multiple case studies, their findings echoed those of Shulman's, indicating that Pedagogical Content Knowledge is developed through reflection in action and reflection on action. </w:t>
      </w:r>
    </w:p>
    <w:p w:rsidR="0016039C" w:rsidRPr="008C33BD" w:rsidRDefault="0016039C" w:rsidP="0016039C">
      <w:pPr>
        <w:jc w:val="both"/>
        <w:rPr>
          <w:rFonts w:ascii="Arial" w:hAnsi="Arial" w:cs="Arial"/>
          <w:sz w:val="24"/>
          <w:szCs w:val="24"/>
        </w:rPr>
      </w:pPr>
    </w:p>
    <w:p w:rsidR="0016039C" w:rsidRPr="008C33BD" w:rsidRDefault="0016039C" w:rsidP="0016039C">
      <w:pPr>
        <w:jc w:val="both"/>
        <w:rPr>
          <w:rFonts w:ascii="Arial" w:hAnsi="Arial" w:cs="Arial"/>
          <w:sz w:val="24"/>
          <w:szCs w:val="24"/>
          <w:u w:val="single"/>
        </w:rPr>
      </w:pPr>
      <w:r w:rsidRPr="008C33BD">
        <w:rPr>
          <w:rFonts w:ascii="Arial" w:hAnsi="Arial" w:cs="Arial"/>
          <w:sz w:val="24"/>
          <w:szCs w:val="24"/>
          <w:u w:val="single"/>
        </w:rPr>
        <w:t>Section Two - Analysis and evaluation of own subject knowledge for primary teaching.</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As highlighted in the literature review the meaning of teacher subject knowledge and what makes effective teaching is continuously being adapted as teacher research evolves. With Donaldson publishing beliefs in his review of his curriculum for Wales “…that subject knowledge has stood the test of time and remains the best path to a sound and relevant education” (2015, p_) it is important that as practitioners we are able to reflect, analyse and evaluate our own subject knowledge in relation to effective teaching and learning.  I will reflect upon my own professional teaching experiences from School A considering Shulman’s definition of pedagogical content knowledge and his work on ‘The Knowledge Base’. To ensure my reflection is evaluative I will use </w:t>
      </w:r>
      <w:r w:rsidRPr="008C33BD">
        <w:rPr>
          <w:rFonts w:ascii="Arial" w:hAnsi="Arial" w:cs="Arial"/>
          <w:sz w:val="24"/>
          <w:szCs w:val="24"/>
        </w:rPr>
        <w:lastRenderedPageBreak/>
        <w:t xml:space="preserve">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Knowledge Quartet (2003), a framework discussed in the literature review, created to help identify, discuss and evaluate teacher’s content or subject knowledge through their teaching practice, structuring my reflection against the four quartets: foundation, transformation, connection and contingency. </w:t>
      </w:r>
    </w:p>
    <w:p w:rsidR="0016039C" w:rsidRPr="008C33BD" w:rsidRDefault="0016039C" w:rsidP="0016039C">
      <w:pPr>
        <w:jc w:val="both"/>
        <w:rPr>
          <w:rFonts w:ascii="Arial" w:hAnsi="Arial" w:cs="Arial"/>
          <w:sz w:val="24"/>
          <w:szCs w:val="24"/>
        </w:rPr>
      </w:pPr>
    </w:p>
    <w:p w:rsidR="0016039C" w:rsidRPr="008C33BD" w:rsidRDefault="0016039C" w:rsidP="0016039C">
      <w:pPr>
        <w:jc w:val="both"/>
        <w:rPr>
          <w:rFonts w:ascii="Arial" w:hAnsi="Arial" w:cs="Arial"/>
          <w:sz w:val="24"/>
          <w:szCs w:val="24"/>
          <w:u w:val="single"/>
        </w:rPr>
      </w:pPr>
      <w:r w:rsidRPr="008C33BD">
        <w:rPr>
          <w:rFonts w:ascii="Arial" w:hAnsi="Arial" w:cs="Arial"/>
          <w:sz w:val="24"/>
          <w:szCs w:val="24"/>
          <w:u w:val="single"/>
        </w:rPr>
        <w:t>Foundation</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refer to this quartet as knowledge teachers acquire through their training. Initially on my professional teaching experience I felt this would be the area that I would struggle with as I felt most of my knowledge gained from training both on my undergraduate degree and as part of my postgraduate teacher training predominantly focused on the curriculum for the Early Years (Foundation Phase Framework curriculum), this combined with my own beliefs, perceptions and prior experiences of the Key Stage 2 curriculum left me feeling  very much as though I was stepping into the unknown. However, I found that using my observation week effectively: making notes on the way in which my mentor taught the class, the strategies used and the way he engaged them. Throughout my time in a year 6 class, it became evident that good content or subject knowledge is just as important as having good pedagogical knowledge. I particularly struggled when it came to teaching Mathematics to the class as the content and I struggled with the content planned for the lower ability children which therefore meant it was difficult for me to challenge the higher ability children, some of whom were working at Key Stage 3. Although it is </w:t>
      </w:r>
      <w:r w:rsidRPr="008C33BD">
        <w:rPr>
          <w:rFonts w:ascii="Arial" w:hAnsi="Arial" w:cs="Arial"/>
          <w:sz w:val="24"/>
          <w:szCs w:val="24"/>
        </w:rPr>
        <w:lastRenderedPageBreak/>
        <w:t>possible to revise content and improve your own subject knowledge I felt that my lack of confidence in these areas was definitely reflected in some of the children’s work, for example when teaching a recap lesson on area and perimeter, when answering what was area, a lot of the children gave me the formula for working out the area of a shape rather than defining what area was, which highlighted that I needed to be more clear on the definitions and spend more time using mini plenaries to check that all the children understood instead of assuming this was something that they would already know. The Foundation aspect talks about acquired knowledge influencing teacher’s pedagogical choices and strategies too. Reflecting on my experiences in practice I can see that my own perceptions and beliefs had an impact, I had always had the belief that learning in the primary upper phase was very traditional and very different from the play based learning that I had seen in the lower phase of primary schools, having the experience in a pioneer school which is trialling the new curriculum for Wales ‘Successful Futures’ changed my perspective on upper phase curriculum allowing me to see and plan for experiential learning opportunities.</w:t>
      </w:r>
    </w:p>
    <w:p w:rsidR="0016039C" w:rsidRPr="008C33BD" w:rsidRDefault="0016039C" w:rsidP="0016039C">
      <w:pPr>
        <w:jc w:val="both"/>
        <w:rPr>
          <w:rFonts w:ascii="Arial" w:hAnsi="Arial" w:cs="Arial"/>
          <w:sz w:val="24"/>
          <w:szCs w:val="24"/>
        </w:rPr>
      </w:pPr>
    </w:p>
    <w:p w:rsidR="0016039C" w:rsidRPr="008C33BD" w:rsidRDefault="0016039C" w:rsidP="0016039C">
      <w:pPr>
        <w:jc w:val="both"/>
        <w:rPr>
          <w:rFonts w:ascii="Arial" w:hAnsi="Arial" w:cs="Arial"/>
          <w:sz w:val="24"/>
          <w:szCs w:val="24"/>
          <w:u w:val="single"/>
        </w:rPr>
      </w:pPr>
      <w:r w:rsidRPr="008C33BD">
        <w:rPr>
          <w:rFonts w:ascii="Arial" w:hAnsi="Arial" w:cs="Arial"/>
          <w:sz w:val="24"/>
          <w:szCs w:val="24"/>
          <w:u w:val="single"/>
        </w:rPr>
        <w:t>Transformation</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This is where Shulman's (1987, p15) belief of the capacity of a teacher to transform the content knowledge he or she possesses into forms that are pedagogically powerful” comes in to play. 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describe this as the Knowledge in Action skill.  I was really nervous about teaching in a Year 6 class due to my lack of experience in a key stage 2 classroom, I felt nervous about whole class </w:t>
      </w:r>
      <w:r w:rsidRPr="008C33BD">
        <w:rPr>
          <w:rFonts w:ascii="Arial" w:hAnsi="Arial" w:cs="Arial"/>
          <w:sz w:val="24"/>
          <w:szCs w:val="24"/>
        </w:rPr>
        <w:lastRenderedPageBreak/>
        <w:t>teaching as my experience was mostly with Foundation Phase (3-7 year olds) but through having observation days and  team teaching and planning  with my mentor I was able to see the way he implemented the subject knowledge and pedagogical content knowledge into practice which gave me strategies to try and helped me to build confidence to take whole class sessions independently. This was particularly valuable in helping me extend and developing my use of questioning in the classroom to challenge the children’s learning and thinking. I found although my use of questioning needs developing further in subjects like Topic it was easy to do as it was a subject I was confident in, we were creating our own product to sell for a popup shop. I enjoy creative subjects, so I found it easier to implement the knowledge in action skills and challenge learners. However, in maths I really struggled, I had an observation where I found it difficult to challenge the higher ability students and to even answer some of the questions they had, I would put this down to not having a wide enough subject knowledge or understanding of the different ways to approach the equation, I think had I been more prepared and had spent more time researching the content it the lesson would have been more effective and more successful.</w:t>
      </w:r>
    </w:p>
    <w:p w:rsidR="0016039C" w:rsidRPr="008C33BD" w:rsidRDefault="0016039C" w:rsidP="0016039C">
      <w:pPr>
        <w:jc w:val="both"/>
        <w:rPr>
          <w:rFonts w:ascii="Arial" w:hAnsi="Arial" w:cs="Arial"/>
          <w:sz w:val="24"/>
          <w:szCs w:val="24"/>
          <w:u w:val="single"/>
        </w:rPr>
      </w:pPr>
    </w:p>
    <w:p w:rsidR="0016039C" w:rsidRPr="008C33BD" w:rsidRDefault="0016039C" w:rsidP="0016039C">
      <w:pPr>
        <w:jc w:val="both"/>
        <w:rPr>
          <w:rFonts w:ascii="Arial" w:hAnsi="Arial" w:cs="Arial"/>
          <w:sz w:val="24"/>
          <w:szCs w:val="24"/>
          <w:u w:val="single"/>
        </w:rPr>
      </w:pPr>
      <w:r w:rsidRPr="008C33BD">
        <w:rPr>
          <w:rFonts w:ascii="Arial" w:hAnsi="Arial" w:cs="Arial"/>
          <w:sz w:val="24"/>
          <w:szCs w:val="24"/>
          <w:u w:val="single"/>
        </w:rPr>
        <w:t>Connection</w:t>
      </w: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talk about the connection or coherence between learning and lessons, I was fortunate enough to have experience in a school where they plan their lessons as a year cohort, so one practitioner teaches the Mathematics, one the English and one Topic – all other curriculum subjects, this was really helpful, </w:t>
      </w:r>
      <w:r w:rsidRPr="008C33BD">
        <w:rPr>
          <w:rFonts w:ascii="Arial" w:hAnsi="Arial" w:cs="Arial"/>
          <w:sz w:val="24"/>
          <w:szCs w:val="24"/>
        </w:rPr>
        <w:lastRenderedPageBreak/>
        <w:t xml:space="preserve">to begin with as having very little practical knowledge of planning for Key Stage 2 meant that it was difficult to set learning activities that were age and stage appropriate as initially, I was suggesting learning opportunities more suited to Foundation Phase. For their English sessions I was able deliver content planned by other teaching staff using  stimuli that engaged the learners, for example their poetry module ran alongside our work on Remembrance, I was able to take knowledge learnt previously on the using multisensory allowing us to use sensory stimuli to make the children feel like they were a soldier at war, consolidating what they had learnt at the end of the unit with children creating and sharing their own poems with the class. Because the unit had been pre-planned I was able to see the importance of learning being progressive, it supported Blooms Taxonomy, challenging the children’s thinking from Remembering what happened, through to eventually Creating their own poem. I found that teaching from someone else’s planning also enabled me to use the Knowledge in Action skills described by 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scaffolding me to become more independent in my own practice. </w:t>
      </w:r>
    </w:p>
    <w:p w:rsidR="0016039C" w:rsidRPr="008C33BD" w:rsidRDefault="0016039C" w:rsidP="0016039C">
      <w:pPr>
        <w:jc w:val="both"/>
        <w:rPr>
          <w:rFonts w:ascii="Arial" w:hAnsi="Arial" w:cs="Arial"/>
          <w:sz w:val="24"/>
          <w:szCs w:val="24"/>
        </w:rPr>
      </w:pPr>
    </w:p>
    <w:p w:rsidR="0016039C" w:rsidRPr="008C33BD" w:rsidRDefault="0016039C" w:rsidP="0016039C">
      <w:pPr>
        <w:jc w:val="both"/>
        <w:rPr>
          <w:rFonts w:ascii="Arial" w:hAnsi="Arial" w:cs="Arial"/>
          <w:sz w:val="24"/>
          <w:szCs w:val="24"/>
          <w:u w:val="single"/>
        </w:rPr>
      </w:pPr>
      <w:r w:rsidRPr="008C33BD">
        <w:rPr>
          <w:rFonts w:ascii="Arial" w:hAnsi="Arial" w:cs="Arial"/>
          <w:sz w:val="24"/>
          <w:szCs w:val="24"/>
          <w:u w:val="single"/>
        </w:rPr>
        <w:t xml:space="preserve">Contingency </w:t>
      </w:r>
    </w:p>
    <w:p w:rsidR="0016039C" w:rsidRPr="008C33BD" w:rsidRDefault="0016039C" w:rsidP="0016039C">
      <w:pPr>
        <w:jc w:val="both"/>
        <w:rPr>
          <w:rFonts w:ascii="Arial" w:hAnsi="Arial" w:cs="Arial"/>
          <w:sz w:val="24"/>
          <w:szCs w:val="24"/>
        </w:rPr>
      </w:pP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The final quartet requires to reflect on your ability to think on your feet and adjust learning where and when needed. During my time in School A, I often observed and took part in adjusting learning, lessons were planned around pupil voice, so the </w:t>
      </w:r>
      <w:r w:rsidRPr="008C33BD">
        <w:rPr>
          <w:rFonts w:ascii="Arial" w:hAnsi="Arial" w:cs="Arial"/>
          <w:sz w:val="24"/>
          <w:szCs w:val="24"/>
        </w:rPr>
        <w:lastRenderedPageBreak/>
        <w:t xml:space="preserve">children and the teacher would discuss what the children wanted to find out about or from a </w:t>
      </w:r>
      <w:proofErr w:type="gramStart"/>
      <w:r w:rsidRPr="008C33BD">
        <w:rPr>
          <w:rFonts w:ascii="Arial" w:hAnsi="Arial" w:cs="Arial"/>
          <w:sz w:val="24"/>
          <w:szCs w:val="24"/>
        </w:rPr>
        <w:t>particular topic</w:t>
      </w:r>
      <w:proofErr w:type="gramEnd"/>
      <w:r w:rsidRPr="008C33BD">
        <w:rPr>
          <w:rFonts w:ascii="Arial" w:hAnsi="Arial" w:cs="Arial"/>
          <w:sz w:val="24"/>
          <w:szCs w:val="24"/>
        </w:rPr>
        <w:t xml:space="preserve">, and then planning would form around that. Lessons in my year 6 class led by my mentor involved a lot of discussions and used a lot of different questioning techniques to guide learning. This seemed like a great practice to adapt but I found that it was harder than it looked, it meant I had to have the discernment of which questions and ideas that the children contributed to explore further and to ensure that my behaviour expectations were the same as often when I let the children guide the discussion some would present maladaptive behaviours, giving inappropriate responses. There have been times during my professional teaching practice where adjusting the learning has been successful, during an introductory lesson on Explanation Texts, the children did not get as many ideas down on paper because we spent longer discussing it in pairs, small groups and </w:t>
      </w:r>
      <w:proofErr w:type="gramStart"/>
      <w:r w:rsidRPr="008C33BD">
        <w:rPr>
          <w:rFonts w:ascii="Arial" w:hAnsi="Arial" w:cs="Arial"/>
          <w:sz w:val="24"/>
          <w:szCs w:val="24"/>
        </w:rPr>
        <w:t>as a whole class</w:t>
      </w:r>
      <w:proofErr w:type="gramEnd"/>
      <w:r w:rsidRPr="008C33BD">
        <w:rPr>
          <w:rFonts w:ascii="Arial" w:hAnsi="Arial" w:cs="Arial"/>
          <w:sz w:val="24"/>
          <w:szCs w:val="24"/>
        </w:rPr>
        <w:t xml:space="preserve">. I had made that choice because when the children were first capturing ideas for their explanation text down I noticed that not all children were engaged, some were struggling with the task and instead, we discussed ideas, captured them on the interactive whiteboard and then discussed them, allowing the children to widen their thinking. </w:t>
      </w:r>
    </w:p>
    <w:p w:rsidR="0016039C" w:rsidRPr="008C33BD" w:rsidRDefault="0016039C" w:rsidP="0016039C">
      <w:pPr>
        <w:jc w:val="both"/>
        <w:rPr>
          <w:rFonts w:ascii="Arial" w:hAnsi="Arial" w:cs="Arial"/>
          <w:sz w:val="24"/>
          <w:szCs w:val="24"/>
        </w:rPr>
      </w:pPr>
    </w:p>
    <w:p w:rsidR="0016039C" w:rsidRPr="008C33BD" w:rsidRDefault="0016039C" w:rsidP="0016039C">
      <w:pPr>
        <w:jc w:val="both"/>
        <w:rPr>
          <w:rFonts w:ascii="Arial" w:hAnsi="Arial" w:cs="Arial"/>
          <w:sz w:val="24"/>
          <w:szCs w:val="24"/>
        </w:rPr>
      </w:pPr>
      <w:r w:rsidRPr="008C33BD">
        <w:rPr>
          <w:rFonts w:ascii="Arial" w:hAnsi="Arial" w:cs="Arial"/>
          <w:sz w:val="24"/>
          <w:szCs w:val="24"/>
        </w:rPr>
        <w:t xml:space="preserve">From reflecting upon my own professional teaching </w:t>
      </w:r>
      <w:proofErr w:type="gramStart"/>
      <w:r w:rsidRPr="008C33BD">
        <w:rPr>
          <w:rFonts w:ascii="Arial" w:hAnsi="Arial" w:cs="Arial"/>
          <w:sz w:val="24"/>
          <w:szCs w:val="24"/>
        </w:rPr>
        <w:t>experiences</w:t>
      </w:r>
      <w:proofErr w:type="gramEnd"/>
      <w:r w:rsidRPr="008C33BD">
        <w:rPr>
          <w:rFonts w:ascii="Arial" w:hAnsi="Arial" w:cs="Arial"/>
          <w:sz w:val="24"/>
          <w:szCs w:val="24"/>
        </w:rPr>
        <w:t xml:space="preserve"> I feel that teacher subject knowledge, whether that be the traditional definition of content knowledge or the definition discussed in the literature review that combines content/subject knowledge and pedagogical content knowledge plays a crucial role when it comes to </w:t>
      </w:r>
      <w:r w:rsidRPr="008C33BD">
        <w:rPr>
          <w:rFonts w:ascii="Arial" w:hAnsi="Arial" w:cs="Arial"/>
          <w:sz w:val="24"/>
          <w:szCs w:val="24"/>
        </w:rPr>
        <w:lastRenderedPageBreak/>
        <w:t xml:space="preserve">effective teaching in the classroom. I found that you can have strong content knowledge but that without other pedagogical content knowledge such as how to teach the content or an understanding of your learner's strengths and areas for improvement your teaching cannot be effective. Before I began my professional teaching experience in School A I thought that content knowledge was not important and that you can teach yourself any content, I quickly learnt that having pedagogical content knowledge may help you to form relationships, and get to know the needs of your learners without the content knowledge you cannot challenge or extend the learning of your students. However I do believe that my own self-belief and confidence played a big part in measuring the effectiveness of my teaching as despite positive feedback from my tutor I found it very hard to see my own progress and I would become anxious with sessions that had been successful second guessing whether I was knowledgeable enough with the content this supports claims made by Brown and Wragg  (1993) and Rowlands, </w:t>
      </w:r>
      <w:proofErr w:type="spellStart"/>
      <w:r w:rsidRPr="008C33BD">
        <w:rPr>
          <w:rFonts w:ascii="Arial" w:hAnsi="Arial" w:cs="Arial"/>
          <w:sz w:val="24"/>
          <w:szCs w:val="24"/>
        </w:rPr>
        <w:t>Huckstep</w:t>
      </w:r>
      <w:proofErr w:type="spellEnd"/>
      <w:r w:rsidRPr="008C33BD">
        <w:rPr>
          <w:rFonts w:ascii="Arial" w:hAnsi="Arial" w:cs="Arial"/>
          <w:sz w:val="24"/>
          <w:szCs w:val="24"/>
        </w:rPr>
        <w:t xml:space="preserve"> and Thwaites (2003) that “uncertainty about the sufficiency of one's subject matter knowledge may well induce anxiety” (2003, p.98). </w:t>
      </w:r>
    </w:p>
    <w:p w:rsidR="0016039C" w:rsidRPr="008C33BD" w:rsidRDefault="0016039C" w:rsidP="0016039C">
      <w:pPr>
        <w:jc w:val="both"/>
        <w:rPr>
          <w:rFonts w:ascii="Arial" w:hAnsi="Arial" w:cs="Arial"/>
          <w:sz w:val="24"/>
          <w:szCs w:val="24"/>
        </w:rPr>
      </w:pPr>
    </w:p>
    <w:p w:rsidR="008C33BD" w:rsidRPr="008C33BD" w:rsidRDefault="00166916" w:rsidP="0016039C">
      <w:pPr>
        <w:jc w:val="both"/>
        <w:rPr>
          <w:rFonts w:ascii="Arial" w:hAnsi="Arial" w:cs="Arial"/>
          <w:sz w:val="24"/>
          <w:szCs w:val="24"/>
        </w:rPr>
      </w:pPr>
      <w:r w:rsidRPr="008C33BD">
        <w:rPr>
          <w:rFonts w:ascii="Arial" w:hAnsi="Arial" w:cs="Arial"/>
          <w:sz w:val="24"/>
          <w:szCs w:val="24"/>
        </w:rPr>
        <w:t xml:space="preserve">In conclusion, teacher subject knowledge has an impact on effective learning and teaching but for teaching and learning to be effective the teacher cannot rely on subject knowledge alone, they must consider other skills that fall under the umbrella of pedagogical content knowledge. </w:t>
      </w:r>
      <w:proofErr w:type="gramStart"/>
      <w:r w:rsidRPr="008C33BD">
        <w:rPr>
          <w:rFonts w:ascii="Arial" w:hAnsi="Arial" w:cs="Arial"/>
          <w:sz w:val="24"/>
          <w:szCs w:val="24"/>
        </w:rPr>
        <w:t xml:space="preserve">In </w:t>
      </w:r>
      <w:r w:rsidR="0016039C" w:rsidRPr="008C33BD">
        <w:rPr>
          <w:rFonts w:ascii="Arial" w:hAnsi="Arial" w:cs="Arial"/>
          <w:sz w:val="24"/>
          <w:szCs w:val="24"/>
        </w:rPr>
        <w:t xml:space="preserve"> the</w:t>
      </w:r>
      <w:proofErr w:type="gramEnd"/>
      <w:r w:rsidR="0016039C" w:rsidRPr="008C33BD">
        <w:rPr>
          <w:rFonts w:ascii="Arial" w:hAnsi="Arial" w:cs="Arial"/>
          <w:sz w:val="24"/>
          <w:szCs w:val="24"/>
        </w:rPr>
        <w:t xml:space="preserve"> review of literature and analysis of my own teacher subject knowledge in relation to effective teaching it has been found that effective teaching is made up of both content or teacher subject knowledge and of </w:t>
      </w:r>
      <w:r w:rsidR="0016039C" w:rsidRPr="008C33BD">
        <w:rPr>
          <w:rFonts w:ascii="Arial" w:hAnsi="Arial" w:cs="Arial"/>
          <w:sz w:val="24"/>
          <w:szCs w:val="24"/>
        </w:rPr>
        <w:lastRenderedPageBreak/>
        <w:t>pedagogical skills that teachers acquire from academic training prior to becoming a teacher and the skills and knowledge that they gain through experience. The definition of effective teaching will continue to evolve as teacher and education research continues so it is important to be continually assessing the benchmarks to reflect that. Professional teaching experience has reinforced the interrelation relationship subject knowledge and pedagogical knowledge have and has highlighted the importance of ensuring your own subject knowledge is of good quality to provide the children with effective learning.</w:t>
      </w:r>
    </w:p>
    <w:p w:rsidR="008C33BD" w:rsidRPr="008C33BD" w:rsidRDefault="008C33BD">
      <w:pPr>
        <w:rPr>
          <w:rFonts w:ascii="Arial" w:hAnsi="Arial" w:cs="Arial"/>
          <w:sz w:val="24"/>
          <w:szCs w:val="24"/>
        </w:rPr>
      </w:pPr>
      <w:r w:rsidRPr="008C33BD">
        <w:rPr>
          <w:rFonts w:ascii="Arial" w:hAnsi="Arial" w:cs="Arial"/>
          <w:sz w:val="24"/>
          <w:szCs w:val="24"/>
        </w:rPr>
        <w:br w:type="page"/>
      </w:r>
    </w:p>
    <w:p w:rsidR="008C33BD" w:rsidRPr="008C33BD" w:rsidRDefault="008C33BD" w:rsidP="008C33BD">
      <w:pPr>
        <w:rPr>
          <w:rFonts w:ascii="Arial" w:hAnsi="Arial" w:cs="Arial"/>
          <w:color w:val="000000"/>
          <w:sz w:val="24"/>
          <w:szCs w:val="24"/>
          <w:shd w:val="clear" w:color="auto" w:fill="FFFFFF"/>
        </w:rPr>
      </w:pPr>
      <w:r w:rsidRPr="008C33BD">
        <w:rPr>
          <w:rFonts w:ascii="Arial" w:hAnsi="Arial" w:cs="Arial"/>
          <w:color w:val="000000"/>
          <w:sz w:val="24"/>
          <w:szCs w:val="24"/>
          <w:shd w:val="clear" w:color="auto" w:fill="FFFFFF"/>
        </w:rPr>
        <w:lastRenderedPageBreak/>
        <w:t>Bates, B. (2015). </w:t>
      </w:r>
      <w:r w:rsidRPr="008C33BD">
        <w:rPr>
          <w:rFonts w:ascii="Arial" w:hAnsi="Arial" w:cs="Arial"/>
          <w:i/>
          <w:iCs/>
          <w:color w:val="000000"/>
          <w:sz w:val="24"/>
          <w:szCs w:val="24"/>
          <w:shd w:val="clear" w:color="auto" w:fill="FFFFFF"/>
        </w:rPr>
        <w:t>Learning Theories Simplified</w:t>
      </w:r>
      <w:r w:rsidRPr="008C33BD">
        <w:rPr>
          <w:rFonts w:ascii="Arial" w:hAnsi="Arial" w:cs="Arial"/>
          <w:color w:val="000000"/>
          <w:sz w:val="24"/>
          <w:szCs w:val="24"/>
          <w:shd w:val="clear" w:color="auto" w:fill="FFFFFF"/>
        </w:rPr>
        <w:t>. London: SAGE PUBLICATIONS.</w:t>
      </w:r>
    </w:p>
    <w:p w:rsidR="008C33BD" w:rsidRPr="008C33BD" w:rsidRDefault="008C33BD" w:rsidP="008C33BD">
      <w:pPr>
        <w:rPr>
          <w:rFonts w:ascii="Arial" w:hAnsi="Arial" w:cs="Arial"/>
          <w:sz w:val="24"/>
          <w:szCs w:val="24"/>
        </w:rPr>
      </w:pPr>
      <w:r w:rsidRPr="008C33BD">
        <w:rPr>
          <w:rFonts w:ascii="Arial" w:hAnsi="Arial" w:cs="Arial"/>
          <w:sz w:val="24"/>
          <w:szCs w:val="24"/>
        </w:rPr>
        <w:t xml:space="preserve">Coe, R., </w:t>
      </w:r>
      <w:proofErr w:type="spellStart"/>
      <w:r w:rsidRPr="008C33BD">
        <w:rPr>
          <w:rFonts w:ascii="Arial" w:hAnsi="Arial" w:cs="Arial"/>
          <w:sz w:val="24"/>
          <w:szCs w:val="24"/>
        </w:rPr>
        <w:t>Aloisi</w:t>
      </w:r>
      <w:proofErr w:type="spellEnd"/>
      <w:r w:rsidRPr="008C33BD">
        <w:rPr>
          <w:rFonts w:ascii="Arial" w:hAnsi="Arial" w:cs="Arial"/>
          <w:sz w:val="24"/>
          <w:szCs w:val="24"/>
        </w:rPr>
        <w:t xml:space="preserve">, C., Higgins, S. and Elliot Major, L. (2014) What makes great teaching: Review of underpinning research, available at: </w:t>
      </w:r>
      <w:hyperlink r:id="rId7" w:history="1">
        <w:r w:rsidRPr="008C33BD">
          <w:rPr>
            <w:rStyle w:val="Hyperlink"/>
            <w:rFonts w:ascii="Arial" w:hAnsi="Arial" w:cs="Arial"/>
            <w:sz w:val="24"/>
            <w:szCs w:val="24"/>
          </w:rPr>
          <w:t>http://www.suttontrust.com/researcharchive/great-teaching/</w:t>
        </w:r>
      </w:hyperlink>
    </w:p>
    <w:p w:rsidR="008C33BD" w:rsidRPr="008C33BD" w:rsidRDefault="008C33BD" w:rsidP="008C33BD">
      <w:pPr>
        <w:rPr>
          <w:rFonts w:ascii="Arial" w:hAnsi="Arial" w:cs="Arial"/>
          <w:sz w:val="24"/>
          <w:szCs w:val="24"/>
        </w:rPr>
      </w:pPr>
      <w:r w:rsidRPr="008C33BD">
        <w:rPr>
          <w:rFonts w:ascii="Arial" w:hAnsi="Arial" w:cs="Arial"/>
          <w:sz w:val="24"/>
          <w:szCs w:val="24"/>
        </w:rPr>
        <w:t xml:space="preserve">Donaldson, G. (2015) Successful Futures: Independent Review of Curriculum - 7 - and Assessment Arrangements in Wales Crown Copyright available at: </w:t>
      </w:r>
      <w:hyperlink r:id="rId8" w:history="1">
        <w:r w:rsidRPr="008C33BD">
          <w:rPr>
            <w:rStyle w:val="Hyperlink"/>
            <w:rFonts w:ascii="Arial" w:hAnsi="Arial" w:cs="Arial"/>
            <w:sz w:val="24"/>
            <w:szCs w:val="24"/>
          </w:rPr>
          <w:t>http://gov.wales/topics/educationandskills/schoolshome/curriculum-for-walescurriculum-for-life/why-we-are-changing/successful-futures/?lang=en</w:t>
        </w:r>
      </w:hyperlink>
    </w:p>
    <w:p w:rsidR="008C33BD" w:rsidRPr="008C33BD" w:rsidRDefault="008C33BD" w:rsidP="008C33BD">
      <w:pPr>
        <w:rPr>
          <w:rFonts w:ascii="Arial" w:hAnsi="Arial" w:cs="Arial"/>
          <w:color w:val="000000"/>
          <w:sz w:val="24"/>
          <w:szCs w:val="24"/>
        </w:rPr>
      </w:pPr>
      <w:r w:rsidRPr="008C33BD">
        <w:rPr>
          <w:rFonts w:ascii="Arial" w:hAnsi="Arial" w:cs="Arial"/>
          <w:color w:val="000000"/>
          <w:sz w:val="24"/>
          <w:szCs w:val="24"/>
        </w:rPr>
        <w:t xml:space="preserve">ESTYN (2016). </w:t>
      </w:r>
      <w:r w:rsidRPr="008C33BD">
        <w:rPr>
          <w:rFonts w:ascii="Arial" w:hAnsi="Arial" w:cs="Arial"/>
          <w:i/>
          <w:iCs/>
          <w:color w:val="000000"/>
          <w:sz w:val="24"/>
          <w:szCs w:val="24"/>
        </w:rPr>
        <w:t>A report on ________ primary school</w:t>
      </w:r>
      <w:r w:rsidRPr="008C33BD">
        <w:rPr>
          <w:rFonts w:ascii="Arial" w:hAnsi="Arial" w:cs="Arial"/>
          <w:color w:val="000000"/>
          <w:sz w:val="24"/>
          <w:szCs w:val="24"/>
        </w:rPr>
        <w:t>. Cardiff: ESTYN.</w:t>
      </w:r>
    </w:p>
    <w:p w:rsidR="008C33BD" w:rsidRPr="008C33BD" w:rsidRDefault="008C33BD" w:rsidP="008C33BD">
      <w:pPr>
        <w:rPr>
          <w:rFonts w:ascii="Arial" w:hAnsi="Arial" w:cs="Arial"/>
          <w:sz w:val="24"/>
          <w:szCs w:val="24"/>
        </w:rPr>
      </w:pPr>
      <w:r w:rsidRPr="008C33BD">
        <w:rPr>
          <w:rFonts w:ascii="Arial" w:hAnsi="Arial" w:cs="Arial"/>
          <w:sz w:val="24"/>
          <w:szCs w:val="24"/>
        </w:rPr>
        <w:t xml:space="preserve">Estyn, (2007). </w:t>
      </w:r>
      <w:r w:rsidRPr="008C33BD">
        <w:rPr>
          <w:rFonts w:ascii="Arial" w:hAnsi="Arial" w:cs="Arial"/>
          <w:i/>
          <w:sz w:val="24"/>
          <w:szCs w:val="24"/>
        </w:rPr>
        <w:t>Best Practice in the Reading and Writing of Pupils Ages 7-14 Years.</w:t>
      </w:r>
      <w:r w:rsidRPr="008C33BD">
        <w:rPr>
          <w:rFonts w:ascii="Arial" w:hAnsi="Arial" w:cs="Arial"/>
          <w:sz w:val="24"/>
          <w:szCs w:val="24"/>
        </w:rPr>
        <w:t xml:space="preserve"> Cardiff: Estyn</w:t>
      </w:r>
    </w:p>
    <w:p w:rsidR="008C33BD" w:rsidRPr="008C33BD" w:rsidRDefault="008C33BD" w:rsidP="008C33BD">
      <w:pPr>
        <w:rPr>
          <w:rFonts w:ascii="Arial" w:hAnsi="Arial" w:cs="Arial"/>
          <w:color w:val="000000"/>
          <w:sz w:val="24"/>
          <w:szCs w:val="24"/>
          <w:shd w:val="clear" w:color="auto" w:fill="FFFFFF"/>
        </w:rPr>
      </w:pPr>
      <w:r w:rsidRPr="008C33BD">
        <w:rPr>
          <w:rFonts w:ascii="Arial" w:hAnsi="Arial" w:cs="Arial"/>
          <w:color w:val="000000"/>
          <w:sz w:val="24"/>
          <w:szCs w:val="24"/>
          <w:shd w:val="clear" w:color="auto" w:fill="FFFFFF"/>
        </w:rPr>
        <w:t>Gershon, M. (2015). </w:t>
      </w:r>
      <w:r w:rsidRPr="008C33BD">
        <w:rPr>
          <w:rFonts w:ascii="Arial" w:hAnsi="Arial" w:cs="Arial"/>
          <w:i/>
          <w:iCs/>
          <w:color w:val="000000"/>
          <w:sz w:val="24"/>
          <w:szCs w:val="24"/>
          <w:shd w:val="clear" w:color="auto" w:fill="FFFFFF"/>
        </w:rPr>
        <w:t>How to Use Bloom's Taxonomy in the Classroom</w:t>
      </w:r>
      <w:r w:rsidRPr="008C33BD">
        <w:rPr>
          <w:rFonts w:ascii="Arial" w:hAnsi="Arial" w:cs="Arial"/>
          <w:color w:val="000000"/>
          <w:sz w:val="24"/>
          <w:szCs w:val="24"/>
          <w:shd w:val="clear" w:color="auto" w:fill="FFFFFF"/>
        </w:rPr>
        <w:t>. CreateSpace Independent Publishing Platform.</w:t>
      </w:r>
    </w:p>
    <w:p w:rsidR="008C33BD" w:rsidRPr="008C33BD" w:rsidRDefault="008C33BD" w:rsidP="008C33BD">
      <w:pPr>
        <w:rPr>
          <w:rFonts w:ascii="Arial" w:hAnsi="Arial" w:cs="Arial"/>
          <w:sz w:val="24"/>
          <w:szCs w:val="24"/>
        </w:rPr>
      </w:pPr>
      <w:proofErr w:type="spellStart"/>
      <w:proofErr w:type="gramStart"/>
      <w:r w:rsidRPr="008C33BD">
        <w:rPr>
          <w:rFonts w:ascii="Arial" w:hAnsi="Arial" w:cs="Arial"/>
          <w:sz w:val="24"/>
          <w:szCs w:val="24"/>
        </w:rPr>
        <w:t>Grigg,R</w:t>
      </w:r>
      <w:proofErr w:type="spellEnd"/>
      <w:r w:rsidRPr="008C33BD">
        <w:rPr>
          <w:rFonts w:ascii="Arial" w:hAnsi="Arial" w:cs="Arial"/>
          <w:sz w:val="24"/>
          <w:szCs w:val="24"/>
        </w:rPr>
        <w:t>.</w:t>
      </w:r>
      <w:proofErr w:type="gramEnd"/>
      <w:r w:rsidRPr="008C33BD">
        <w:rPr>
          <w:rFonts w:ascii="Arial" w:hAnsi="Arial" w:cs="Arial"/>
          <w:sz w:val="24"/>
          <w:szCs w:val="24"/>
        </w:rPr>
        <w:t xml:space="preserve"> (2010) Becoming an Outstanding Primary School Teacher, Harlow: Pearson.</w:t>
      </w:r>
    </w:p>
    <w:p w:rsidR="008C33BD" w:rsidRPr="008C33BD" w:rsidRDefault="008C33BD" w:rsidP="008C33BD">
      <w:pPr>
        <w:rPr>
          <w:rFonts w:ascii="Arial" w:hAnsi="Arial" w:cs="Arial"/>
          <w:color w:val="000000"/>
          <w:sz w:val="24"/>
          <w:szCs w:val="24"/>
          <w:shd w:val="clear" w:color="auto" w:fill="FFFFFF"/>
        </w:rPr>
      </w:pPr>
      <w:r w:rsidRPr="008C33BD">
        <w:rPr>
          <w:rFonts w:ascii="Arial" w:hAnsi="Arial" w:cs="Arial"/>
          <w:color w:val="000000"/>
          <w:sz w:val="24"/>
          <w:szCs w:val="24"/>
        </w:rPr>
        <w:t xml:space="preserve">Hattie, J. (2012). </w:t>
      </w:r>
      <w:proofErr w:type="spellStart"/>
      <w:r w:rsidRPr="008C33BD">
        <w:rPr>
          <w:rFonts w:ascii="Arial" w:hAnsi="Arial" w:cs="Arial"/>
          <w:i/>
          <w:iCs/>
          <w:color w:val="000000"/>
          <w:sz w:val="24"/>
          <w:szCs w:val="24"/>
        </w:rPr>
        <w:t>Visable</w:t>
      </w:r>
      <w:proofErr w:type="spellEnd"/>
      <w:r w:rsidRPr="008C33BD">
        <w:rPr>
          <w:rFonts w:ascii="Arial" w:hAnsi="Arial" w:cs="Arial"/>
          <w:i/>
          <w:iCs/>
          <w:color w:val="000000"/>
          <w:sz w:val="24"/>
          <w:szCs w:val="24"/>
        </w:rPr>
        <w:t xml:space="preserve"> Learning for Teachers: Maximising impact on learning</w:t>
      </w:r>
      <w:r w:rsidRPr="008C33BD">
        <w:rPr>
          <w:rFonts w:ascii="Arial" w:hAnsi="Arial" w:cs="Arial"/>
          <w:color w:val="000000"/>
          <w:sz w:val="24"/>
          <w:szCs w:val="24"/>
        </w:rPr>
        <w:t>. Oxon: Routledge, pp.25-38.</w:t>
      </w:r>
    </w:p>
    <w:p w:rsidR="008C33BD" w:rsidRPr="008C33BD" w:rsidRDefault="008C33BD" w:rsidP="008C33BD">
      <w:pPr>
        <w:rPr>
          <w:rFonts w:ascii="Arial" w:hAnsi="Arial" w:cs="Arial"/>
          <w:color w:val="000000"/>
          <w:sz w:val="24"/>
          <w:szCs w:val="24"/>
          <w:shd w:val="clear" w:color="auto" w:fill="FFFFFF"/>
        </w:rPr>
      </w:pPr>
      <w:proofErr w:type="spellStart"/>
      <w:r w:rsidRPr="008C33BD">
        <w:rPr>
          <w:rFonts w:ascii="Arial" w:hAnsi="Arial" w:cs="Arial"/>
          <w:color w:val="000000"/>
          <w:sz w:val="24"/>
          <w:szCs w:val="24"/>
          <w:shd w:val="clear" w:color="auto" w:fill="FFFFFF"/>
        </w:rPr>
        <w:t>Kleickmann</w:t>
      </w:r>
      <w:proofErr w:type="spellEnd"/>
      <w:r w:rsidRPr="008C33BD">
        <w:rPr>
          <w:rFonts w:ascii="Arial" w:hAnsi="Arial" w:cs="Arial"/>
          <w:color w:val="000000"/>
          <w:sz w:val="24"/>
          <w:szCs w:val="24"/>
          <w:shd w:val="clear" w:color="auto" w:fill="FFFFFF"/>
        </w:rPr>
        <w:t xml:space="preserve">, T., Richter, D., </w:t>
      </w:r>
      <w:proofErr w:type="spellStart"/>
      <w:r w:rsidRPr="008C33BD">
        <w:rPr>
          <w:rFonts w:ascii="Arial" w:hAnsi="Arial" w:cs="Arial"/>
          <w:color w:val="000000"/>
          <w:sz w:val="24"/>
          <w:szCs w:val="24"/>
          <w:shd w:val="clear" w:color="auto" w:fill="FFFFFF"/>
        </w:rPr>
        <w:t>Kunter</w:t>
      </w:r>
      <w:proofErr w:type="spellEnd"/>
      <w:r w:rsidRPr="008C33BD">
        <w:rPr>
          <w:rFonts w:ascii="Arial" w:hAnsi="Arial" w:cs="Arial"/>
          <w:color w:val="000000"/>
          <w:sz w:val="24"/>
          <w:szCs w:val="24"/>
          <w:shd w:val="clear" w:color="auto" w:fill="FFFFFF"/>
        </w:rPr>
        <w:t>, M., Elsner, J., Besser, M., Krauss, S. and Baumert, J. (2013). Teachers’ Content Knowledge and Pedagogical Content Knowledge. </w:t>
      </w:r>
      <w:r w:rsidRPr="008C33BD">
        <w:rPr>
          <w:rFonts w:ascii="Arial" w:hAnsi="Arial" w:cs="Arial"/>
          <w:i/>
          <w:iCs/>
          <w:color w:val="000000"/>
          <w:sz w:val="24"/>
          <w:szCs w:val="24"/>
          <w:shd w:val="clear" w:color="auto" w:fill="FFFFFF"/>
        </w:rPr>
        <w:t>Journal of Teacher Education</w:t>
      </w:r>
      <w:r w:rsidRPr="008C33BD">
        <w:rPr>
          <w:rFonts w:ascii="Arial" w:hAnsi="Arial" w:cs="Arial"/>
          <w:color w:val="000000"/>
          <w:sz w:val="24"/>
          <w:szCs w:val="24"/>
          <w:shd w:val="clear" w:color="auto" w:fill="FFFFFF"/>
        </w:rPr>
        <w:t>, 64(1), pp.90-106.</w:t>
      </w:r>
    </w:p>
    <w:p w:rsidR="008C33BD" w:rsidRPr="008C33BD" w:rsidRDefault="008C33BD" w:rsidP="008C33BD">
      <w:pPr>
        <w:rPr>
          <w:rFonts w:ascii="Arial" w:hAnsi="Arial" w:cs="Arial"/>
          <w:sz w:val="24"/>
          <w:szCs w:val="24"/>
        </w:rPr>
      </w:pPr>
      <w:r w:rsidRPr="008C33BD">
        <w:rPr>
          <w:rFonts w:ascii="Arial" w:hAnsi="Arial" w:cs="Arial"/>
          <w:sz w:val="24"/>
          <w:szCs w:val="24"/>
        </w:rPr>
        <w:lastRenderedPageBreak/>
        <w:t xml:space="preserve">Loewenberg Ball, Deborah &amp; Hoover Thames, Mark &amp; Phelps, Geoffrey. (2008). Content Knowledge for Teaching What Makes It </w:t>
      </w:r>
      <w:proofErr w:type="gramStart"/>
      <w:r w:rsidRPr="008C33BD">
        <w:rPr>
          <w:rFonts w:ascii="Arial" w:hAnsi="Arial" w:cs="Arial"/>
          <w:sz w:val="24"/>
          <w:szCs w:val="24"/>
        </w:rPr>
        <w:t>Special?.</w:t>
      </w:r>
      <w:proofErr w:type="gramEnd"/>
      <w:r w:rsidRPr="008C33BD">
        <w:rPr>
          <w:rFonts w:ascii="Arial" w:hAnsi="Arial" w:cs="Arial"/>
          <w:sz w:val="24"/>
          <w:szCs w:val="24"/>
        </w:rPr>
        <w:t xml:space="preserve"> Journal of Teacher Education. 59. 10.1177/0022487108324554.  </w:t>
      </w:r>
    </w:p>
    <w:p w:rsidR="008C33BD" w:rsidRPr="008C33BD" w:rsidRDefault="008C33BD" w:rsidP="008C33BD">
      <w:pPr>
        <w:rPr>
          <w:rFonts w:ascii="Arial" w:hAnsi="Arial" w:cs="Arial"/>
          <w:sz w:val="24"/>
          <w:szCs w:val="24"/>
        </w:rPr>
      </w:pPr>
      <w:r w:rsidRPr="008C33BD">
        <w:rPr>
          <w:rFonts w:ascii="Arial" w:hAnsi="Arial" w:cs="Arial"/>
          <w:sz w:val="24"/>
          <w:szCs w:val="24"/>
        </w:rPr>
        <w:t xml:space="preserve">McLaughlin, H.J. and </w:t>
      </w:r>
      <w:proofErr w:type="spellStart"/>
      <w:r w:rsidRPr="008C33BD">
        <w:rPr>
          <w:rFonts w:ascii="Arial" w:hAnsi="Arial" w:cs="Arial"/>
          <w:sz w:val="24"/>
          <w:szCs w:val="24"/>
        </w:rPr>
        <w:t>Burnaford</w:t>
      </w:r>
      <w:proofErr w:type="spellEnd"/>
      <w:r w:rsidRPr="008C33BD">
        <w:rPr>
          <w:rFonts w:ascii="Arial" w:hAnsi="Arial" w:cs="Arial"/>
          <w:sz w:val="24"/>
          <w:szCs w:val="24"/>
        </w:rPr>
        <w:t xml:space="preserve">, G. (2007). </w:t>
      </w:r>
      <w:proofErr w:type="gramStart"/>
      <w:r w:rsidRPr="008C33BD">
        <w:rPr>
          <w:rFonts w:ascii="Arial" w:hAnsi="Arial" w:cs="Arial"/>
          <w:sz w:val="24"/>
          <w:szCs w:val="24"/>
        </w:rPr>
        <w:t>;Re</w:t>
      </w:r>
      <w:proofErr w:type="gramEnd"/>
      <w:r w:rsidRPr="008C33BD">
        <w:rPr>
          <w:rFonts w:ascii="Arial" w:hAnsi="Arial" w:cs="Arial"/>
          <w:sz w:val="24"/>
          <w:szCs w:val="24"/>
        </w:rPr>
        <w:t xml:space="preserve">-thinking the basis for “high quality” teaching: Teacher preparation in communities’, in Townsend, T. and Bates, R. (eds), </w:t>
      </w:r>
      <w:r w:rsidRPr="008C33BD">
        <w:rPr>
          <w:rFonts w:ascii="Arial" w:hAnsi="Arial" w:cs="Arial"/>
          <w:i/>
          <w:sz w:val="24"/>
          <w:szCs w:val="24"/>
        </w:rPr>
        <w:t xml:space="preserve">Handbook of Teacher Education, </w:t>
      </w:r>
      <w:r w:rsidRPr="008C33BD">
        <w:rPr>
          <w:rFonts w:ascii="Arial" w:hAnsi="Arial" w:cs="Arial"/>
          <w:sz w:val="24"/>
          <w:szCs w:val="24"/>
        </w:rPr>
        <w:t xml:space="preserve">New York: Springer, 331-42. </w:t>
      </w:r>
    </w:p>
    <w:p w:rsidR="008C33BD" w:rsidRPr="008C33BD" w:rsidRDefault="008C33BD" w:rsidP="008C33BD">
      <w:pPr>
        <w:rPr>
          <w:rFonts w:ascii="Arial" w:hAnsi="Arial" w:cs="Arial"/>
          <w:sz w:val="24"/>
          <w:szCs w:val="24"/>
        </w:rPr>
      </w:pPr>
      <w:r w:rsidRPr="008C33BD">
        <w:rPr>
          <w:rFonts w:ascii="Arial" w:hAnsi="Arial" w:cs="Arial"/>
          <w:sz w:val="24"/>
          <w:szCs w:val="24"/>
        </w:rPr>
        <w:t xml:space="preserve">Park, </w:t>
      </w:r>
      <w:proofErr w:type="spellStart"/>
      <w:r w:rsidRPr="008C33BD">
        <w:rPr>
          <w:rFonts w:ascii="Arial" w:hAnsi="Arial" w:cs="Arial"/>
          <w:sz w:val="24"/>
          <w:szCs w:val="24"/>
        </w:rPr>
        <w:t>Soonhye</w:t>
      </w:r>
      <w:proofErr w:type="spellEnd"/>
      <w:r w:rsidRPr="008C33BD">
        <w:rPr>
          <w:rFonts w:ascii="Arial" w:hAnsi="Arial" w:cs="Arial"/>
          <w:sz w:val="24"/>
          <w:szCs w:val="24"/>
        </w:rPr>
        <w:t xml:space="preserve"> &amp; Oliver, J. (2008). Revisiting the Conceptualisation of Pedagogical Content Knowledge (PCK): PCK as a Conceptual Tool to Understand Teachers as Professionals. Research in Science Education. 38. 261-284.</w:t>
      </w:r>
    </w:p>
    <w:p w:rsidR="008C33BD" w:rsidRPr="008C33BD" w:rsidRDefault="008C33BD" w:rsidP="008C33BD">
      <w:pPr>
        <w:rPr>
          <w:rFonts w:ascii="Arial" w:hAnsi="Arial" w:cs="Arial"/>
          <w:sz w:val="24"/>
          <w:szCs w:val="24"/>
        </w:rPr>
      </w:pPr>
      <w:r w:rsidRPr="008C33BD">
        <w:rPr>
          <w:rFonts w:ascii="Arial" w:hAnsi="Arial" w:cs="Arial"/>
          <w:sz w:val="24"/>
          <w:szCs w:val="24"/>
        </w:rPr>
        <w:t xml:space="preserve">Rowland, T., </w:t>
      </w:r>
      <w:proofErr w:type="spellStart"/>
      <w:r w:rsidRPr="008C33BD">
        <w:rPr>
          <w:rFonts w:ascii="Arial" w:hAnsi="Arial" w:cs="Arial"/>
          <w:sz w:val="24"/>
          <w:szCs w:val="24"/>
        </w:rPr>
        <w:t>Huckstep</w:t>
      </w:r>
      <w:proofErr w:type="spellEnd"/>
      <w:r w:rsidRPr="008C33BD">
        <w:rPr>
          <w:rFonts w:ascii="Arial" w:hAnsi="Arial" w:cs="Arial"/>
          <w:sz w:val="24"/>
          <w:szCs w:val="24"/>
        </w:rPr>
        <w:t>, P. And Thwaites, A. (2003) The Knowledge Quartet in Williams, J. (Ed) Proceedings of the British Society for Research into Learning</w:t>
      </w:r>
    </w:p>
    <w:p w:rsidR="008C33BD" w:rsidRPr="008C33BD" w:rsidRDefault="008C33BD" w:rsidP="008C33BD">
      <w:pPr>
        <w:rPr>
          <w:rFonts w:ascii="Arial" w:hAnsi="Arial" w:cs="Arial"/>
          <w:sz w:val="24"/>
          <w:szCs w:val="24"/>
        </w:rPr>
      </w:pPr>
      <w:r w:rsidRPr="008C33BD">
        <w:rPr>
          <w:rFonts w:ascii="Arial" w:hAnsi="Arial" w:cs="Arial"/>
          <w:sz w:val="24"/>
          <w:szCs w:val="24"/>
        </w:rPr>
        <w:t xml:space="preserve">Shulman, L. S. (1987) Knowledge and teaching: Foundations of the new </w:t>
      </w:r>
      <w:proofErr w:type="spellStart"/>
      <w:proofErr w:type="gramStart"/>
      <w:r w:rsidRPr="008C33BD">
        <w:rPr>
          <w:rFonts w:ascii="Arial" w:hAnsi="Arial" w:cs="Arial"/>
          <w:sz w:val="24"/>
          <w:szCs w:val="24"/>
        </w:rPr>
        <w:t>reform,Harvard</w:t>
      </w:r>
      <w:proofErr w:type="spellEnd"/>
      <w:proofErr w:type="gramEnd"/>
      <w:r w:rsidRPr="008C33BD">
        <w:rPr>
          <w:rFonts w:ascii="Arial" w:hAnsi="Arial" w:cs="Arial"/>
          <w:sz w:val="24"/>
          <w:szCs w:val="24"/>
        </w:rPr>
        <w:t xml:space="preserve"> Educational Review, 57(1): pp. 1-22.</w:t>
      </w:r>
    </w:p>
    <w:p w:rsidR="008C33BD" w:rsidRPr="008C33BD" w:rsidRDefault="008C33BD" w:rsidP="008C33BD">
      <w:pPr>
        <w:rPr>
          <w:rFonts w:ascii="Arial" w:hAnsi="Arial" w:cs="Arial"/>
          <w:sz w:val="24"/>
          <w:szCs w:val="24"/>
        </w:rPr>
      </w:pPr>
      <w:r w:rsidRPr="008C33BD">
        <w:rPr>
          <w:rFonts w:ascii="Arial" w:hAnsi="Arial" w:cs="Arial"/>
          <w:sz w:val="24"/>
          <w:szCs w:val="24"/>
        </w:rPr>
        <w:t xml:space="preserve">Stones, E. (1992) </w:t>
      </w:r>
      <w:r w:rsidRPr="008C33BD">
        <w:rPr>
          <w:rFonts w:ascii="Arial" w:hAnsi="Arial" w:cs="Arial"/>
          <w:i/>
          <w:sz w:val="24"/>
          <w:szCs w:val="24"/>
        </w:rPr>
        <w:t xml:space="preserve">Quality Teaching, </w:t>
      </w:r>
      <w:r w:rsidRPr="008C33BD">
        <w:rPr>
          <w:rFonts w:ascii="Arial" w:hAnsi="Arial" w:cs="Arial"/>
          <w:sz w:val="24"/>
          <w:szCs w:val="24"/>
        </w:rPr>
        <w:t>London: Routledge.</w:t>
      </w:r>
    </w:p>
    <w:p w:rsidR="008C33BD" w:rsidRPr="008C33BD" w:rsidRDefault="008C33BD" w:rsidP="008C33BD">
      <w:pPr>
        <w:rPr>
          <w:rFonts w:ascii="Arial" w:hAnsi="Arial" w:cs="Arial"/>
          <w:sz w:val="24"/>
          <w:szCs w:val="24"/>
        </w:rPr>
      </w:pPr>
      <w:r w:rsidRPr="008C33BD">
        <w:rPr>
          <w:rFonts w:ascii="Arial" w:hAnsi="Arial" w:cs="Arial"/>
          <w:sz w:val="24"/>
          <w:szCs w:val="24"/>
        </w:rPr>
        <w:t xml:space="preserve">Turner-Bisset, R. (2001) </w:t>
      </w:r>
      <w:r w:rsidRPr="008C33BD">
        <w:rPr>
          <w:rFonts w:ascii="Arial" w:hAnsi="Arial" w:cs="Arial"/>
          <w:i/>
          <w:sz w:val="24"/>
          <w:szCs w:val="24"/>
        </w:rPr>
        <w:t xml:space="preserve">Expert Teaching: Knowledge and Pedagogy to Lead the Profession, </w:t>
      </w:r>
      <w:r w:rsidRPr="008C33BD">
        <w:rPr>
          <w:rFonts w:ascii="Arial" w:hAnsi="Arial" w:cs="Arial"/>
          <w:sz w:val="24"/>
          <w:szCs w:val="24"/>
        </w:rPr>
        <w:t xml:space="preserve">London: David Fulton. </w:t>
      </w:r>
    </w:p>
    <w:p w:rsidR="008C33BD" w:rsidRPr="008C33BD" w:rsidRDefault="008C33BD" w:rsidP="008C33BD">
      <w:pPr>
        <w:rPr>
          <w:rFonts w:ascii="Arial" w:hAnsi="Arial" w:cs="Arial"/>
          <w:sz w:val="24"/>
          <w:szCs w:val="24"/>
        </w:rPr>
      </w:pPr>
      <w:r w:rsidRPr="008C33BD">
        <w:rPr>
          <w:rFonts w:ascii="Arial" w:hAnsi="Arial" w:cs="Arial"/>
          <w:sz w:val="24"/>
          <w:szCs w:val="24"/>
        </w:rPr>
        <w:t xml:space="preserve">  Valli, L. and Tom, A. R. (1988) ‘How Adequate are the Knowledge Base Frameworks in Teacher Education?’, Journal of Teacher Education, 39(5), pp. 5–12. </w:t>
      </w:r>
      <w:proofErr w:type="spellStart"/>
      <w:r w:rsidRPr="008C33BD">
        <w:rPr>
          <w:rFonts w:ascii="Arial" w:hAnsi="Arial" w:cs="Arial"/>
          <w:sz w:val="24"/>
          <w:szCs w:val="24"/>
        </w:rPr>
        <w:t>doi</w:t>
      </w:r>
      <w:proofErr w:type="spellEnd"/>
      <w:r w:rsidRPr="008C33BD">
        <w:rPr>
          <w:rFonts w:ascii="Arial" w:hAnsi="Arial" w:cs="Arial"/>
          <w:sz w:val="24"/>
          <w:szCs w:val="24"/>
        </w:rPr>
        <w:t>: 10.1177/002248718803900503.</w:t>
      </w:r>
    </w:p>
    <w:p w:rsidR="008C33BD" w:rsidRPr="008C33BD" w:rsidRDefault="008C33BD" w:rsidP="008C33BD">
      <w:pPr>
        <w:rPr>
          <w:rFonts w:ascii="Arial" w:hAnsi="Arial" w:cs="Arial"/>
          <w:sz w:val="24"/>
          <w:szCs w:val="24"/>
        </w:rPr>
      </w:pPr>
      <w:r w:rsidRPr="008C33BD">
        <w:rPr>
          <w:rFonts w:ascii="Arial" w:hAnsi="Arial" w:cs="Arial"/>
          <w:sz w:val="24"/>
          <w:szCs w:val="24"/>
        </w:rPr>
        <w:lastRenderedPageBreak/>
        <w:t>Woolfolk-Hoy, A &amp; Weinstein, C. (2006). Student and teacher perspectives on classroom management. Handbook of Classroom Management: Research, practice and contemporary issues. 181-219.</w:t>
      </w:r>
    </w:p>
    <w:bookmarkEnd w:id="0"/>
    <w:p w:rsidR="006C4CBF" w:rsidRPr="008C33BD" w:rsidRDefault="006C4CBF" w:rsidP="0016039C">
      <w:pPr>
        <w:jc w:val="both"/>
        <w:rPr>
          <w:rFonts w:ascii="Arial" w:hAnsi="Arial" w:cs="Arial"/>
          <w:sz w:val="24"/>
          <w:szCs w:val="24"/>
        </w:rPr>
      </w:pPr>
    </w:p>
    <w:sectPr w:rsidR="006C4CBF" w:rsidRPr="008C33B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7523" w:rsidRDefault="00C27523" w:rsidP="00166916">
      <w:pPr>
        <w:spacing w:after="0" w:line="240" w:lineRule="auto"/>
      </w:pPr>
      <w:r>
        <w:separator/>
      </w:r>
    </w:p>
  </w:endnote>
  <w:endnote w:type="continuationSeparator" w:id="0">
    <w:p w:rsidR="00C27523" w:rsidRDefault="00C27523" w:rsidP="00166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7523" w:rsidRDefault="00C27523" w:rsidP="00166916">
      <w:pPr>
        <w:spacing w:after="0" w:line="240" w:lineRule="auto"/>
      </w:pPr>
      <w:r>
        <w:separator/>
      </w:r>
    </w:p>
  </w:footnote>
  <w:footnote w:type="continuationSeparator" w:id="0">
    <w:p w:rsidR="00C27523" w:rsidRDefault="00C27523" w:rsidP="00166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645C" w:rsidRDefault="00D4645C" w:rsidP="00D4645C">
    <w:pPr>
      <w:jc w:val="right"/>
    </w:pPr>
    <w:r>
      <w:t>1803251</w:t>
    </w:r>
  </w:p>
  <w:p w:rsidR="00166916" w:rsidRPr="00D4645C" w:rsidRDefault="00166916" w:rsidP="00166916">
    <w:pPr>
      <w:jc w:val="both"/>
    </w:pPr>
    <w:r w:rsidRPr="00D4645C">
      <w:t xml:space="preserve">A critical analysis of the relationship between teacher subject knowledge and effective learning and teaching in the primary school. </w:t>
    </w:r>
  </w:p>
  <w:p w:rsidR="00166916" w:rsidRPr="00D4645C" w:rsidRDefault="001669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42792"/>
    <w:multiLevelType w:val="hybridMultilevel"/>
    <w:tmpl w:val="08F2B13A"/>
    <w:lvl w:ilvl="0" w:tplc="2B8AC28C">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21490"/>
    <w:multiLevelType w:val="multilevel"/>
    <w:tmpl w:val="273EC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F77"/>
    <w:rsid w:val="00014317"/>
    <w:rsid w:val="00027E28"/>
    <w:rsid w:val="000852D7"/>
    <w:rsid w:val="000C58A2"/>
    <w:rsid w:val="000D06B7"/>
    <w:rsid w:val="000D61A7"/>
    <w:rsid w:val="000E2599"/>
    <w:rsid w:val="00124E3D"/>
    <w:rsid w:val="00127AB0"/>
    <w:rsid w:val="0016039C"/>
    <w:rsid w:val="00166916"/>
    <w:rsid w:val="00194800"/>
    <w:rsid w:val="001A0900"/>
    <w:rsid w:val="001A40E8"/>
    <w:rsid w:val="001C3BAA"/>
    <w:rsid w:val="001C59A3"/>
    <w:rsid w:val="001D0DD2"/>
    <w:rsid w:val="001E6ED4"/>
    <w:rsid w:val="001E72EA"/>
    <w:rsid w:val="001F3F60"/>
    <w:rsid w:val="0024124A"/>
    <w:rsid w:val="00247B6F"/>
    <w:rsid w:val="00264AD4"/>
    <w:rsid w:val="00273A5C"/>
    <w:rsid w:val="002912B0"/>
    <w:rsid w:val="002A2FD9"/>
    <w:rsid w:val="00330106"/>
    <w:rsid w:val="00355B06"/>
    <w:rsid w:val="00365069"/>
    <w:rsid w:val="003A462A"/>
    <w:rsid w:val="003B0090"/>
    <w:rsid w:val="003E08D4"/>
    <w:rsid w:val="00447F97"/>
    <w:rsid w:val="0046530D"/>
    <w:rsid w:val="0047322C"/>
    <w:rsid w:val="004B3758"/>
    <w:rsid w:val="004C1C0C"/>
    <w:rsid w:val="004E2EFE"/>
    <w:rsid w:val="004F0B30"/>
    <w:rsid w:val="004F5EA3"/>
    <w:rsid w:val="005131D9"/>
    <w:rsid w:val="00520DC3"/>
    <w:rsid w:val="00546FD0"/>
    <w:rsid w:val="005640CD"/>
    <w:rsid w:val="005F4C65"/>
    <w:rsid w:val="00622557"/>
    <w:rsid w:val="006501E9"/>
    <w:rsid w:val="006C3A6F"/>
    <w:rsid w:val="006C4CBF"/>
    <w:rsid w:val="006D69F4"/>
    <w:rsid w:val="0070257B"/>
    <w:rsid w:val="0073754D"/>
    <w:rsid w:val="0074527C"/>
    <w:rsid w:val="0075428D"/>
    <w:rsid w:val="00757831"/>
    <w:rsid w:val="007644FA"/>
    <w:rsid w:val="007A04C4"/>
    <w:rsid w:val="007A162B"/>
    <w:rsid w:val="007A6881"/>
    <w:rsid w:val="007C3A8D"/>
    <w:rsid w:val="007D2D59"/>
    <w:rsid w:val="007E039F"/>
    <w:rsid w:val="00817BF8"/>
    <w:rsid w:val="00835F51"/>
    <w:rsid w:val="00836139"/>
    <w:rsid w:val="00843FC8"/>
    <w:rsid w:val="0085090A"/>
    <w:rsid w:val="008523F5"/>
    <w:rsid w:val="00882C83"/>
    <w:rsid w:val="008C33BD"/>
    <w:rsid w:val="00900F60"/>
    <w:rsid w:val="00922761"/>
    <w:rsid w:val="009614DB"/>
    <w:rsid w:val="00970C46"/>
    <w:rsid w:val="00981F86"/>
    <w:rsid w:val="0098782C"/>
    <w:rsid w:val="00992575"/>
    <w:rsid w:val="009B7EF7"/>
    <w:rsid w:val="009D28AA"/>
    <w:rsid w:val="00A40585"/>
    <w:rsid w:val="00A62883"/>
    <w:rsid w:val="00A65069"/>
    <w:rsid w:val="00A70876"/>
    <w:rsid w:val="00A752BB"/>
    <w:rsid w:val="00A813D9"/>
    <w:rsid w:val="00AA5641"/>
    <w:rsid w:val="00AC7760"/>
    <w:rsid w:val="00B05517"/>
    <w:rsid w:val="00B4232B"/>
    <w:rsid w:val="00B47F8C"/>
    <w:rsid w:val="00BA28FE"/>
    <w:rsid w:val="00BB26DB"/>
    <w:rsid w:val="00BB33FB"/>
    <w:rsid w:val="00BB5C7B"/>
    <w:rsid w:val="00BE3B3B"/>
    <w:rsid w:val="00C0155B"/>
    <w:rsid w:val="00C26637"/>
    <w:rsid w:val="00C27523"/>
    <w:rsid w:val="00C506AD"/>
    <w:rsid w:val="00C60453"/>
    <w:rsid w:val="00C915C2"/>
    <w:rsid w:val="00CC2D2E"/>
    <w:rsid w:val="00CD6DC9"/>
    <w:rsid w:val="00D028CA"/>
    <w:rsid w:val="00D07DEE"/>
    <w:rsid w:val="00D11890"/>
    <w:rsid w:val="00D4645C"/>
    <w:rsid w:val="00D76868"/>
    <w:rsid w:val="00DE71A4"/>
    <w:rsid w:val="00E02EC1"/>
    <w:rsid w:val="00E24991"/>
    <w:rsid w:val="00E64448"/>
    <w:rsid w:val="00E76A3F"/>
    <w:rsid w:val="00ED3C21"/>
    <w:rsid w:val="00F01642"/>
    <w:rsid w:val="00F20340"/>
    <w:rsid w:val="00F2185C"/>
    <w:rsid w:val="00F4502F"/>
    <w:rsid w:val="00F56EFC"/>
    <w:rsid w:val="00F766DE"/>
    <w:rsid w:val="00F91B1D"/>
    <w:rsid w:val="00FA3485"/>
    <w:rsid w:val="00FB0B1A"/>
    <w:rsid w:val="00FF1F77"/>
    <w:rsid w:val="00FF3C86"/>
    <w:rsid w:val="00FF6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9ACE2"/>
  <w15:chartTrackingRefBased/>
  <w15:docId w15:val="{E27AC166-3DFC-4658-9DE8-562294892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1F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1F77"/>
    <w:pPr>
      <w:ind w:left="720"/>
      <w:contextualSpacing/>
    </w:pPr>
  </w:style>
  <w:style w:type="paragraph" w:styleId="Header">
    <w:name w:val="header"/>
    <w:basedOn w:val="Normal"/>
    <w:link w:val="HeaderChar"/>
    <w:uiPriority w:val="99"/>
    <w:unhideWhenUsed/>
    <w:rsid w:val="00166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916"/>
  </w:style>
  <w:style w:type="paragraph" w:styleId="Footer">
    <w:name w:val="footer"/>
    <w:basedOn w:val="Normal"/>
    <w:link w:val="FooterChar"/>
    <w:uiPriority w:val="99"/>
    <w:unhideWhenUsed/>
    <w:rsid w:val="00166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916"/>
  </w:style>
  <w:style w:type="character" w:styleId="Hyperlink">
    <w:name w:val="Hyperlink"/>
    <w:basedOn w:val="DefaultParagraphFont"/>
    <w:uiPriority w:val="99"/>
    <w:unhideWhenUsed/>
    <w:rsid w:val="008C33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6922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educationandskills/schoolshome/curriculum-for-walescurriculum-for-life/why-we-are-changing/successful-futures/?lang=en" TargetMode="External"/><Relationship Id="rId3" Type="http://schemas.openxmlformats.org/officeDocument/2006/relationships/settings" Target="settings.xml"/><Relationship Id="rId7" Type="http://schemas.openxmlformats.org/officeDocument/2006/relationships/hyperlink" Target="http://www.suttontrust.com/researcharchive/great-teach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3208</TotalTime>
  <Pages>18</Pages>
  <Words>4042</Words>
  <Characters>23044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Oglina (1803251)</dc:creator>
  <cp:keywords/>
  <dc:description/>
  <cp:lastModifiedBy>Rebecca Oglina (1803251)</cp:lastModifiedBy>
  <cp:revision>27</cp:revision>
  <dcterms:created xsi:type="dcterms:W3CDTF">2019-01-09T11:59:00Z</dcterms:created>
  <dcterms:modified xsi:type="dcterms:W3CDTF">2019-01-11T19:50:00Z</dcterms:modified>
</cp:coreProperties>
</file>