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0C2C4B" w:rsidRDefault="00EA45E0" w14:paraId="5F4A5C7C" w14:textId="77777777">
      <w:pPr>
        <w:spacing w:after="0" w:line="259" w:lineRule="auto"/>
        <w:ind w:left="-738" w:right="-730" w:firstLine="0"/>
        <w:jc w:val="left"/>
      </w:pPr>
      <w:r>
        <w:rPr>
          <w:rFonts w:ascii="Calibri" w:hAnsi="Calibri" w:eastAsia="Calibri" w:cs="Calibri"/>
          <w:noProof/>
          <w:sz w:val="22"/>
        </w:rPr>
        <mc:AlternateContent>
          <mc:Choice Requires="wpg">
            <w:drawing>
              <wp:inline distT="0" distB="0" distL="0" distR="0" wp14:anchorId="4F84D3B4" wp14:editId="35BA8D30">
                <wp:extent cx="6668161" cy="9719310"/>
                <wp:effectExtent l="0" t="0" r="0" b="0"/>
                <wp:docPr id="6028" name="Group 6028"/>
                <wp:cNvGraphicFramePr/>
                <a:graphic xmlns:a="http://schemas.openxmlformats.org/drawingml/2006/main">
                  <a:graphicData uri="http://schemas.microsoft.com/office/word/2010/wordprocessingGroup">
                    <wpg:wgp>
                      <wpg:cNvGrpSpPr/>
                      <wpg:grpSpPr>
                        <a:xfrm>
                          <a:off x="0" y="0"/>
                          <a:ext cx="6668161" cy="9719310"/>
                          <a:chOff x="0" y="0"/>
                          <a:chExt cx="6668161" cy="9719310"/>
                        </a:xfrm>
                      </wpg:grpSpPr>
                      <wps:wsp>
                        <wps:cNvPr id="235" name="Rectangle 235"/>
                        <wps:cNvSpPr/>
                        <wps:spPr>
                          <a:xfrm>
                            <a:off x="468617" y="455422"/>
                            <a:ext cx="42144" cy="189937"/>
                          </a:xfrm>
                          <a:prstGeom prst="rect">
                            <a:avLst/>
                          </a:prstGeom>
                          <a:ln>
                            <a:noFill/>
                          </a:ln>
                        </wps:spPr>
                        <wps:txbx>
                          <w:txbxContent>
                            <w:p w:rsidR="000C2C4B" w:rsidRDefault="00EA45E0" w14:paraId="50C73A63" w14:textId="77777777">
                              <w:pPr>
                                <w:spacing w:after="11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s:wsp>
                        <wps:cNvPr id="236" name="Rectangle 236"/>
                        <wps:cNvSpPr/>
                        <wps:spPr>
                          <a:xfrm>
                            <a:off x="2297748" y="455422"/>
                            <a:ext cx="42144" cy="189937"/>
                          </a:xfrm>
                          <a:prstGeom prst="rect">
                            <a:avLst/>
                          </a:prstGeom>
                          <a:ln>
                            <a:noFill/>
                          </a:ln>
                        </wps:spPr>
                        <wps:txbx>
                          <w:txbxContent>
                            <w:p w:rsidR="000C2C4B" w:rsidRDefault="00EA45E0" w14:paraId="575BFA0D" w14:textId="77777777">
                              <w:pPr>
                                <w:spacing w:after="16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s:wsp>
                        <wps:cNvPr id="6449" name="Shape 6449"/>
                        <wps:cNvSpPr/>
                        <wps:spPr>
                          <a:xfrm>
                            <a:off x="222275" y="0"/>
                            <a:ext cx="6445885" cy="9719310"/>
                          </a:xfrm>
                          <a:custGeom>
                            <a:avLst/>
                            <a:gdLst/>
                            <a:ahLst/>
                            <a:cxnLst/>
                            <a:rect l="0" t="0" r="0" b="0"/>
                            <a:pathLst>
                              <a:path w="6445885" h="9719310">
                                <a:moveTo>
                                  <a:pt x="0" y="0"/>
                                </a:moveTo>
                                <a:lnTo>
                                  <a:pt x="6445885" y="0"/>
                                </a:lnTo>
                                <a:lnTo>
                                  <a:pt x="6445885" y="9719310"/>
                                </a:lnTo>
                                <a:lnTo>
                                  <a:pt x="0" y="971931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239" name="Picture 239"/>
                          <pic:cNvPicPr/>
                        </pic:nvPicPr>
                        <pic:blipFill>
                          <a:blip r:embed="rId5"/>
                          <a:stretch>
                            <a:fillRect/>
                          </a:stretch>
                        </pic:blipFill>
                        <pic:spPr>
                          <a:xfrm>
                            <a:off x="229045" y="920242"/>
                            <a:ext cx="6432804" cy="6141720"/>
                          </a:xfrm>
                          <a:prstGeom prst="rect">
                            <a:avLst/>
                          </a:prstGeom>
                        </pic:spPr>
                      </pic:pic>
                      <wps:wsp>
                        <wps:cNvPr id="240" name="Rectangle 240"/>
                        <wps:cNvSpPr/>
                        <wps:spPr>
                          <a:xfrm>
                            <a:off x="686549" y="6317615"/>
                            <a:ext cx="4829745" cy="412906"/>
                          </a:xfrm>
                          <a:prstGeom prst="rect">
                            <a:avLst/>
                          </a:prstGeom>
                          <a:ln>
                            <a:noFill/>
                          </a:ln>
                        </wps:spPr>
                        <wps:txbx>
                          <w:txbxContent>
                            <w:p w:rsidR="000C2C4B" w:rsidRDefault="00EA45E0" w14:paraId="28EC90F5" w14:textId="77777777">
                              <w:pPr>
                                <w:spacing w:after="160" w:line="259" w:lineRule="auto"/>
                                <w:ind w:left="0" w:right="0" w:firstLine="0"/>
                                <w:jc w:val="left"/>
                              </w:pPr>
                              <w:r>
                                <w:rPr>
                                  <w:rFonts w:ascii="Calibri" w:hAnsi="Calibri" w:eastAsia="Calibri" w:cs="Calibri"/>
                                  <w:color w:val="FFFFFF"/>
                                  <w:sz w:val="48"/>
                                </w:rPr>
                                <w:t>Essay: Employee Engagement</w:t>
                              </w:r>
                            </w:p>
                          </w:txbxContent>
                        </wps:txbx>
                        <wps:bodyPr horzOverflow="overflow" vert="horz" lIns="0" tIns="0" rIns="0" bIns="0" rtlCol="0">
                          <a:noAutofit/>
                        </wps:bodyPr>
                      </wps:wsp>
                      <wps:wsp>
                        <wps:cNvPr id="241" name="Rectangle 241"/>
                        <wps:cNvSpPr/>
                        <wps:spPr>
                          <a:xfrm>
                            <a:off x="4320350" y="6317615"/>
                            <a:ext cx="91617" cy="412906"/>
                          </a:xfrm>
                          <a:prstGeom prst="rect">
                            <a:avLst/>
                          </a:prstGeom>
                          <a:ln>
                            <a:noFill/>
                          </a:ln>
                        </wps:spPr>
                        <wps:txbx>
                          <w:txbxContent>
                            <w:p w:rsidR="000C2C4B" w:rsidRDefault="00EA45E0" w14:paraId="0CF52EAA" w14:textId="77777777">
                              <w:pPr>
                                <w:spacing w:after="160" w:line="259" w:lineRule="auto"/>
                                <w:ind w:left="0" w:right="0" w:firstLine="0"/>
                                <w:jc w:val="left"/>
                              </w:pPr>
                              <w:r>
                                <w:rPr>
                                  <w:rFonts w:ascii="Calibri" w:hAnsi="Calibri" w:eastAsia="Calibri" w:cs="Calibri"/>
                                  <w:color w:val="FFFFFF"/>
                                  <w:sz w:val="48"/>
                                </w:rPr>
                                <w:t xml:space="preserve"> </w:t>
                              </w:r>
                            </w:p>
                          </w:txbxContent>
                        </wps:txbx>
                        <wps:bodyPr horzOverflow="overflow" vert="horz" lIns="0" tIns="0" rIns="0" bIns="0" rtlCol="0">
                          <a:noAutofit/>
                        </wps:bodyPr>
                      </wps:wsp>
                      <wps:wsp>
                        <wps:cNvPr id="242" name="Rectangle 242"/>
                        <wps:cNvSpPr/>
                        <wps:spPr>
                          <a:xfrm>
                            <a:off x="686549" y="6663945"/>
                            <a:ext cx="4762440" cy="241549"/>
                          </a:xfrm>
                          <a:prstGeom prst="rect">
                            <a:avLst/>
                          </a:prstGeom>
                          <a:ln>
                            <a:noFill/>
                          </a:ln>
                        </wps:spPr>
                        <wps:txbx>
                          <w:txbxContent>
                            <w:p w:rsidR="000C2C4B" w:rsidRDefault="00EA45E0" w14:paraId="260D6FF8" w14:textId="77777777">
                              <w:pPr>
                                <w:spacing w:after="160" w:line="259" w:lineRule="auto"/>
                                <w:ind w:left="0" w:right="0" w:firstLine="0"/>
                                <w:jc w:val="left"/>
                              </w:pPr>
                              <w:r>
                                <w:rPr>
                                  <w:rFonts w:ascii="Calibri" w:hAnsi="Calibri" w:eastAsia="Calibri" w:cs="Calibri"/>
                                  <w:color w:val="FFFFFF"/>
                                  <w:sz w:val="28"/>
                                </w:rPr>
                                <w:t xml:space="preserve">Module: Personnel Resourcing and Development </w:t>
                              </w:r>
                            </w:p>
                          </w:txbxContent>
                        </wps:txbx>
                        <wps:bodyPr horzOverflow="overflow" vert="horz" lIns="0" tIns="0" rIns="0" bIns="0" rtlCol="0">
                          <a:noAutofit/>
                        </wps:bodyPr>
                      </wps:wsp>
                      <wps:wsp>
                        <wps:cNvPr id="243" name="Rectangle 243"/>
                        <wps:cNvSpPr/>
                        <wps:spPr>
                          <a:xfrm>
                            <a:off x="4267010" y="6663945"/>
                            <a:ext cx="53596" cy="241549"/>
                          </a:xfrm>
                          <a:prstGeom prst="rect">
                            <a:avLst/>
                          </a:prstGeom>
                          <a:ln>
                            <a:noFill/>
                          </a:ln>
                        </wps:spPr>
                        <wps:txbx>
                          <w:txbxContent>
                            <w:p w:rsidR="000C2C4B" w:rsidRDefault="00EA45E0" w14:paraId="01420F0F" w14:textId="77777777">
                              <w:pPr>
                                <w:spacing w:after="160" w:line="259" w:lineRule="auto"/>
                                <w:ind w:left="0" w:right="0" w:firstLine="0"/>
                                <w:jc w:val="left"/>
                              </w:pPr>
                              <w:r>
                                <w:rPr>
                                  <w:rFonts w:ascii="Calibri" w:hAnsi="Calibri" w:eastAsia="Calibri" w:cs="Calibri"/>
                                  <w:color w:val="FFFFFF"/>
                                  <w:sz w:val="28"/>
                                </w:rPr>
                                <w:t xml:space="preserve"> </w:t>
                              </w:r>
                            </w:p>
                          </w:txbxContent>
                        </wps:txbx>
                        <wps:bodyPr horzOverflow="overflow" vert="horz" lIns="0" tIns="0" rIns="0" bIns="0" rtlCol="0">
                          <a:noAutofit/>
                        </wps:bodyPr>
                      </wps:wsp>
                      <wps:wsp>
                        <wps:cNvPr id="244" name="Rectangle 244"/>
                        <wps:cNvSpPr/>
                        <wps:spPr>
                          <a:xfrm>
                            <a:off x="686549" y="6881876"/>
                            <a:ext cx="1628032" cy="241550"/>
                          </a:xfrm>
                          <a:prstGeom prst="rect">
                            <a:avLst/>
                          </a:prstGeom>
                          <a:ln>
                            <a:noFill/>
                          </a:ln>
                        </wps:spPr>
                        <wps:txbx>
                          <w:txbxContent>
                            <w:p w:rsidR="000C2C4B" w:rsidRDefault="00EA45E0" w14:paraId="188C9D04" w14:textId="77777777">
                              <w:pPr>
                                <w:spacing w:after="160" w:line="259" w:lineRule="auto"/>
                                <w:ind w:left="0" w:right="0" w:firstLine="0"/>
                                <w:jc w:val="left"/>
                              </w:pPr>
                              <w:r>
                                <w:rPr>
                                  <w:rFonts w:ascii="Calibri" w:hAnsi="Calibri" w:eastAsia="Calibri" w:cs="Calibri"/>
                                  <w:color w:val="FFFFFF"/>
                                  <w:sz w:val="28"/>
                                </w:rPr>
                                <w:t>Code: BMIH5005</w:t>
                              </w:r>
                            </w:p>
                          </w:txbxContent>
                        </wps:txbx>
                        <wps:bodyPr horzOverflow="overflow" vert="horz" lIns="0" tIns="0" rIns="0" bIns="0" rtlCol="0">
                          <a:noAutofit/>
                        </wps:bodyPr>
                      </wps:wsp>
                      <wps:wsp>
                        <wps:cNvPr id="245" name="Rectangle 245"/>
                        <wps:cNvSpPr/>
                        <wps:spPr>
                          <a:xfrm>
                            <a:off x="1910652" y="6881876"/>
                            <a:ext cx="53596" cy="241550"/>
                          </a:xfrm>
                          <a:prstGeom prst="rect">
                            <a:avLst/>
                          </a:prstGeom>
                          <a:ln>
                            <a:noFill/>
                          </a:ln>
                        </wps:spPr>
                        <wps:txbx>
                          <w:txbxContent>
                            <w:p w:rsidR="000C2C4B" w:rsidRDefault="00EA45E0" w14:paraId="26014A91" w14:textId="77777777">
                              <w:pPr>
                                <w:spacing w:after="160" w:line="259" w:lineRule="auto"/>
                                <w:ind w:left="0" w:right="0" w:firstLine="0"/>
                                <w:jc w:val="left"/>
                              </w:pPr>
                              <w:r>
                                <w:rPr>
                                  <w:rFonts w:ascii="Calibri" w:hAnsi="Calibri" w:eastAsia="Calibri" w:cs="Calibri"/>
                                  <w:color w:val="FFFFFF"/>
                                  <w:sz w:val="28"/>
                                </w:rPr>
                                <w:t xml:space="preserve"> </w:t>
                              </w:r>
                            </w:p>
                          </w:txbxContent>
                        </wps:txbx>
                        <wps:bodyPr horzOverflow="overflow" vert="horz" lIns="0" tIns="0" rIns="0" bIns="0" rtlCol="0">
                          <a:noAutofit/>
                        </wps:bodyPr>
                      </wps:wsp>
                      <wps:wsp>
                        <wps:cNvPr id="6450" name="Shape 6450"/>
                        <wps:cNvSpPr/>
                        <wps:spPr>
                          <a:xfrm>
                            <a:off x="0" y="0"/>
                            <a:ext cx="222275" cy="9719310"/>
                          </a:xfrm>
                          <a:custGeom>
                            <a:avLst/>
                            <a:gdLst/>
                            <a:ahLst/>
                            <a:cxnLst/>
                            <a:rect l="0" t="0" r="0" b="0"/>
                            <a:pathLst>
                              <a:path w="222275" h="9719310">
                                <a:moveTo>
                                  <a:pt x="0" y="0"/>
                                </a:moveTo>
                                <a:lnTo>
                                  <a:pt x="222275" y="0"/>
                                </a:lnTo>
                                <a:lnTo>
                                  <a:pt x="222275" y="9719310"/>
                                </a:lnTo>
                                <a:lnTo>
                                  <a:pt x="0" y="9719310"/>
                                </a:lnTo>
                                <a:lnTo>
                                  <a:pt x="0" y="0"/>
                                </a:lnTo>
                              </a:path>
                            </a:pathLst>
                          </a:custGeom>
                          <a:ln w="0" cap="flat">
                            <a:miter lim="127000"/>
                          </a:ln>
                        </wps:spPr>
                        <wps:style>
                          <a:lnRef idx="0">
                            <a:srgbClr val="000000">
                              <a:alpha val="0"/>
                            </a:srgbClr>
                          </a:lnRef>
                          <a:fillRef idx="1">
                            <a:srgbClr val="7F7F7F"/>
                          </a:fillRef>
                          <a:effectRef idx="0">
                            <a:scrgbClr r="0" g="0" b="0"/>
                          </a:effectRef>
                          <a:fontRef idx="none"/>
                        </wps:style>
                        <wps:bodyPr/>
                      </wps:wsp>
                      <wps:wsp>
                        <wps:cNvPr id="6451" name="Shape 6451"/>
                        <wps:cNvSpPr/>
                        <wps:spPr>
                          <a:xfrm>
                            <a:off x="704533" y="7476490"/>
                            <a:ext cx="2279650" cy="956945"/>
                          </a:xfrm>
                          <a:custGeom>
                            <a:avLst/>
                            <a:gdLst/>
                            <a:ahLst/>
                            <a:cxnLst/>
                            <a:rect l="0" t="0" r="0" b="0"/>
                            <a:pathLst>
                              <a:path w="2279650" h="956945">
                                <a:moveTo>
                                  <a:pt x="0" y="0"/>
                                </a:moveTo>
                                <a:lnTo>
                                  <a:pt x="2279650" y="0"/>
                                </a:lnTo>
                                <a:lnTo>
                                  <a:pt x="2279650" y="956945"/>
                                </a:lnTo>
                                <a:lnTo>
                                  <a:pt x="0" y="95694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48" name="Shape 248"/>
                        <wps:cNvSpPr/>
                        <wps:spPr>
                          <a:xfrm>
                            <a:off x="704533" y="7476490"/>
                            <a:ext cx="2279650" cy="956945"/>
                          </a:xfrm>
                          <a:custGeom>
                            <a:avLst/>
                            <a:gdLst/>
                            <a:ahLst/>
                            <a:cxnLst/>
                            <a:rect l="0" t="0" r="0" b="0"/>
                            <a:pathLst>
                              <a:path w="2279650" h="956945">
                                <a:moveTo>
                                  <a:pt x="0" y="956945"/>
                                </a:moveTo>
                                <a:lnTo>
                                  <a:pt x="2279650" y="956945"/>
                                </a:lnTo>
                                <a:lnTo>
                                  <a:pt x="2279650" y="0"/>
                                </a:lnTo>
                                <a:lnTo>
                                  <a:pt x="0" y="0"/>
                                </a:lnTo>
                                <a:close/>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249" name="Rectangle 249"/>
                        <wps:cNvSpPr/>
                        <wps:spPr>
                          <a:xfrm>
                            <a:off x="800849" y="7555484"/>
                            <a:ext cx="1826912" cy="189937"/>
                          </a:xfrm>
                          <a:prstGeom prst="rect">
                            <a:avLst/>
                          </a:prstGeom>
                          <a:ln>
                            <a:noFill/>
                          </a:ln>
                        </wps:spPr>
                        <wps:txbx>
                          <w:txbxContent>
                            <w:p w:rsidR="000C2C4B" w:rsidRDefault="00EA45E0" w14:paraId="19395888" w14:textId="77777777">
                              <w:pPr>
                                <w:spacing w:after="160" w:line="259" w:lineRule="auto"/>
                                <w:ind w:left="0" w:right="0" w:firstLine="0"/>
                                <w:jc w:val="left"/>
                              </w:pPr>
                              <w:r>
                                <w:rPr>
                                  <w:rFonts w:ascii="Calibri" w:hAnsi="Calibri" w:eastAsia="Calibri" w:cs="Calibri"/>
                                  <w:sz w:val="22"/>
                                </w:rPr>
                                <w:t>Mohammod Suhel Miah</w:t>
                              </w:r>
                            </w:p>
                          </w:txbxContent>
                        </wps:txbx>
                        <wps:bodyPr horzOverflow="overflow" vert="horz" lIns="0" tIns="0" rIns="0" bIns="0" rtlCol="0">
                          <a:noAutofit/>
                        </wps:bodyPr>
                      </wps:wsp>
                      <wps:wsp>
                        <wps:cNvPr id="250" name="Rectangle 250"/>
                        <wps:cNvSpPr/>
                        <wps:spPr>
                          <a:xfrm>
                            <a:off x="2172780" y="7555484"/>
                            <a:ext cx="42144" cy="189937"/>
                          </a:xfrm>
                          <a:prstGeom prst="rect">
                            <a:avLst/>
                          </a:prstGeom>
                          <a:ln>
                            <a:noFill/>
                          </a:ln>
                        </wps:spPr>
                        <wps:txbx>
                          <w:txbxContent>
                            <w:p w:rsidR="000C2C4B" w:rsidRDefault="00EA45E0" w14:paraId="2F6A7AC3" w14:textId="77777777">
                              <w:pPr>
                                <w:spacing w:after="16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s:wsp>
                        <wps:cNvPr id="251" name="Rectangle 251"/>
                        <wps:cNvSpPr/>
                        <wps:spPr>
                          <a:xfrm>
                            <a:off x="800849" y="7840472"/>
                            <a:ext cx="211651" cy="189937"/>
                          </a:xfrm>
                          <a:prstGeom prst="rect">
                            <a:avLst/>
                          </a:prstGeom>
                          <a:ln>
                            <a:noFill/>
                          </a:ln>
                        </wps:spPr>
                        <wps:txbx>
                          <w:txbxContent>
                            <w:p w:rsidR="000C2C4B" w:rsidRDefault="00EA45E0" w14:paraId="109CC8DE" w14:textId="77777777">
                              <w:pPr>
                                <w:spacing w:after="160" w:line="259" w:lineRule="auto"/>
                                <w:ind w:left="0" w:right="0" w:firstLine="0"/>
                                <w:jc w:val="left"/>
                              </w:pPr>
                              <w:r>
                                <w:rPr>
                                  <w:rFonts w:ascii="Calibri" w:hAnsi="Calibri" w:eastAsia="Calibri" w:cs="Calibri"/>
                                  <w:sz w:val="22"/>
                                </w:rPr>
                                <w:t>ID:</w:t>
                              </w:r>
                            </w:p>
                          </w:txbxContent>
                        </wps:txbx>
                        <wps:bodyPr horzOverflow="overflow" vert="horz" lIns="0" tIns="0" rIns="0" bIns="0" rtlCol="0">
                          <a:noAutofit/>
                        </wps:bodyPr>
                      </wps:wsp>
                      <wps:wsp>
                        <wps:cNvPr id="252" name="Rectangle 252"/>
                        <wps:cNvSpPr/>
                        <wps:spPr>
                          <a:xfrm>
                            <a:off x="960819" y="7840472"/>
                            <a:ext cx="42144" cy="189937"/>
                          </a:xfrm>
                          <a:prstGeom prst="rect">
                            <a:avLst/>
                          </a:prstGeom>
                          <a:ln>
                            <a:noFill/>
                          </a:ln>
                        </wps:spPr>
                        <wps:txbx>
                          <w:txbxContent>
                            <w:p w:rsidR="000C2C4B" w:rsidRDefault="00EA45E0" w14:paraId="4F6CE7C6" w14:textId="77777777">
                              <w:pPr>
                                <w:spacing w:after="16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s:wsp>
                        <wps:cNvPr id="253" name="Rectangle 253"/>
                        <wps:cNvSpPr/>
                        <wps:spPr>
                          <a:xfrm>
                            <a:off x="991299" y="7840472"/>
                            <a:ext cx="659568" cy="189937"/>
                          </a:xfrm>
                          <a:prstGeom prst="rect">
                            <a:avLst/>
                          </a:prstGeom>
                          <a:ln>
                            <a:noFill/>
                          </a:ln>
                        </wps:spPr>
                        <wps:txbx>
                          <w:txbxContent>
                            <w:p w:rsidR="000C2C4B" w:rsidRDefault="00EA45E0" w14:paraId="639DFBCD" w14:textId="77777777">
                              <w:pPr>
                                <w:spacing w:after="160" w:line="259" w:lineRule="auto"/>
                                <w:ind w:left="0" w:right="0" w:firstLine="0"/>
                                <w:jc w:val="left"/>
                              </w:pPr>
                              <w:r>
                                <w:rPr>
                                  <w:rFonts w:ascii="Calibri" w:hAnsi="Calibri" w:eastAsia="Calibri" w:cs="Calibri"/>
                                  <w:sz w:val="22"/>
                                </w:rPr>
                                <w:t>2126980</w:t>
                              </w:r>
                            </w:p>
                          </w:txbxContent>
                        </wps:txbx>
                        <wps:bodyPr horzOverflow="overflow" vert="horz" lIns="0" tIns="0" rIns="0" bIns="0" rtlCol="0">
                          <a:noAutofit/>
                        </wps:bodyPr>
                      </wps:wsp>
                      <wps:wsp>
                        <wps:cNvPr id="254" name="Rectangle 254"/>
                        <wps:cNvSpPr/>
                        <wps:spPr>
                          <a:xfrm>
                            <a:off x="1486598" y="7840472"/>
                            <a:ext cx="42144" cy="189937"/>
                          </a:xfrm>
                          <a:prstGeom prst="rect">
                            <a:avLst/>
                          </a:prstGeom>
                          <a:ln>
                            <a:noFill/>
                          </a:ln>
                        </wps:spPr>
                        <wps:txbx>
                          <w:txbxContent>
                            <w:p w:rsidR="000C2C4B" w:rsidRDefault="00EA45E0" w14:paraId="10568736" w14:textId="77777777">
                              <w:pPr>
                                <w:spacing w:after="16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s:wsp>
                        <wps:cNvPr id="255" name="Rectangle 255"/>
                        <wps:cNvSpPr/>
                        <wps:spPr>
                          <a:xfrm>
                            <a:off x="800849" y="8126984"/>
                            <a:ext cx="720919" cy="189937"/>
                          </a:xfrm>
                          <a:prstGeom prst="rect">
                            <a:avLst/>
                          </a:prstGeom>
                          <a:ln>
                            <a:noFill/>
                          </a:ln>
                        </wps:spPr>
                        <wps:txbx>
                          <w:txbxContent>
                            <w:p w:rsidR="000C2C4B" w:rsidRDefault="00EA45E0" w14:paraId="77AB7942" w14:textId="77777777">
                              <w:pPr>
                                <w:spacing w:after="160" w:line="259" w:lineRule="auto"/>
                                <w:ind w:left="0" w:right="0" w:firstLine="0"/>
                                <w:jc w:val="left"/>
                              </w:pPr>
                              <w:r>
                                <w:rPr>
                                  <w:rFonts w:ascii="Calibri" w:hAnsi="Calibri" w:eastAsia="Calibri" w:cs="Calibri"/>
                                  <w:sz w:val="22"/>
                                </w:rPr>
                                <w:t xml:space="preserve">Lecturer: </w:t>
                              </w:r>
                            </w:p>
                          </w:txbxContent>
                        </wps:txbx>
                        <wps:bodyPr horzOverflow="overflow" vert="horz" lIns="0" tIns="0" rIns="0" bIns="0" rtlCol="0">
                          <a:noAutofit/>
                        </wps:bodyPr>
                      </wps:wsp>
                      <wps:wsp>
                        <wps:cNvPr id="256" name="Rectangle 256"/>
                        <wps:cNvSpPr/>
                        <wps:spPr>
                          <a:xfrm>
                            <a:off x="1343342" y="8126984"/>
                            <a:ext cx="248760" cy="189937"/>
                          </a:xfrm>
                          <a:prstGeom prst="rect">
                            <a:avLst/>
                          </a:prstGeom>
                          <a:ln>
                            <a:noFill/>
                          </a:ln>
                        </wps:spPr>
                        <wps:txbx>
                          <w:txbxContent>
                            <w:p w:rsidR="000C2C4B" w:rsidRDefault="00EA45E0" w14:paraId="29DDD1F2" w14:textId="77777777">
                              <w:pPr>
                                <w:spacing w:after="160" w:line="259" w:lineRule="auto"/>
                                <w:ind w:left="0" w:right="0" w:firstLine="0"/>
                                <w:jc w:val="left"/>
                              </w:pPr>
                              <w:r>
                                <w:rPr>
                                  <w:rFonts w:ascii="Calibri" w:hAnsi="Calibri" w:eastAsia="Calibri" w:cs="Calibri"/>
                                  <w:sz w:val="22"/>
                                </w:rPr>
                                <w:t xml:space="preserve">Dr. </w:t>
                              </w:r>
                            </w:p>
                          </w:txbxContent>
                        </wps:txbx>
                        <wps:bodyPr horzOverflow="overflow" vert="horz" lIns="0" tIns="0" rIns="0" bIns="0" rtlCol="0">
                          <a:noAutofit/>
                        </wps:bodyPr>
                      </wps:wsp>
                      <wps:wsp>
                        <wps:cNvPr id="257" name="Rectangle 257"/>
                        <wps:cNvSpPr/>
                        <wps:spPr>
                          <a:xfrm>
                            <a:off x="1530795" y="8126984"/>
                            <a:ext cx="1103942" cy="189937"/>
                          </a:xfrm>
                          <a:prstGeom prst="rect">
                            <a:avLst/>
                          </a:prstGeom>
                          <a:ln>
                            <a:noFill/>
                          </a:ln>
                        </wps:spPr>
                        <wps:txbx>
                          <w:txbxContent>
                            <w:p w:rsidR="000C2C4B" w:rsidRDefault="00EA45E0" w14:paraId="537E310F" w14:textId="77777777">
                              <w:pPr>
                                <w:spacing w:after="160" w:line="259" w:lineRule="auto"/>
                                <w:ind w:left="0" w:right="0" w:firstLine="0"/>
                                <w:jc w:val="left"/>
                              </w:pPr>
                              <w:r>
                                <w:rPr>
                                  <w:rFonts w:ascii="Calibri" w:hAnsi="Calibri" w:eastAsia="Calibri" w:cs="Calibri"/>
                                  <w:sz w:val="22"/>
                                </w:rPr>
                                <w:t>Emma Roberts</w:t>
                              </w:r>
                            </w:p>
                          </w:txbxContent>
                        </wps:txbx>
                        <wps:bodyPr horzOverflow="overflow" vert="horz" lIns="0" tIns="0" rIns="0" bIns="0" rtlCol="0">
                          <a:noAutofit/>
                        </wps:bodyPr>
                      </wps:wsp>
                      <wps:wsp>
                        <wps:cNvPr id="258" name="Rectangle 258"/>
                        <wps:cNvSpPr/>
                        <wps:spPr>
                          <a:xfrm>
                            <a:off x="2360232" y="8126984"/>
                            <a:ext cx="42144" cy="189937"/>
                          </a:xfrm>
                          <a:prstGeom prst="rect">
                            <a:avLst/>
                          </a:prstGeom>
                          <a:ln>
                            <a:noFill/>
                          </a:ln>
                        </wps:spPr>
                        <wps:txbx>
                          <w:txbxContent>
                            <w:p w:rsidR="000C2C4B" w:rsidRDefault="00EA45E0" w14:paraId="740FDC1D" w14:textId="77777777">
                              <w:pPr>
                                <w:spacing w:after="16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g:wgp>
                  </a:graphicData>
                </a:graphic>
              </wp:inline>
            </w:drawing>
          </mc:Choice>
          <mc:Fallback>
            <w:pict w14:anchorId="475CDE98">
              <v:group id="Group 6028" style="width:525.05pt;height:765.3pt;mso-position-horizontal-relative:char;mso-position-vertical-relative:line" coordsize="66681,97193" o:spid="_x0000_s1026" w14:anchorId="4F84D3B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">
                <v:rect id="Rectangle 235" style="position:absolute;left:4686;top:4554;width:421;height:1899;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eQTxQAAANwAAAAPAAAAZHJzL2Rvd25yZXYueG1sRI9Pi8Iw&#10;FMTvwn6H8Bb2pum6KF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DKBeQTxQAAANwAAAAP&#10;AAAAAAAAAAAAAAAAAAcCAABkcnMvZG93bnJldi54bWxQSwUGAAAAAAMAAwC3AAAA+QIAAAAA&#10;">
                  <v:textbox inset="0,0,0,0">
                    <w:txbxContent>
                      <w:p w:rsidR="000C2C4B" w:rsidRDefault="00EA45E0" w14:paraId="29D6B04F" w14:textId="77777777">
                        <w:pPr>
                          <w:spacing w:after="110" w:line="259" w:lineRule="auto"/>
                          <w:ind w:left="0" w:right="0" w:firstLine="0"/>
                          <w:jc w:val="left"/>
                        </w:pPr>
                        <w:r>
                          <w:rPr>
                            <w:rFonts w:ascii="Calibri" w:hAnsi="Calibri" w:eastAsia="Calibri" w:cs="Calibri"/>
                            <w:sz w:val="22"/>
                          </w:rPr>
                          <w:t xml:space="preserve"> </w:t>
                        </w:r>
                      </w:p>
                    </w:txbxContent>
                  </v:textbox>
                </v:rect>
                <v:rect id="Rectangle 236" style="position:absolute;left:22977;top:4554;width:421;height:1899;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13pk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DrXemTEAAAA3AAAAA8A&#10;AAAAAAAAAAAAAAAABwIAAGRycy9kb3ducmV2LnhtbFBLBQYAAAAAAwADALcAAAD4AgAAAAA=&#10;">
                  <v:textbox inset="0,0,0,0">
                    <w:txbxContent>
                      <w:p w:rsidR="000C2C4B" w:rsidRDefault="00EA45E0" w14:paraId="0A6959E7" w14:textId="77777777">
                        <w:pPr>
                          <w:spacing w:after="160" w:line="259" w:lineRule="auto"/>
                          <w:ind w:left="0" w:right="0" w:firstLine="0"/>
                          <w:jc w:val="left"/>
                        </w:pPr>
                        <w:r>
                          <w:rPr>
                            <w:rFonts w:ascii="Calibri" w:hAnsi="Calibri" w:eastAsia="Calibri" w:cs="Calibri"/>
                            <w:sz w:val="22"/>
                          </w:rPr>
                          <w:t xml:space="preserve"> </w:t>
                        </w:r>
                      </w:p>
                    </w:txbxContent>
                  </v:textbox>
                </v:rect>
                <v:shape id="Shape 6449" style="position:absolute;left:2222;width:64459;height:97193;visibility:visible;mso-wrap-style:square;v-text-anchor:top" coordsize="6445885,9719310" o:spid="_x0000_s1029" fillcolor="black" stroked="f" strokeweight="0" path="m,l6445885,r,9719310l,971931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">
                  <v:stroke miterlimit="83231f" joinstyle="miter"/>
                  <v:path textboxrect="0,0,6445885,9719310" arrowok="t"/>
                </v:shap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239" style="position:absolute;left:2290;top:9202;width:64328;height:61417;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">
                  <v:imagedata o:title="" r:id="rId6"/>
                </v:shape>
                <v:rect id="Rectangle 240" style="position:absolute;left:6865;top:63176;width:48297;height:412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T2wwAAANwAAAAPAAAAZHJzL2Rvd25yZXYueG1sRE/LasJA&#10;FN0X/IfhCt3ViU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gnQ09sMAAADcAAAADwAA&#10;AAAAAAAAAAAAAAAHAgAAZHJzL2Rvd25yZXYueG1sUEsFBgAAAAADAAMAtwAAAPcCAAAAAA==&#10;">
                  <v:textbox inset="0,0,0,0">
                    <w:txbxContent>
                      <w:p w:rsidR="000C2C4B" w:rsidRDefault="00EA45E0" w14:paraId="4093561D" w14:textId="77777777">
                        <w:pPr>
                          <w:spacing w:after="160" w:line="259" w:lineRule="auto"/>
                          <w:ind w:left="0" w:right="0" w:firstLine="0"/>
                          <w:jc w:val="left"/>
                        </w:pPr>
                        <w:r>
                          <w:rPr>
                            <w:rFonts w:ascii="Calibri" w:hAnsi="Calibri" w:eastAsia="Calibri" w:cs="Calibri"/>
                            <w:color w:val="FFFFFF"/>
                            <w:sz w:val="48"/>
                          </w:rPr>
                          <w:t>Essay: Employee Engagement</w:t>
                        </w:r>
                      </w:p>
                    </w:txbxContent>
                  </v:textbox>
                </v:rect>
                <v:rect id="Rectangle 241" style="position:absolute;left:43203;top:63176;width:916;height:4129;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FtxAAAANwAAAAPAAAAZHJzL2Rvd25yZXYueG1sRI9Bi8Iw&#10;FITvgv8hPGFvmioi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O04kW3EAAAA3AAAAA8A&#10;AAAAAAAAAAAAAAAABwIAAGRycy9kb3ducmV2LnhtbFBLBQYAAAAAAwADALcAAAD4AgAAAAA=&#10;">
                  <v:textbox inset="0,0,0,0">
                    <w:txbxContent>
                      <w:p w:rsidR="000C2C4B" w:rsidRDefault="00EA45E0" w14:paraId="100C5B58" w14:textId="77777777">
                        <w:pPr>
                          <w:spacing w:after="160" w:line="259" w:lineRule="auto"/>
                          <w:ind w:left="0" w:right="0" w:firstLine="0"/>
                          <w:jc w:val="left"/>
                        </w:pPr>
                        <w:r>
                          <w:rPr>
                            <w:rFonts w:ascii="Calibri" w:hAnsi="Calibri" w:eastAsia="Calibri" w:cs="Calibri"/>
                            <w:color w:val="FFFFFF"/>
                            <w:sz w:val="48"/>
                          </w:rPr>
                          <w:t xml:space="preserve"> </w:t>
                        </w:r>
                      </w:p>
                    </w:txbxContent>
                  </v:textbox>
                </v:rect>
                <v:rect id="Rectangle 242" style="position:absolute;left:6865;top:66639;width:47624;height:2415;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g8axQAAANwAAAAPAAAAZHJzL2Rvd25yZXYueG1sRI9Pi8Iw&#10;FMTvwn6H8Ba8aWpZ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Ad6g8axQAAANwAAAAP&#10;AAAAAAAAAAAAAAAAAAcCAABkcnMvZG93bnJldi54bWxQSwUGAAAAAAMAAwC3AAAA+QIAAAAA&#10;">
                  <v:textbox inset="0,0,0,0">
                    <w:txbxContent>
                      <w:p w:rsidR="000C2C4B" w:rsidRDefault="00EA45E0" w14:paraId="74B30ACF" w14:textId="77777777">
                        <w:pPr>
                          <w:spacing w:after="160" w:line="259" w:lineRule="auto"/>
                          <w:ind w:left="0" w:right="0" w:firstLine="0"/>
                          <w:jc w:val="left"/>
                        </w:pPr>
                        <w:r>
                          <w:rPr>
                            <w:rFonts w:ascii="Calibri" w:hAnsi="Calibri" w:eastAsia="Calibri" w:cs="Calibri"/>
                            <w:color w:val="FFFFFF"/>
                            <w:sz w:val="28"/>
                          </w:rPr>
                          <w:t xml:space="preserve">Module: Personnel Resourcing and Development </w:t>
                        </w:r>
                      </w:p>
                    </w:txbxContent>
                  </v:textbox>
                </v:rect>
                <v:rect id="Rectangle 243" style="position:absolute;left:42670;top:66639;width:536;height:2415;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qqBxQAAANwAAAAPAAAAZHJzL2Rvd25yZXYueG1sRI9Pi8Iw&#10;FMTvwn6H8Bb2pum6I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ypqqBxQAAANwAAAAP&#10;AAAAAAAAAAAAAAAAAAcCAABkcnMvZG93bnJldi54bWxQSwUGAAAAAAMAAwC3AAAA+QIAAAAA&#10;">
                  <v:textbox inset="0,0,0,0">
                    <w:txbxContent>
                      <w:p w:rsidR="000C2C4B" w:rsidRDefault="00EA45E0" w14:paraId="12F40E89" w14:textId="77777777">
                        <w:pPr>
                          <w:spacing w:after="160" w:line="259" w:lineRule="auto"/>
                          <w:ind w:left="0" w:right="0" w:firstLine="0"/>
                          <w:jc w:val="left"/>
                        </w:pPr>
                        <w:r>
                          <w:rPr>
                            <w:rFonts w:ascii="Calibri" w:hAnsi="Calibri" w:eastAsia="Calibri" w:cs="Calibri"/>
                            <w:color w:val="FFFFFF"/>
                            <w:sz w:val="28"/>
                          </w:rPr>
                          <w:t xml:space="preserve"> </w:t>
                        </w:r>
                      </w:p>
                    </w:txbxContent>
                  </v:textbox>
                </v:rect>
                <v:rect id="Rectangle 244" style="position:absolute;left:6865;top:68818;width:16280;height:2416;visibility:visible;mso-wrap-style:square;v-text-anchor:top" o:spid="_x0000_s103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zL1xgAAANwAAAAPAAAAZHJzL2Rvd25yZXYueG1sRI9Ba8JA&#10;FITvgv9heYXezKYi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U8y9cYAAADcAAAA&#10;DwAAAAAAAAAAAAAAAAAHAgAAZHJzL2Rvd25yZXYueG1sUEsFBgAAAAADAAMAtwAAAPoCAAAAAA==&#10;">
                  <v:textbox inset="0,0,0,0">
                    <w:txbxContent>
                      <w:p w:rsidR="000C2C4B" w:rsidRDefault="00EA45E0" w14:paraId="6E79A277" w14:textId="77777777">
                        <w:pPr>
                          <w:spacing w:after="160" w:line="259" w:lineRule="auto"/>
                          <w:ind w:left="0" w:right="0" w:firstLine="0"/>
                          <w:jc w:val="left"/>
                        </w:pPr>
                        <w:r>
                          <w:rPr>
                            <w:rFonts w:ascii="Calibri" w:hAnsi="Calibri" w:eastAsia="Calibri" w:cs="Calibri"/>
                            <w:color w:val="FFFFFF"/>
                            <w:sz w:val="28"/>
                          </w:rPr>
                          <w:t>Code: BMIH5005</w:t>
                        </w:r>
                      </w:p>
                    </w:txbxContent>
                  </v:textbox>
                </v:rect>
                <v:rect id="Rectangle 245" style="position:absolute;left:19106;top:68818;width:536;height:2416;visibility:visible;mso-wrap-style:square;v-text-anchor:top" o:spid="_x0000_s103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duxQAAANwAAAAPAAAAZHJzL2Rvd25yZXYueG1sRI9Pi8Iw&#10;FMTvwn6H8Bb2punKK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SA5duxQAAANwAAAAP&#10;AAAAAAAAAAAAAAAAAAcCAABkcnMvZG93bnJldi54bWxQSwUGAAAAAAMAAwC3AAAA+QIAAAAA&#10;">
                  <v:textbox inset="0,0,0,0">
                    <w:txbxContent>
                      <w:p w:rsidR="000C2C4B" w:rsidRDefault="00EA45E0" w14:paraId="608DEACE" w14:textId="77777777">
                        <w:pPr>
                          <w:spacing w:after="160" w:line="259" w:lineRule="auto"/>
                          <w:ind w:left="0" w:right="0" w:firstLine="0"/>
                          <w:jc w:val="left"/>
                        </w:pPr>
                        <w:r>
                          <w:rPr>
                            <w:rFonts w:ascii="Calibri" w:hAnsi="Calibri" w:eastAsia="Calibri" w:cs="Calibri"/>
                            <w:color w:val="FFFFFF"/>
                            <w:sz w:val="28"/>
                          </w:rPr>
                          <w:t xml:space="preserve"> </w:t>
                        </w:r>
                      </w:p>
                    </w:txbxContent>
                  </v:textbox>
                </v:rect>
                <v:shape id="Shape 6450" style="position:absolute;width:2222;height:97193;visibility:visible;mso-wrap-style:square;v-text-anchor:top" coordsize="222275,9719310" o:spid="_x0000_s1037" fillcolor="#7f7f7f" stroked="f" strokeweight="0" path="m,l222275,r,9719310l,971931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">
                  <v:stroke miterlimit="83231f" joinstyle="miter"/>
                  <v:path textboxrect="0,0,222275,9719310" arrowok="t"/>
                </v:shape>
                <v:shape id="Shape 6451" style="position:absolute;left:7045;top:74764;width:22796;height:9570;visibility:visible;mso-wrap-style:square;v-text-anchor:top" coordsize="2279650,956945" o:spid="_x0000_s1038" stroked="f" strokeweight="0" path="m,l2279650,r,956945l,956945,,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">
                  <v:stroke miterlimit="83231f" joinstyle="miter"/>
                  <v:path textboxrect="0,0,2279650,956945" arrowok="t"/>
                </v:shape>
                <v:shape id="Shape 248" style="position:absolute;left:7045;top:74764;width:22796;height:9570;visibility:visible;mso-wrap-style:square;v-text-anchor:top" coordsize="2279650,956945" o:spid="_x0000_s1039" filled="f" path="m,956945r2279650,l2279650,,,,,9569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">
                  <v:stroke miterlimit="83231f" joinstyle="miter"/>
                  <v:path textboxrect="0,0,2279650,956945" arrowok="t"/>
                </v:shape>
                <v:rect id="Rectangle 249" style="position:absolute;left:8008;top:75554;width:18269;height:1900;visibility:visible;mso-wrap-style:square;v-text-anchor:top" o:spid="_x0000_s104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v:textbox inset="0,0,0,0">
                    <w:txbxContent>
                      <w:p w:rsidR="000C2C4B" w:rsidRDefault="00EA45E0" w14:paraId="40F363DE" w14:textId="77777777">
                        <w:pPr>
                          <w:spacing w:after="160" w:line="259" w:lineRule="auto"/>
                          <w:ind w:left="0" w:right="0" w:firstLine="0"/>
                          <w:jc w:val="left"/>
                        </w:pPr>
                        <w:r>
                          <w:rPr>
                            <w:rFonts w:ascii="Calibri" w:hAnsi="Calibri" w:eastAsia="Calibri" w:cs="Calibri"/>
                            <w:sz w:val="22"/>
                          </w:rPr>
                          <w:t>Mohammod Suhel Miah</w:t>
                        </w:r>
                      </w:p>
                    </w:txbxContent>
                  </v:textbox>
                </v:rect>
                <v:rect id="Rectangle 250" style="position:absolute;left:21727;top:75554;width:422;height:1900;visibility:visible;mso-wrap-style:square;v-text-anchor:top" o:spid="_x0000_s104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v:textbox inset="0,0,0,0">
                    <w:txbxContent>
                      <w:p w:rsidR="000C2C4B" w:rsidRDefault="00EA45E0" w14:paraId="2BAC6FC9" w14:textId="77777777">
                        <w:pPr>
                          <w:spacing w:after="160" w:line="259" w:lineRule="auto"/>
                          <w:ind w:left="0" w:right="0" w:firstLine="0"/>
                          <w:jc w:val="left"/>
                        </w:pPr>
                        <w:r>
                          <w:rPr>
                            <w:rFonts w:ascii="Calibri" w:hAnsi="Calibri" w:eastAsia="Calibri" w:cs="Calibri"/>
                            <w:sz w:val="22"/>
                          </w:rPr>
                          <w:t xml:space="preserve"> </w:t>
                        </w:r>
                      </w:p>
                    </w:txbxContent>
                  </v:textbox>
                </v:rect>
                <v:rect id="Rectangle 251" style="position:absolute;left:8008;top:78404;width:2117;height:1900;visibility:visible;mso-wrap-style:square;v-text-anchor:top" o:spid="_x0000_s104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QewxAAAANwAAAAPAAAAZHJzL2Rvd25yZXYueG1sRI9Bi8Iw&#10;FITvgv8hPGFvmioo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GjhB7DEAAAA3AAAAA8A&#10;AAAAAAAAAAAAAAAABwIAAGRycy9kb3ducmV2LnhtbFBLBQYAAAAAAwADALcAAAD4AgAAAAA=&#10;">
                  <v:textbox inset="0,0,0,0">
                    <w:txbxContent>
                      <w:p w:rsidR="000C2C4B" w:rsidRDefault="00EA45E0" w14:paraId="4B4655DF" w14:textId="77777777">
                        <w:pPr>
                          <w:spacing w:after="160" w:line="259" w:lineRule="auto"/>
                          <w:ind w:left="0" w:right="0" w:firstLine="0"/>
                          <w:jc w:val="left"/>
                        </w:pPr>
                        <w:r>
                          <w:rPr>
                            <w:rFonts w:ascii="Calibri" w:hAnsi="Calibri" w:eastAsia="Calibri" w:cs="Calibri"/>
                            <w:sz w:val="22"/>
                          </w:rPr>
                          <w:t>ID:</w:t>
                        </w:r>
                      </w:p>
                    </w:txbxContent>
                  </v:textbox>
                </v:rect>
                <v:rect id="Rectangle 252" style="position:absolute;left:9608;top:78404;width:421;height:1900;visibility:visible;mso-wrap-style:square;v-text-anchor:top" o:spid="_x0000_s104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v:textbox inset="0,0,0,0">
                    <w:txbxContent>
                      <w:p w:rsidR="000C2C4B" w:rsidRDefault="00EA45E0" w14:paraId="156A6281" w14:textId="77777777">
                        <w:pPr>
                          <w:spacing w:after="160" w:line="259" w:lineRule="auto"/>
                          <w:ind w:left="0" w:right="0" w:firstLine="0"/>
                          <w:jc w:val="left"/>
                        </w:pPr>
                        <w:r>
                          <w:rPr>
                            <w:rFonts w:ascii="Calibri" w:hAnsi="Calibri" w:eastAsia="Calibri" w:cs="Calibri"/>
                            <w:sz w:val="22"/>
                          </w:rPr>
                          <w:t xml:space="preserve"> </w:t>
                        </w:r>
                      </w:p>
                    </w:txbxContent>
                  </v:textbox>
                </v:rect>
                <v:rect id="Rectangle 253" style="position:absolute;left:9912;top:78404;width:6596;height:1900;visibility:visible;mso-wrap-style:square;v-text-anchor:top" o:spid="_x0000_s104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v:textbox inset="0,0,0,0">
                    <w:txbxContent>
                      <w:p w:rsidR="000C2C4B" w:rsidRDefault="00EA45E0" w14:paraId="6673EC9C" w14:textId="77777777">
                        <w:pPr>
                          <w:spacing w:after="160" w:line="259" w:lineRule="auto"/>
                          <w:ind w:left="0" w:right="0" w:firstLine="0"/>
                          <w:jc w:val="left"/>
                        </w:pPr>
                        <w:r>
                          <w:rPr>
                            <w:rFonts w:ascii="Calibri" w:hAnsi="Calibri" w:eastAsia="Calibri" w:cs="Calibri"/>
                            <w:sz w:val="22"/>
                          </w:rPr>
                          <w:t>2126980</w:t>
                        </w:r>
                      </w:p>
                    </w:txbxContent>
                  </v:textbox>
                </v:rect>
                <v:rect id="Rectangle 254" style="position:absolute;left:14865;top:78404;width:422;height:1900;visibility:visible;mso-wrap-style:square;v-text-anchor:top" o:spid="_x0000_s104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qQoxQAAANwAAAAPAAAAZHJzL2Rvd25yZXYueG1sRI9Pi8Iw&#10;FMTvwn6H8Bb2punKK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4lqQoxQAAANwAAAAP&#10;AAAAAAAAAAAAAAAAAAcCAABkcnMvZG93bnJldi54bWxQSwUGAAAAAAMAAwC3AAAA+QIAAAAA&#10;">
                  <v:textbox inset="0,0,0,0">
                    <w:txbxContent>
                      <w:p w:rsidR="000C2C4B" w:rsidRDefault="00EA45E0" w14:paraId="20876B09" w14:textId="77777777">
                        <w:pPr>
                          <w:spacing w:after="160" w:line="259" w:lineRule="auto"/>
                          <w:ind w:left="0" w:right="0" w:firstLine="0"/>
                          <w:jc w:val="left"/>
                        </w:pPr>
                        <w:r>
                          <w:rPr>
                            <w:rFonts w:ascii="Calibri" w:hAnsi="Calibri" w:eastAsia="Calibri" w:cs="Calibri"/>
                            <w:sz w:val="22"/>
                          </w:rPr>
                          <w:t xml:space="preserve"> </w:t>
                        </w:r>
                      </w:p>
                    </w:txbxContent>
                  </v:textbox>
                </v:rect>
                <v:rect id="Rectangle 255" style="position:absolute;left:8008;top:81269;width:7209;height:1900;visibility:visible;mso-wrap-style:square;v-text-anchor:top" o:spid="_x0000_s104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gGzxgAAANwAAAAPAAAAZHJzL2Rvd25yZXYueG1sRI9Ba8JA&#10;FITvgv9heYXezKaC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F9oBs8YAAADcAAAA&#10;DwAAAAAAAAAAAAAAAAAHAgAAZHJzL2Rvd25yZXYueG1sUEsFBgAAAAADAAMAtwAAAPoCAAAAAA==&#10;">
                  <v:textbox inset="0,0,0,0">
                    <w:txbxContent>
                      <w:p w:rsidR="000C2C4B" w:rsidRDefault="00EA45E0" w14:paraId="0B3ED999" w14:textId="77777777">
                        <w:pPr>
                          <w:spacing w:after="160" w:line="259" w:lineRule="auto"/>
                          <w:ind w:left="0" w:right="0" w:firstLine="0"/>
                          <w:jc w:val="left"/>
                        </w:pPr>
                        <w:r>
                          <w:rPr>
                            <w:rFonts w:ascii="Calibri" w:hAnsi="Calibri" w:eastAsia="Calibri" w:cs="Calibri"/>
                            <w:sz w:val="22"/>
                          </w:rPr>
                          <w:t xml:space="preserve">Lecturer: </w:t>
                        </w:r>
                      </w:p>
                    </w:txbxContent>
                  </v:textbox>
                </v:rect>
                <v:rect id="Rectangle 256" style="position:absolute;left:13433;top:81269;width:2488;height:1900;visibility:visible;mso-wrap-style:square;v-text-anchor:top" o:spid="_x0000_s104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J/E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OcIn8TEAAAA3AAAAA8A&#10;AAAAAAAAAAAAAAAABwIAAGRycy9kb3ducmV2LnhtbFBLBQYAAAAAAwADALcAAAD4AgAAAAA=&#10;">
                  <v:textbox inset="0,0,0,0">
                    <w:txbxContent>
                      <w:p w:rsidR="000C2C4B" w:rsidRDefault="00EA45E0" w14:paraId="5315027F" w14:textId="77777777">
                        <w:pPr>
                          <w:spacing w:after="160" w:line="259" w:lineRule="auto"/>
                          <w:ind w:left="0" w:right="0" w:firstLine="0"/>
                          <w:jc w:val="left"/>
                        </w:pPr>
                        <w:r>
                          <w:rPr>
                            <w:rFonts w:ascii="Calibri" w:hAnsi="Calibri" w:eastAsia="Calibri" w:cs="Calibri"/>
                            <w:sz w:val="22"/>
                          </w:rPr>
                          <w:t xml:space="preserve">Dr. </w:t>
                        </w:r>
                      </w:p>
                    </w:txbxContent>
                  </v:textbox>
                </v:rect>
                <v:rect id="Rectangle 257" style="position:absolute;left:15307;top:81269;width:11040;height:1900;visibility:visible;mso-wrap-style:square;v-text-anchor:top" o:spid="_x0000_s104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Dpf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CIRDpfxQAAANwAAAAP&#10;AAAAAAAAAAAAAAAAAAcCAABkcnMvZG93bnJldi54bWxQSwUGAAAAAAMAAwC3AAAA+QIAAAAA&#10;">
                  <v:textbox inset="0,0,0,0">
                    <w:txbxContent>
                      <w:p w:rsidR="000C2C4B" w:rsidRDefault="00EA45E0" w14:paraId="70E19B1A" w14:textId="77777777">
                        <w:pPr>
                          <w:spacing w:after="160" w:line="259" w:lineRule="auto"/>
                          <w:ind w:left="0" w:right="0" w:firstLine="0"/>
                          <w:jc w:val="left"/>
                        </w:pPr>
                        <w:r>
                          <w:rPr>
                            <w:rFonts w:ascii="Calibri" w:hAnsi="Calibri" w:eastAsia="Calibri" w:cs="Calibri"/>
                            <w:sz w:val="22"/>
                          </w:rPr>
                          <w:t>Emma Roberts</w:t>
                        </w:r>
                      </w:p>
                    </w:txbxContent>
                  </v:textbox>
                </v:rect>
                <v:rect id="Rectangle 258" style="position:absolute;left:23602;top:81269;width:421;height:1900;visibility:visible;mso-wrap-style:square;v-text-anchor:top" o:spid="_x0000_s104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264twwAAANwAAAAPAAAAZHJzL2Rvd25yZXYueG1sRE/LasJA&#10;FN0X/IfhCt3ViQGL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duuLcMAAADcAAAADwAA&#10;AAAAAAAAAAAAAAAHAgAAZHJzL2Rvd25yZXYueG1sUEsFBgAAAAADAAMAtwAAAPcCAAAAAA==&#10;">
                  <v:textbox inset="0,0,0,0">
                    <w:txbxContent>
                      <w:p w:rsidR="000C2C4B" w:rsidRDefault="00EA45E0" w14:paraId="10146664" w14:textId="77777777">
                        <w:pPr>
                          <w:spacing w:after="160" w:line="259" w:lineRule="auto"/>
                          <w:ind w:left="0" w:right="0" w:firstLine="0"/>
                          <w:jc w:val="left"/>
                        </w:pPr>
                        <w:r>
                          <w:rPr>
                            <w:rFonts w:ascii="Calibri" w:hAnsi="Calibri" w:eastAsia="Calibri" w:cs="Calibri"/>
                            <w:sz w:val="22"/>
                          </w:rPr>
                          <w:t xml:space="preserve"> </w:t>
                        </w:r>
                      </w:p>
                    </w:txbxContent>
                  </v:textbox>
                </v:rect>
                <w10:anchorlock/>
              </v:group>
            </w:pict>
          </mc:Fallback>
        </mc:AlternateContent>
      </w:r>
    </w:p>
    <w:p w:rsidR="000C2C4B" w:rsidRDefault="00EA45E0" w14:paraId="42CAE17B" w14:textId="77777777">
      <w:pPr>
        <w:spacing w:after="78" w:line="393" w:lineRule="auto"/>
        <w:ind w:left="0" w:right="0" w:firstLine="0"/>
        <w:jc w:val="center"/>
      </w:pPr>
      <w:r>
        <w:rPr>
          <w:b/>
          <w:sz w:val="28"/>
        </w:rPr>
        <w:t xml:space="preserve">How To Retain And Engage Employees Throughout The Employee Lifecycle </w:t>
      </w:r>
    </w:p>
    <w:p w:rsidR="000C2C4B" w:rsidRDefault="00EA45E0" w14:paraId="7C38FCC1" w14:textId="77777777">
      <w:pPr>
        <w:ind w:right="0"/>
      </w:pPr>
      <w:r>
        <w:t xml:space="preserve">The dynamic, fast-paced, and service-oriented nature of the booming hotel sector needs excellent Human Resource (HR) management to achieve organisational success (Nickson, 2007). Because of rising competition and a growing realisation of the value of employee engagement and retention, the importance of talent management and development has grown in recent years (Armstrong &amp; Taylor, 2014). In this setting, one of HR's primary responsibilities is to manage the full employee lifetime, from attraction and recruiting through onboarding and development, retention, and, finally, separation. </w:t>
      </w:r>
    </w:p>
    <w:p w:rsidR="000C2C4B" w:rsidRDefault="00EA45E0" w14:paraId="3145667C" w14:textId="77777777">
      <w:pPr>
        <w:ind w:right="0"/>
      </w:pPr>
      <w:r>
        <w:t xml:space="preserve">The employee lifecycle describes the many phases that a person goes through while working for a company. Each stage necessitates its own set of methods and practises in order to achieve optimum employee engagement and performance, and hence organisational productivity (Steeneveld, 2015). </w:t>
      </w:r>
    </w:p>
    <w:p w:rsidR="000C2C4B" w:rsidRDefault="00EA45E0" w14:paraId="4E796BF4" w14:textId="77777777">
      <w:pPr>
        <w:ind w:right="0"/>
      </w:pPr>
      <w:r>
        <w:t xml:space="preserve">This essay will look into the crucial role that human resources plays in managing and developing talent in a big hotel environment, taking into consideration each step of the employee lifecycle. It will provide a complete review of the practises required at each step, as well as examples from industry experts. This article tries to highlight the relevance of HR's role in managing talent throughout the employment lifecycle and how it may be efficiently handled within the hotel sector by giving this detailed study. </w:t>
      </w:r>
    </w:p>
    <w:p w:rsidR="000C2C4B" w:rsidRDefault="00EA45E0" w14:paraId="232F3F5E" w14:textId="77777777">
      <w:pPr>
        <w:spacing w:after="276" w:line="259" w:lineRule="auto"/>
        <w:ind w:left="0" w:right="0" w:firstLine="0"/>
        <w:jc w:val="left"/>
      </w:pPr>
      <w:r>
        <w:t xml:space="preserve"> </w:t>
      </w:r>
    </w:p>
    <w:p w:rsidR="000C2C4B" w:rsidRDefault="00EA45E0" w14:paraId="669EB6D0" w14:textId="77777777">
      <w:pPr>
        <w:ind w:right="0"/>
      </w:pPr>
      <w:r>
        <w:t xml:space="preserve">The attraction stage is often an organization's initial engagement with prospective workers in the hotel business. The spirit and culture of the company are expressed here, generating an employer brand that serves as a beacon to attract the best employees (Backhaus &amp; Tikoo, 2004). Effective employer branding not only enhances the organization's impression but also helps potential workers distinguish it from rivals (Sullivan, 2004). The foundation of a compelling employer brand is the purposeful use of various methods to attract potential employees. A thorough, well-articulated job description serves as the first step in attracting possible applicants by communicating clear expectations about the function (Sullivan, 2004). Using a variety of advertising venues, such as print, internet, and social media, increases your reach to possible talent pools. In recent years, social media, in particular, has gained significance for its capacity to promote direct connection with possible candidates while also portraying a genuine picture of the organization's culture and values (Davison et al., 2016). Marriott Hotels' "TakeCare" effort is an excellent example of great workplace branding. Recognising that workers value wellness and personal development, Marriott launched this project with the goal of fostering a workplace culture that values employees' well-being, happiness, and personal development. The effectiveness of the "TakeCare" programme is demonstrated in its high levels of employee satisfaction and reputation as an industry employer of choice (Marriott International, 2018). As a result, a strong employer brand backed by smart attraction methods may help organisations attract the best individuals. Given its fierce competitiveness and high turnover rates, the hotel sector may greatly benefit from such a well-crafted strategy to the attraction stage of the employee lifecycle. </w:t>
      </w:r>
    </w:p>
    <w:p w:rsidR="000C2C4B" w:rsidRDefault="00EA45E0" w14:paraId="71D83635" w14:textId="77777777">
      <w:pPr>
        <w:spacing w:after="276" w:line="259" w:lineRule="auto"/>
        <w:ind w:left="0" w:right="0" w:firstLine="0"/>
        <w:jc w:val="left"/>
      </w:pPr>
      <w:r>
        <w:t xml:space="preserve"> </w:t>
      </w:r>
    </w:p>
    <w:p w:rsidR="000C2C4B" w:rsidRDefault="00EA45E0" w14:paraId="0EA477A2" w14:textId="77777777">
      <w:pPr>
        <w:ind w:right="0"/>
      </w:pPr>
      <w:r>
        <w:t xml:space="preserve">Moving on to the next stage of the employee lifecycle, recruiting is the foundation of organisational development and productivity. A well-structured recruiting process is crucial for finding and choosing employees whose abilities, expertise, and attitudes match the culture and goals of the business (Gusdorf, 2008). A procedure like this may improve recruiting choices, lower attrition rates, and boost overall corporate performance. Significantly, technology has significantly altered the recruiting process. Artificial intelligence (AI) advancements have been used to enhance the efficiency, efficacy, and fairness of the hiring process (Davenport et al., 2018). AI can automate operations like resume screening and interview scheduling, freeing up crucial time for HR workers. AI algorithms may also be used to examine applicant data and anticipate job performance, supporting recruiters in making data-driven judgements. Hilton Worldwide is a noteworthy example of a company using AI in recruiting. Hilton employs AI-powered solutions to improve the applicant experience and expedite the recruiting process (Costa, 2018). An AI chatbot is one such technology that interacts with applicants, answers questions, and offers application progress updates, resulting in a more engaging and responsive recruiting process. Furthermore, Hilton employs AI algorithms to assess resumes and identify individuals who are most likely to succeed in the position, enhancing the efficiency and efficacy of the selection process. In essence, a painstakingly organised recruiting process supported by the prudent use of AI technologies is critical for any hotel seeking to attract and retain top staff. Other firms may learn from Hilton Worldwide and adapt and reinvent their recruiting procedures to capitalise on the full potential of the dynamic recruitment environment. </w:t>
      </w:r>
    </w:p>
    <w:p w:rsidR="000C2C4B" w:rsidRDefault="00EA45E0" w14:paraId="568E3660" w14:textId="77777777">
      <w:pPr>
        <w:spacing w:after="276" w:line="259" w:lineRule="auto"/>
        <w:ind w:left="0" w:right="0" w:firstLine="0"/>
        <w:jc w:val="left"/>
      </w:pPr>
      <w:r>
        <w:t xml:space="preserve"> </w:t>
      </w:r>
    </w:p>
    <w:p w:rsidR="000C2C4B" w:rsidRDefault="00EA45E0" w14:paraId="28C8E761" w14:textId="77777777">
      <w:pPr>
        <w:ind w:right="0"/>
      </w:pPr>
      <w:r>
        <w:t xml:space="preserve">Onboarding is the next crucial stage in the employee lifecycle, following successful recruitment. Onboarding, the process of integrating new recruits into the organisation, plays a crucial role in engaging employees from the start and laying the groundwork for their voyage within the organisation (Bauer, 2010). Effective induction can reduce early turnover by minimising uncertainty and accelerating new employees' acclimation to their roles and the company's culture (Rollag et al., 2005). Successful induction strategies consist of a combination of components. Orientation programmes serve as an introduction to the company's ethos, norms, and expectations, whereas mentorship programmes match new employees with experienced staff to facilitate a support system and promote learning (Bauer, 2010). In addition, continuous feedback and open communication channels can promote comprehension, dispel doubts, and increase participation. Hyatt Hotels Corporation's practises exemplify effective induction at its finest. The orientation process at Hyatt is exhaustive and interactive, consisting of a succession of induction programmes designed to familiarise new recruits with the company's culture and core values (Hyatt, 2016). Mentors are assigned to new employees to guide them through their initial phase and boost their comfort and confidence. In addition, regular check-ins and feedback sessions are conducted to ensure that new employees are settling in well and that their concerns are promptly addressed. Essentially, a well-structured induction process can considerably increase the engagement of new hires, reduce early turnover, and boost productivity. Hyatt Hotels Corporation's practises demonstrate how a dynamic and inclusive onboarding process can pave the way for an engaging and productive employee voyage, providing valuable insights for hotels seeking to optimise their onboarding processes. </w:t>
      </w:r>
    </w:p>
    <w:p w:rsidR="000C2C4B" w:rsidRDefault="00EA45E0" w14:paraId="3E613A4C" w14:textId="77777777">
      <w:pPr>
        <w:spacing w:after="276" w:line="259" w:lineRule="auto"/>
        <w:ind w:left="0" w:right="0" w:firstLine="0"/>
        <w:jc w:val="left"/>
      </w:pPr>
      <w:r>
        <w:t xml:space="preserve"> </w:t>
      </w:r>
    </w:p>
    <w:p w:rsidR="000C2C4B" w:rsidRDefault="00EA45E0" w14:paraId="33064915" w14:textId="77777777">
      <w:pPr>
        <w:ind w:right="0"/>
      </w:pPr>
      <w:r>
        <w:t xml:space="preserve">After the first phase of employee onboarding, the emphasis will move to employee development. According to Noe et al. (2017), it is essential to provide employees with opportunities for ongoing learning and development in order to boost employee competency, guarantee work happiness, and cultivate loyalty towards the company. Due to the dynamic nature of the hospitality sector, it is essential to make investments in staff development in order to guarantee that workers can adjust to the shifting consumer expectations, technology, and industry trends. Development programmes come in a wide variety of shapes and sizes, each tailored to meet the specific requirements of a certain company or individual career path. They might consist of educational support, leadership programmes, skill improvement seminars, and technical training (Kramar, 2014). Importantly, cross-training programmes, in which personnel are taught in several tasks, may promote adaptability and enable seamless operation during peak times or staff shortages. These initiatives take place when individuals are trained in numerous roles simultaneously. These kinds of chances often lead to internal promotions, which in turn motivate workers and help cultivate an environment that values personal development and career advancement. The staff training programme of Four Seasons Hotels and Resorts is widely regarded as an industry-leading model. Their intensive development programmes are guided by the principle of "learning by doing," according to Four Seasons (2021). The programmes offered by Four Seasons are designed to build a culture of growth and provide staff with the tools necessary to provide great service. These programmes place an emphasis on leadership development, the upgrading of skills, and continual learning. In addition, the possibilities for cross-training provided by the organisation enable staff to widen their skill set, gain an understanding of diverse aspects of the operation, and cultivate a more comprehensive perspective on the hospitality industry. </w:t>
      </w:r>
    </w:p>
    <w:p w:rsidR="000C2C4B" w:rsidRDefault="00EA45E0" w14:paraId="132E6B72" w14:textId="77777777">
      <w:pPr>
        <w:spacing w:after="276" w:line="259" w:lineRule="auto"/>
        <w:ind w:left="0" w:right="0" w:firstLine="0"/>
        <w:jc w:val="left"/>
      </w:pPr>
      <w:r>
        <w:t xml:space="preserve"> </w:t>
      </w:r>
    </w:p>
    <w:p w:rsidR="000C2C4B" w:rsidRDefault="00EA45E0" w14:paraId="76DCAC75" w14:textId="77777777">
      <w:pPr>
        <w:ind w:right="0"/>
      </w:pPr>
      <w:r>
        <w:t xml:space="preserve">According to Hom et al. (2017), the retention phase of the employee lifecycle is one of the most important phases since it plays a big role in maintaining workforce stability, decreasing expenses associated with recruiting, and conserving the organization's knowledge base. A high personnel turnover rate may cause inconsistency in service delivery, have an adverse effect on customer satisfaction, and contribute to an overall unpleasant attitude in the workplace. Therefore, efficient techniques for employee retention are very necessary in the hotel business in order to guarantee a motivated and dedicated staff. There are several different approaches that may be used to improve employee retention. According to research conducted by Kwenin et al. (2013), employee recognition and incentive programmes have the ability to both encourage workers and demonstrate gratitude for the effort they put into their jobs. Having more control over your work schedule may improve your work-life balance, which in turn can lower stress and prevent burnout. A comprehensive benefits package, including medical insurance, retirement plans, and paid time off, may also be a factor in an employee's decision to remain with the company. The employee retention programme of The Ritz-Carlton is widely recognised as a standard of excellence in the hospitality industry. The Ritz-Carlton, which is renowned for the quality of its customer service, focuses a significant amount of emphasis on the retention of its employees (RitzCarlton, 2020). Their "Employee First" strategy makes sure that workers know they are appreciated, acknowledged, and recognised for their contributions. The allinclusive benefits package provided by the corporation, which includes medical insurance, retirement plans, and paid vacation time, serves as an irresistible incentive for workers to remain in their positions. Additionally, The Ritz-Carlton makes significant investments in the professional development of its staff, which helps to ensure that workers are happy in their jobs and stay with the company for the long term. </w:t>
      </w:r>
    </w:p>
    <w:p w:rsidR="000C2C4B" w:rsidRDefault="00EA45E0" w14:paraId="0AD0FF9D" w14:textId="77777777">
      <w:pPr>
        <w:spacing w:after="276" w:line="259" w:lineRule="auto"/>
        <w:ind w:left="0" w:right="0" w:firstLine="0"/>
        <w:jc w:val="left"/>
      </w:pPr>
      <w:r>
        <w:t xml:space="preserve"> </w:t>
      </w:r>
    </w:p>
    <w:p w:rsidR="000C2C4B" w:rsidRDefault="00EA45E0" w14:paraId="0EEAEE4C" w14:textId="77777777">
      <w:pPr>
        <w:ind w:right="0"/>
      </w:pPr>
      <w:r>
        <w:t xml:space="preserve">The ultimate step of the employee lifecycle is called separation, and it consists of the person officially departing the business. According to Waldman et al. (2018), it is crucial for an organization's reputation and the general morale of its workers to handle separation in a good manner. This may sound contradictory, but it is important. A helpful offboarding programme has the ability to create a pleasant impression that lasts a long time, which may lead to chances for rehiring, positive recommendations, and the maintenance of an alumni network. </w:t>
      </w:r>
    </w:p>
    <w:p w:rsidR="000C2C4B" w:rsidRDefault="00EA45E0" w14:paraId="65C49F4A" w14:textId="77777777">
      <w:pPr>
        <w:spacing w:after="276" w:line="259" w:lineRule="auto"/>
        <w:ind w:left="0" w:right="0" w:firstLine="0"/>
        <w:jc w:val="left"/>
      </w:pPr>
      <w:r>
        <w:t xml:space="preserve"> </w:t>
      </w:r>
    </w:p>
    <w:p w:rsidR="000C2C4B" w:rsidRDefault="00EA45E0" w14:paraId="431FD73D" w14:textId="77777777">
      <w:pPr>
        <w:ind w:right="0"/>
      </w:pPr>
      <w:r>
        <w:t xml:space="preserve">Comprehensive departure interviews and transitional assistance are two of the most effective strategies that may be used to guarantee a smooth and amicable process of separation. According to Waldman et al. (2018), exit interviews have the potential to give useful insights on the work environment, the efficacy of management, and the reasons for employee leave, which may improve retention initiatives. Even after an employee's term has ended, an organisation that continues to show that it appreciates its workers by offering transition support in the form of, for example, aid with job searches or giving references, may generate goodwill and indicate that it values its people. The way in which Accor Hotels handles the termination of employees is an example of best practises. According to Accor (2019), the firm has robust offboarding programmes in place to facilitate an easy transition for workers who are leaving the company. Accor engages in in-depth exit interviews with departing employees in order to collect feedback and get a better understanding of the factors that contribute to employee turnover. In addition to that, it offers outplacement help, which consists of career counselling, coaching, and aid with job search, which demonstrates a commitment to the well-being of employees beyond the duration of their employment. </w:t>
      </w:r>
    </w:p>
    <w:p w:rsidR="000C2C4B" w:rsidRDefault="00EA45E0" w14:paraId="37911494" w14:textId="77777777">
      <w:pPr>
        <w:spacing w:after="276" w:line="259" w:lineRule="auto"/>
        <w:ind w:left="0" w:right="0" w:firstLine="0"/>
        <w:jc w:val="left"/>
      </w:pPr>
      <w:r>
        <w:t xml:space="preserve"> </w:t>
      </w:r>
    </w:p>
    <w:p w:rsidR="000C2C4B" w:rsidRDefault="00EA45E0" w14:paraId="53CF4E4D" w14:textId="77777777">
      <w:pPr>
        <w:ind w:right="0"/>
      </w:pPr>
      <w:r>
        <w:t xml:space="preserve">Finally, managing and developing talent throughout the employment lifecycle is a major job of the Human Resources department and is critical to the success of a hotel organisation. From attraction to separation, each stage of the lifecycle has its own significance and necessitates specialised techniques for the best outcomes. Attracting prospective applicants requires effective corporate branding and creative use of numerous media. The recruiting phase benefits from technology improvements such as artificial intelligence (AI) to simplify and improve efficiency. Onboarding establishes the basis for an employee's path within the organisation, and a well-planned programme may dramatically minimise early attrition. As shown by Hyatt Hotels Corporation's practises, interactive induction and support tools may help new recruits integrate more smoothly into the organisational culture. Four Seasons Hotels &amp; Resorts has proved that continuous learning and development are critical to improving employee competency and building loyalty. Comprehensive retention methods, such as those used by The Ritz-Carlton, help to preserve employee stability, save recruiting expenses, and ensure an engaged and dedicated team. Even the ultimate step, separation, may contribute positively to the organization's image and work culture when handled professionally and supportively, as illustrated by Accor Hotels. Thus, efficient personnel management and development across the employment lifetime increases not just individual performance but also total organisational effectiveness. Hotel firms may gain a competitive edge and promote long-term success by learning from best practises in the sector and constantly changing their HR policies. </w:t>
      </w:r>
    </w:p>
    <w:p w:rsidR="000C2C4B" w:rsidRDefault="00EA45E0" w14:paraId="52FBC653" w14:textId="77777777">
      <w:pPr>
        <w:spacing w:after="0" w:line="259" w:lineRule="auto"/>
        <w:ind w:left="0" w:right="0" w:firstLine="0"/>
        <w:jc w:val="left"/>
      </w:pPr>
      <w:r>
        <w:t xml:space="preserve"> </w:t>
      </w:r>
      <w:r>
        <w:tab/>
      </w:r>
      <w:r>
        <w:t xml:space="preserve"> </w:t>
      </w:r>
    </w:p>
    <w:p w:rsidR="635BFD0A" w:rsidP="635BFD0A" w:rsidRDefault="635BFD0A" w14:paraId="1679CE3D" w14:textId="0783CE27">
      <w:pPr>
        <w:spacing w:after="297" w:line="259" w:lineRule="auto"/>
        <w:ind w:left="0" w:right="0" w:firstLine="0"/>
        <w:jc w:val="left"/>
        <w:rPr>
          <w:b/>
          <w:bCs/>
        </w:rPr>
      </w:pPr>
    </w:p>
    <w:p w:rsidR="635BFD0A" w:rsidP="635BFD0A" w:rsidRDefault="635BFD0A" w14:paraId="44DB7B71" w14:textId="0331AA33">
      <w:pPr>
        <w:spacing w:after="297" w:line="259" w:lineRule="auto"/>
        <w:ind w:left="0" w:right="0" w:firstLine="0"/>
        <w:jc w:val="left"/>
        <w:rPr>
          <w:b/>
          <w:bCs/>
        </w:rPr>
      </w:pPr>
    </w:p>
    <w:p w:rsidR="000C2C4B" w:rsidRDefault="00EA45E0" w14:paraId="1FF43CA4" w14:textId="77777777">
      <w:pPr>
        <w:spacing w:after="297" w:line="259" w:lineRule="auto"/>
        <w:ind w:left="0" w:right="0" w:firstLine="0"/>
        <w:jc w:val="left"/>
      </w:pPr>
      <w:r>
        <w:rPr>
          <w:b/>
        </w:rPr>
        <w:t xml:space="preserve">References </w:t>
      </w:r>
    </w:p>
    <w:p w:rsidR="000C2C4B" w:rsidRDefault="00EA45E0" w14:paraId="77C714ED" w14:textId="77777777">
      <w:pPr>
        <w:tabs>
          <w:tab w:val="center" w:pos="694"/>
          <w:tab w:val="center" w:pos="2052"/>
          <w:tab w:val="center" w:pos="3428"/>
          <w:tab w:val="center" w:pos="4838"/>
          <w:tab w:val="center" w:pos="6189"/>
          <w:tab w:val="center" w:pos="7630"/>
          <w:tab w:val="right" w:pos="9033"/>
        </w:tabs>
        <w:spacing w:after="125" w:line="259" w:lineRule="auto"/>
        <w:ind w:left="0" w:right="0" w:firstLine="0"/>
        <w:jc w:val="left"/>
      </w:pPr>
      <w:r>
        <w:rPr>
          <w:rFonts w:ascii="Calibri" w:hAnsi="Calibri" w:eastAsia="Calibri" w:cs="Calibri"/>
          <w:sz w:val="22"/>
        </w:rPr>
        <w:tab/>
      </w:r>
      <w:r>
        <w:t xml:space="preserve">Accor. </w:t>
      </w:r>
      <w:r>
        <w:tab/>
      </w:r>
      <w:r>
        <w:t xml:space="preserve">(2019). </w:t>
      </w:r>
      <w:r>
        <w:tab/>
      </w:r>
      <w:r>
        <w:t xml:space="preserve">Annual </w:t>
      </w:r>
      <w:r>
        <w:tab/>
      </w:r>
      <w:r>
        <w:t xml:space="preserve">Report. </w:t>
      </w:r>
      <w:r>
        <w:tab/>
      </w:r>
      <w:r>
        <w:t xml:space="preserve">Accor. </w:t>
      </w:r>
      <w:r>
        <w:tab/>
      </w:r>
      <w:r>
        <w:t xml:space="preserve">Available </w:t>
      </w:r>
      <w:r>
        <w:tab/>
      </w:r>
      <w:r>
        <w:t xml:space="preserve">at: </w:t>
      </w:r>
    </w:p>
    <w:p w:rsidR="000C2C4B" w:rsidRDefault="00EA45E0" w14:paraId="2B7AAE87" w14:textId="77777777">
      <w:pPr>
        <w:ind w:left="355" w:right="0"/>
      </w:pPr>
      <w:r>
        <w:t xml:space="preserve">https://group.accor.com/en/investors/financial-data/financial-results/annualreports (Accessed: 4 June 2023). </w:t>
      </w:r>
    </w:p>
    <w:p w:rsidR="000C2C4B" w:rsidRDefault="00EA45E0" w14:paraId="1C863036" w14:textId="77777777">
      <w:pPr>
        <w:ind w:left="355" w:right="0"/>
      </w:pPr>
      <w:r>
        <w:t xml:space="preserve">Bauer, T. N. (2010). Onboarding new employees: Maximizing success. SHRM Foundation's Effective Practice Guideline Series. </w:t>
      </w:r>
    </w:p>
    <w:p w:rsidR="000C2C4B" w:rsidRDefault="00EA45E0" w14:paraId="62F43FD0" w14:textId="77777777">
      <w:pPr>
        <w:ind w:left="355" w:right="0"/>
      </w:pPr>
      <w:r>
        <w:t xml:space="preserve">Boushey, H., &amp; Glynn, S. J. (2012). There are significant business costs to replacing employees. Center for American Progress, 16(11), 1-9. </w:t>
      </w:r>
    </w:p>
    <w:p w:rsidR="000C2C4B" w:rsidRDefault="00EA45E0" w14:paraId="4F40F13E" w14:textId="77777777">
      <w:pPr>
        <w:ind w:left="355" w:right="0"/>
      </w:pPr>
      <w:r>
        <w:t xml:space="preserve">Collings, D. G., &amp; Mellahi, K. (2009). Strategic talent management: A review and research agenda. Human Resource Management Review, 19(4), 304-313. </w:t>
      </w:r>
    </w:p>
    <w:p w:rsidR="000C2C4B" w:rsidRDefault="00EA45E0" w14:paraId="0973B9D5" w14:textId="77777777">
      <w:pPr>
        <w:spacing w:after="117" w:line="259" w:lineRule="auto"/>
        <w:ind w:left="355" w:right="0"/>
      </w:pPr>
      <w:r>
        <w:t xml:space="preserve">Four Seasons. (2021). Four Seasons Culture. Four Seasons. Available at: </w:t>
      </w:r>
    </w:p>
    <w:p w:rsidR="000C2C4B" w:rsidRDefault="00EA45E0" w14:paraId="37ACDFD8" w14:textId="77777777">
      <w:pPr>
        <w:ind w:left="355" w:right="0"/>
      </w:pPr>
      <w:r>
        <w:t xml:space="preserve">https://www.fourseasons.com/about_four_seasons/four-seasons-culture/ (Accessed: 4 June 2023). </w:t>
      </w:r>
    </w:p>
    <w:p w:rsidR="000C2C4B" w:rsidRDefault="00EA45E0" w14:paraId="7E143589" w14:textId="77777777">
      <w:pPr>
        <w:ind w:left="355" w:right="0"/>
      </w:pPr>
      <w:r>
        <w:t xml:space="preserve">Hom, P. W., Lee, T. W., Shaw, J. D., &amp; Hausknecht, J. P. (2017). One hundred years of employee turnover theory and research. Journal of Applied Psychology, 102(3), 530-546. </w:t>
      </w:r>
    </w:p>
    <w:p w:rsidR="000C2C4B" w:rsidRDefault="00EA45E0" w14:paraId="6856C154" w14:textId="77777777">
      <w:pPr>
        <w:ind w:left="355" w:right="0"/>
      </w:pPr>
      <w:r>
        <w:t xml:space="preserve">Hyatt (2016). Hyatt Named to 2016 Fortune “100 Best Companies to Work For®” in America List. Hyatt Newsroom. </w:t>
      </w:r>
    </w:p>
    <w:p w:rsidR="000C2C4B" w:rsidRDefault="00EA45E0" w14:paraId="63439765" w14:textId="77777777">
      <w:pPr>
        <w:ind w:left="355" w:right="0"/>
      </w:pPr>
      <w:r>
        <w:t xml:space="preserve">Kramar, R. (2014). Beyond strategic human resource management: is sustainable human resource management the next approach?. The International Journal of Human Resource Management, 25(8), 1069-1089. </w:t>
      </w:r>
    </w:p>
    <w:p w:rsidR="000C2C4B" w:rsidRDefault="00EA45E0" w14:paraId="3313DC67" w14:textId="77777777">
      <w:pPr>
        <w:ind w:left="355" w:right="0"/>
      </w:pPr>
      <w:r>
        <w:t xml:space="preserve">Kwenin, D. O., Muathe, S., &amp; Nzulwa, R. (2013). The influence of employee rewards, human resource policies and job satisfaction on the retention of employees in Vodafone Ghana Limited. European Journal of Business and Management, 5(12), 13-20. </w:t>
      </w:r>
    </w:p>
    <w:p w:rsidR="000C2C4B" w:rsidRDefault="00EA45E0" w14:paraId="1BFB25AD" w14:textId="77777777">
      <w:pPr>
        <w:spacing w:after="190"/>
        <w:ind w:left="355" w:right="0"/>
      </w:pPr>
      <w:r>
        <w:t xml:space="preserve">Noe, R. A., Hollenbeck, J. R., Gerhart, B., &amp; Wright, P. M. (2017). Human resource management: Gaining a competitive advantage. New York, NY: McGraw-Hill Education. </w:t>
      </w:r>
    </w:p>
    <w:p w:rsidR="000C2C4B" w:rsidRDefault="00EA45E0" w14:paraId="0CE1118D" w14:textId="77777777">
      <w:pPr>
        <w:spacing w:line="259" w:lineRule="auto"/>
        <w:ind w:left="355" w:right="0"/>
      </w:pPr>
      <w:r>
        <w:t xml:space="preserve">Ritz-Carlton. (2020). Gold Standards. Ritz-Carlton. </w:t>
      </w:r>
    </w:p>
    <w:p w:rsidR="000C2C4B" w:rsidRDefault="00EA45E0" w14:paraId="316B0E70" w14:textId="77777777">
      <w:pPr>
        <w:ind w:left="355" w:right="0"/>
      </w:pPr>
      <w:r>
        <w:t xml:space="preserve">Rollag, K., Parise, S., &amp; Cross, R. (2005). Getting new hires up to speed quickly. MIT Sloan management review, 46(2), 35-39. </w:t>
      </w:r>
    </w:p>
    <w:p w:rsidR="000C2C4B" w:rsidRDefault="00EA45E0" w14:paraId="7315ABB6" w14:textId="77777777">
      <w:pPr>
        <w:ind w:left="355" w:right="0"/>
      </w:pPr>
      <w:r>
        <w:t xml:space="preserve">Saks, A. M., &amp; Gruman, J. A. (2014). What do we really know about employee engagement? Human Resource Development Quarterly, 25(2), 155-182. </w:t>
      </w:r>
    </w:p>
    <w:p w:rsidR="000C2C4B" w:rsidRDefault="00EA45E0" w14:paraId="21695AD5" w14:textId="77777777">
      <w:pPr>
        <w:ind w:left="355" w:right="0"/>
      </w:pPr>
      <w:r>
        <w:t xml:space="preserve">Towers Watson. (2012). Global Workforce Study - Engagement at Risk: Driving Strong Performance in a Volatile Global Environment. Towers Watson. </w:t>
      </w:r>
    </w:p>
    <w:p w:rsidR="000C2C4B" w:rsidRDefault="00EA45E0" w14:paraId="61CE5EA4" w14:textId="77777777">
      <w:pPr>
        <w:spacing w:after="139" w:line="378" w:lineRule="auto"/>
        <w:ind w:left="360" w:right="0" w:firstLine="0"/>
        <w:jc w:val="left"/>
      </w:pPr>
      <w:r>
        <w:t xml:space="preserve">Wright, P. M., &amp; McMahan, G. C. (2011). Exploring human capital: putting ‘human’ back into strategic human resource management. Human Resource Management Journal, 21(2), 93-104. </w:t>
      </w:r>
    </w:p>
    <w:p w:rsidR="000C2C4B" w:rsidRDefault="00EA45E0" w14:paraId="45119B6F" w14:textId="77777777">
      <w:pPr>
        <w:ind w:left="355" w:right="0"/>
      </w:pPr>
      <w:r>
        <w:t xml:space="preserve">Waldman, D. A., Carter, M. Z., Hom, P. W., &amp; Bommer, W. H. (2018). A company's ethical environment and its relationship to employee engagement and voluntary turnover. Journal of Business and Psychology, 33(6), 749-762. </w:t>
      </w:r>
    </w:p>
    <w:sectPr w:rsidR="000C2C4B">
      <w:pgSz w:w="11906" w:h="16838"/>
      <w:pgMar w:top="766" w:right="1433" w:bottom="76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1"/>
    <w:family w:val="roman"/>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C4B"/>
    <w:rsid w:val="00090E4A"/>
    <w:rsid w:val="000C2C4B"/>
    <w:rsid w:val="00AB0266"/>
    <w:rsid w:val="00EA45E0"/>
    <w:rsid w:val="635BFD0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52B71677"/>
  <w15:docId w15:val="{1D4DBD89-D407-4E77-87CB-FEE5E6FF7E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8"/>
        <w:lang w:val="en-GB" w:eastAsia="en-GB"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48" w:line="369" w:lineRule="auto"/>
      <w:ind w:left="10" w:right="6" w:hanging="10"/>
      <w:jc w:val="both"/>
    </w:pPr>
    <w:rPr>
      <w:rFonts w:ascii="Arial" w:hAnsi="Arial" w:eastAsia="Arial" w:cs="Arial"/>
      <w:color w:val="000000"/>
      <w:sz w:val="24"/>
      <w:lang w:val="en-MY" w:eastAsia="en-MY" w:bidi="en-MY"/>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2609</Words>
  <Characters>14872</Characters>
  <Application>Microsoft Office Word</Application>
  <DocSecurity>4</DocSecurity>
  <Lines>123</Lines>
  <Paragraphs>34</Paragraphs>
  <ScaleCrop>false</ScaleCrop>
  <Company/>
  <LinksUpToDate>false</LinksUpToDate>
  <CharactersWithSpaces>17447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Mohammod Suhel Miah (2126980)</cp:lastModifiedBy>
  <cp:revision>3</cp:revision>
  <dcterms:created xsi:type="dcterms:W3CDTF">2023-06-07T08:14:00Z</dcterms:created>
  <dcterms:modified xsi:type="dcterms:W3CDTF">2023-06-07T08:23:00Z</dcterms:modified>
</cp:coreProperties>
</file>