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31FBCFF" w:rsidR="00986B43" w:rsidRPr="00692695"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692695">
              <w:rPr>
                <w:rFonts w:ascii="Times New Roman" w:hAnsi="Times New Roman" w:cs="Times New Roman"/>
                <w:b/>
                <w:color w:val="auto"/>
                <w:sz w:val="44"/>
                <w:szCs w:val="18"/>
              </w:rPr>
              <w:t>Learner’s name:</w:t>
            </w:r>
            <w:r w:rsidR="00247265" w:rsidRPr="00692695">
              <w:rPr>
                <w:rFonts w:ascii="Times New Roman" w:hAnsi="Times New Roman" w:cs="Times New Roman"/>
                <w:b/>
                <w:color w:val="auto"/>
                <w:sz w:val="44"/>
                <w:szCs w:val="18"/>
              </w:rPr>
              <w:t xml:space="preserve"> </w:t>
            </w:r>
            <w:r w:rsidR="00692695" w:rsidRPr="00692695">
              <w:rPr>
                <w:rFonts w:ascii="Times New Roman" w:hAnsi="Times New Roman" w:cs="Times New Roman"/>
                <w:b/>
                <w:color w:val="auto"/>
                <w:sz w:val="44"/>
                <w:szCs w:val="18"/>
              </w:rPr>
              <w:t>Vicky Bowen</w:t>
            </w:r>
          </w:p>
          <w:p w14:paraId="0B6CD0DB" w14:textId="689515B5" w:rsidR="009C337F" w:rsidRPr="00692695"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60A84818" w:rsidR="009C337F" w:rsidRPr="00692695"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692695">
              <w:rPr>
                <w:rFonts w:ascii="Times New Roman" w:hAnsi="Times New Roman" w:cs="Times New Roman"/>
                <w:b/>
                <w:color w:val="auto"/>
                <w:sz w:val="44"/>
                <w:szCs w:val="18"/>
              </w:rPr>
              <w:t>Email address:</w:t>
            </w:r>
            <w:r w:rsidR="00692695" w:rsidRPr="00692695">
              <w:rPr>
                <w:rFonts w:ascii="Times New Roman" w:hAnsi="Times New Roman" w:cs="Times New Roman"/>
                <w:b/>
                <w:color w:val="auto"/>
                <w:sz w:val="44"/>
                <w:szCs w:val="18"/>
              </w:rPr>
              <w:t>victoriabowen16@gmail.com</w:t>
            </w:r>
          </w:p>
          <w:p w14:paraId="22E38809" w14:textId="77777777" w:rsidR="00986B43" w:rsidRPr="00692695"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3ABB1E5" w:rsidR="00F927A1" w:rsidRPr="00692695"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692695">
              <w:rPr>
                <w:rFonts w:ascii="Times New Roman" w:hAnsi="Times New Roman" w:cs="Times New Roman"/>
                <w:b/>
                <w:color w:val="auto"/>
                <w:sz w:val="44"/>
                <w:szCs w:val="18"/>
              </w:rPr>
              <w:t>Learner’s University Registration</w:t>
            </w:r>
            <w:r w:rsidR="00F927A1" w:rsidRPr="00692695">
              <w:rPr>
                <w:rFonts w:ascii="Times New Roman" w:hAnsi="Times New Roman" w:cs="Times New Roman"/>
                <w:b/>
                <w:color w:val="auto"/>
                <w:sz w:val="44"/>
                <w:szCs w:val="18"/>
              </w:rPr>
              <w:t xml:space="preserve"> Number:</w:t>
            </w:r>
            <w:r w:rsidR="00692695" w:rsidRPr="00692695">
              <w:rPr>
                <w:rFonts w:ascii="Times New Roman" w:hAnsi="Times New Roman" w:cs="Times New Roman"/>
                <w:b/>
                <w:color w:val="auto"/>
                <w:sz w:val="44"/>
                <w:szCs w:val="18"/>
              </w:rPr>
              <w:t>2521753</w:t>
            </w:r>
          </w:p>
          <w:p w14:paraId="622FD17A" w14:textId="77777777" w:rsidR="0085230E" w:rsidRPr="00692695"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92695">
              <w:rPr>
                <w:rFonts w:ascii="Times New Roman" w:hAnsi="Times New Roman" w:cs="Times New Roman"/>
                <w:b/>
                <w:color w:val="auto"/>
                <w:sz w:val="44"/>
                <w:szCs w:val="18"/>
              </w:rPr>
              <w:t xml:space="preserve">Cohort: </w:t>
            </w:r>
            <w:r w:rsidR="00B037B0" w:rsidRPr="00692695">
              <w:rPr>
                <w:rFonts w:ascii="Times New Roman" w:hAnsi="Times New Roman" w:cs="Times New Roman"/>
                <w:b/>
                <w:color w:val="auto"/>
                <w:sz w:val="44"/>
                <w:szCs w:val="18"/>
              </w:rPr>
              <w:t>21</w:t>
            </w:r>
            <w:r w:rsidR="00AE6231" w:rsidRPr="00692695">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0092BE35" w14:textId="77777777" w:rsidR="009F3B83" w:rsidRPr="009F3B83" w:rsidRDefault="009F3B83" w:rsidP="009F3B83">
            <w:pPr>
              <w:jc w:val="both"/>
              <w:rPr>
                <w:iCs/>
                <w:sz w:val="24"/>
                <w:szCs w:val="24"/>
              </w:rPr>
            </w:pPr>
          </w:p>
          <w:p w14:paraId="1897AFD4" w14:textId="77777777" w:rsidR="009F3B83" w:rsidRPr="009F3B83" w:rsidRDefault="009F3B83" w:rsidP="009F3B83">
            <w:pPr>
              <w:jc w:val="both"/>
              <w:rPr>
                <w:iCs/>
                <w:sz w:val="24"/>
                <w:szCs w:val="24"/>
              </w:rPr>
            </w:pPr>
            <w:r w:rsidRPr="009F3B83">
              <w:rPr>
                <w:iCs/>
                <w:sz w:val="24"/>
                <w:szCs w:val="24"/>
              </w:rPr>
              <w:t xml:space="preserve">This assignment outlines a work-based situation regarding a safeguarding concern which was raised within an initial assessment team in children’s services in Wales. To maintain confidentially individuals will be anonymised by number. Father will be referred to as individual one, mother by individual two and the children as their own allocated numeral. This intervention began following a safeguarding referral from the Police relating to domestic abuse and potential emotional harm, alongside the impact of parental difficulties upon the children’s wellbeing. </w:t>
            </w:r>
          </w:p>
          <w:p w14:paraId="0E4110D1" w14:textId="77777777" w:rsidR="009F3B83" w:rsidRPr="009F3B83" w:rsidRDefault="009F3B83" w:rsidP="009F3B83">
            <w:pPr>
              <w:jc w:val="both"/>
              <w:rPr>
                <w:iCs/>
                <w:sz w:val="24"/>
                <w:szCs w:val="24"/>
              </w:rPr>
            </w:pPr>
          </w:p>
          <w:p w14:paraId="712ED4C3" w14:textId="77777777" w:rsidR="009F3B83" w:rsidRPr="009F3B83" w:rsidRDefault="009F3B83" w:rsidP="009F3B83">
            <w:pPr>
              <w:jc w:val="both"/>
              <w:rPr>
                <w:iCs/>
                <w:sz w:val="24"/>
                <w:szCs w:val="24"/>
              </w:rPr>
            </w:pPr>
            <w:r w:rsidRPr="009F3B83">
              <w:rPr>
                <w:iCs/>
                <w:sz w:val="24"/>
                <w:szCs w:val="24"/>
              </w:rPr>
              <w:t>The purpose of this assignment is to reflect upon the safeguarding process, how professional judgments were reached within this complex safeguarding situation. It will be highlighted how information from the children, parents and other agencies such as health and education, support how the risk and needs were determined, alongside the impact collaborative working and the final decision-making process was concluded, utilising supervision.</w:t>
            </w:r>
          </w:p>
          <w:p w14:paraId="2CA53331" w14:textId="77777777" w:rsidR="009F3B83" w:rsidRPr="009F3B83" w:rsidRDefault="009F3B83" w:rsidP="009F3B83">
            <w:pPr>
              <w:jc w:val="both"/>
              <w:rPr>
                <w:iCs/>
                <w:sz w:val="24"/>
                <w:szCs w:val="24"/>
              </w:rPr>
            </w:pPr>
          </w:p>
          <w:p w14:paraId="58A9A1B6" w14:textId="0C490302" w:rsidR="009F3B83" w:rsidRPr="009F3B83" w:rsidRDefault="009F3B83" w:rsidP="009F3B83">
            <w:pPr>
              <w:jc w:val="both"/>
              <w:rPr>
                <w:iCs/>
                <w:sz w:val="24"/>
                <w:szCs w:val="24"/>
              </w:rPr>
            </w:pPr>
            <w:r w:rsidRPr="009F3B83">
              <w:rPr>
                <w:iCs/>
                <w:sz w:val="24"/>
                <w:szCs w:val="24"/>
              </w:rPr>
              <w:t xml:space="preserve">The legislation and policy framework that underpins intervention in Wales, such as the Social Services Wellbeing (Wales) Act, the Children Act (1989), the Wales Safeguarding Procedures (2019), alongside the United Nations Convention on the Rights of the Child will all be measured. Reflective social work theories such as trauma informed practice, Signs of Safety and the model of change will be a focus. </w:t>
            </w:r>
          </w:p>
          <w:p w14:paraId="7EADA4D2" w14:textId="77777777" w:rsidR="009F3B83" w:rsidRPr="009F3B83" w:rsidRDefault="009F3B83" w:rsidP="009F3B83">
            <w:pPr>
              <w:jc w:val="both"/>
              <w:rPr>
                <w:iCs/>
                <w:sz w:val="24"/>
                <w:szCs w:val="24"/>
              </w:rPr>
            </w:pPr>
          </w:p>
          <w:p w14:paraId="66990718" w14:textId="77777777" w:rsidR="009F3B83" w:rsidRPr="009F3B83" w:rsidRDefault="009F3B83" w:rsidP="009F3B83">
            <w:pPr>
              <w:jc w:val="both"/>
              <w:rPr>
                <w:iCs/>
                <w:sz w:val="24"/>
                <w:szCs w:val="24"/>
              </w:rPr>
            </w:pPr>
            <w:r w:rsidRPr="009F3B83">
              <w:rPr>
                <w:iCs/>
                <w:sz w:val="24"/>
                <w:szCs w:val="24"/>
              </w:rPr>
              <w:lastRenderedPageBreak/>
              <w:t>Achieving best outcomes for the children and families we are supporting is the leading outcome behind all intervention, this essay will demonstrate the collaborative working, professional judgement and multi-agency working which is involved within safeguarding in social work, recognising the importance of working in a strengths-based, child-centred way.</w:t>
            </w:r>
          </w:p>
          <w:p w14:paraId="17B218D6" w14:textId="77777777" w:rsidR="009F3B83" w:rsidRPr="009F3B83" w:rsidRDefault="009F3B83" w:rsidP="009F3B83">
            <w:pPr>
              <w:jc w:val="both"/>
              <w:rPr>
                <w:iCs/>
                <w:sz w:val="24"/>
                <w:szCs w:val="24"/>
              </w:rPr>
            </w:pPr>
          </w:p>
          <w:p w14:paraId="266F798C" w14:textId="6F931401" w:rsidR="009F3B83" w:rsidRPr="009F3B83" w:rsidRDefault="009F3B83" w:rsidP="009F3B83">
            <w:pPr>
              <w:jc w:val="both"/>
              <w:rPr>
                <w:iCs/>
                <w:sz w:val="24"/>
                <w:szCs w:val="24"/>
              </w:rPr>
            </w:pPr>
            <w:r w:rsidRPr="009F3B83">
              <w:rPr>
                <w:iCs/>
                <w:sz w:val="24"/>
                <w:szCs w:val="24"/>
              </w:rPr>
              <w:t xml:space="preserve">As stated above, for this assignment, individuals will be anonymised. The family unit consists of four members, with a fifth child expected. Individual one and Individual two are the parents of Child one, who has autism spectrum disorder (ASD), has complex health needs and is non-verbal and Child two who can communicate however is too young to understand why professional involved is required or the worries held, leading to the safeguarding concerns. During this intervention, Individual two is pregnant with child number three. </w:t>
            </w:r>
          </w:p>
          <w:p w14:paraId="1D96C55B" w14:textId="77777777" w:rsidR="009F3B83" w:rsidRPr="009F3B83" w:rsidRDefault="009F3B83" w:rsidP="009F3B83">
            <w:pPr>
              <w:jc w:val="both"/>
              <w:rPr>
                <w:iCs/>
                <w:sz w:val="24"/>
                <w:szCs w:val="24"/>
              </w:rPr>
            </w:pPr>
          </w:p>
          <w:p w14:paraId="3C1DF133" w14:textId="3E8CAD47" w:rsidR="009F3B83" w:rsidRPr="009F3B83" w:rsidRDefault="009F3B83" w:rsidP="009F3B83">
            <w:pPr>
              <w:jc w:val="both"/>
              <w:rPr>
                <w:iCs/>
                <w:sz w:val="24"/>
                <w:szCs w:val="24"/>
              </w:rPr>
            </w:pPr>
            <w:r w:rsidRPr="009F3B83">
              <w:rPr>
                <w:iCs/>
                <w:sz w:val="24"/>
                <w:szCs w:val="24"/>
              </w:rPr>
              <w:t>This referral was shared by Police after a report of domestic abuse within the home. Individual two rang the Police after a discussion between herself and individual one escalated, leading to Individual one pushing her against the wall, kicking the bin and then leaving the home. Individual one was arrested and interviewed by Police after the incident. Following this information being shared a strategy discussion was held, in line with the Wales Safeguarding Procedures (2019) to share all other information from other agencies and determine if threshold had been met to initiate Section 47 enquiries. It was agreed that threshold had been met for Children’s services to undertake a single-agency Section 47 investigation under the Children Act (1989)</w:t>
            </w:r>
            <w:r w:rsidR="00844542">
              <w:rPr>
                <w:iCs/>
                <w:sz w:val="24"/>
                <w:szCs w:val="24"/>
              </w:rPr>
              <w:t xml:space="preserve"> which was required to be completed within </w:t>
            </w:r>
            <w:r w:rsidR="009F0008">
              <w:rPr>
                <w:iCs/>
                <w:sz w:val="24"/>
                <w:szCs w:val="24"/>
              </w:rPr>
              <w:t>10 working days</w:t>
            </w:r>
            <w:r w:rsidRPr="009F3B83">
              <w:rPr>
                <w:iCs/>
                <w:sz w:val="24"/>
                <w:szCs w:val="24"/>
              </w:rPr>
              <w:t xml:space="preserve">, due to the worries held around the impact of the domestic abuse could potentially be having upon the emotional wellbeing of the children. </w:t>
            </w:r>
          </w:p>
          <w:p w14:paraId="63BB13C2" w14:textId="77777777" w:rsidR="009F3B83" w:rsidRPr="009F3B83" w:rsidRDefault="009F3B83" w:rsidP="009F3B83">
            <w:pPr>
              <w:jc w:val="both"/>
              <w:rPr>
                <w:iCs/>
                <w:sz w:val="24"/>
                <w:szCs w:val="24"/>
              </w:rPr>
            </w:pPr>
          </w:p>
          <w:p w14:paraId="1AF1D857" w14:textId="23208E15" w:rsidR="009F3B83" w:rsidRPr="009F3B83" w:rsidRDefault="009F3B83" w:rsidP="009F3B83">
            <w:pPr>
              <w:jc w:val="both"/>
              <w:rPr>
                <w:iCs/>
                <w:sz w:val="24"/>
                <w:szCs w:val="24"/>
              </w:rPr>
            </w:pPr>
            <w:r w:rsidRPr="009F3B83">
              <w:rPr>
                <w:iCs/>
                <w:sz w:val="24"/>
                <w:szCs w:val="24"/>
              </w:rPr>
              <w:t xml:space="preserve">My first action was to make contact with Individual two safely, I first identified whether it was safe to speak with her openly on a phone call. I felt this consideration was extremely important, given the nature of the referral as I could recognise the risk associated with domestic abuse within the family home. Individual two confirmed it was safe to speak with her and agreed to meet me at the local authority offices to discuss the referral and safeguarding intervention further. I felt that initially meeting away from the family home gave individual two the freedom to speak openly and safely without risk of escalation or coercion. During the conversation individual two shared that she felt safe with her home and relationship, she understood the need for children’s services to undertake the safeguarding investigation given what the Police had shared and consented to visit to the family home and to visit the children at school. Individual two did share her own anxieties about childrens services involvement, given her own experiences as a child but she confirmed she was willing to engage openly and was clear there was no further risk of escalation from Individual one. </w:t>
            </w:r>
          </w:p>
          <w:p w14:paraId="4B05336F" w14:textId="77777777" w:rsidR="009F3B83" w:rsidRPr="009F3B83" w:rsidRDefault="009F3B83" w:rsidP="009F3B83">
            <w:pPr>
              <w:jc w:val="both"/>
              <w:rPr>
                <w:iCs/>
                <w:sz w:val="24"/>
                <w:szCs w:val="24"/>
              </w:rPr>
            </w:pPr>
          </w:p>
          <w:p w14:paraId="2192FB26" w14:textId="77777777" w:rsidR="009F3B83" w:rsidRPr="009F3B83" w:rsidRDefault="009F3B83" w:rsidP="009F3B83">
            <w:pPr>
              <w:jc w:val="both"/>
              <w:rPr>
                <w:iCs/>
                <w:sz w:val="24"/>
                <w:szCs w:val="24"/>
              </w:rPr>
            </w:pPr>
            <w:r w:rsidRPr="009F3B83">
              <w:rPr>
                <w:iCs/>
                <w:sz w:val="24"/>
                <w:szCs w:val="24"/>
              </w:rPr>
              <w:t xml:space="preserve">Linking to the Welsh Government’s Active Offer principles, I explored Individual two’s language preferences during the first discussion. The Active Offer recommends that those working within the public sector services in Wales offer language services to those in Wales without having to request them. This ensures that all language need preferences are being met. Furthermore, the More Than Just Words initiative guides the Active Offer as it aims to support individuals wanting to receive the required service in Welsh (Welsh Government 2015). Individual two shared she would like communications in English as her first language, therefore all interventions continued in English. This is an area I have reflected upon as the </w:t>
            </w:r>
            <w:r w:rsidRPr="009F3B83">
              <w:rPr>
                <w:iCs/>
                <w:sz w:val="24"/>
                <w:szCs w:val="24"/>
              </w:rPr>
              <w:lastRenderedPageBreak/>
              <w:t xml:space="preserve">amount of Welsh speaking social workers within my local authority is limited, and when intervention is required urgently in terms of safeguarding it could mean delay. </w:t>
            </w:r>
          </w:p>
          <w:p w14:paraId="1EB9A1C5" w14:textId="77777777" w:rsidR="009F3B83" w:rsidRPr="009F3B83" w:rsidRDefault="009F3B83" w:rsidP="009F3B83">
            <w:pPr>
              <w:jc w:val="both"/>
              <w:rPr>
                <w:iCs/>
                <w:sz w:val="24"/>
                <w:szCs w:val="24"/>
              </w:rPr>
            </w:pPr>
          </w:p>
          <w:p w14:paraId="527FC88C" w14:textId="77777777" w:rsidR="009F3B83" w:rsidRPr="009F3B83" w:rsidRDefault="009F3B83" w:rsidP="009F3B83">
            <w:pPr>
              <w:jc w:val="both"/>
              <w:rPr>
                <w:iCs/>
                <w:sz w:val="24"/>
                <w:szCs w:val="24"/>
              </w:rPr>
            </w:pPr>
            <w:r w:rsidRPr="009F3B83">
              <w:rPr>
                <w:iCs/>
                <w:sz w:val="24"/>
                <w:szCs w:val="24"/>
              </w:rPr>
              <w:t xml:space="preserve">Throughout this intervention, I thought about any barriers which could affect the quality of the intervention. The first aspect was that the nature of the referral considered careful thought as  if Individual two could speak safely within the family home, which informed my decision to arrange a discussion within the local authority office. Gathering the voices of both children presented a challenge, for Child one his ASD and non-verbal communication and limited understanding of social work involvement, required creative methods of communication and more observations from those around him to understand his lived experiences. Child two could communicate with me in a basic way, however due to their age they had no understanding of professional involvement or the worries being investigated. This evidenced the importance of gathering information from other agencies who are strongly involved within the children’s lives. </w:t>
            </w:r>
          </w:p>
          <w:p w14:paraId="0B3D95BA" w14:textId="77777777" w:rsidR="009F3B83" w:rsidRPr="009F3B83" w:rsidRDefault="009F3B83" w:rsidP="009F3B83">
            <w:pPr>
              <w:jc w:val="both"/>
              <w:rPr>
                <w:iCs/>
                <w:sz w:val="24"/>
                <w:szCs w:val="24"/>
              </w:rPr>
            </w:pPr>
          </w:p>
          <w:p w14:paraId="54A5C581" w14:textId="77777777" w:rsidR="009F3B83" w:rsidRPr="009F3B83" w:rsidRDefault="009F3B83" w:rsidP="009F3B83">
            <w:pPr>
              <w:jc w:val="both"/>
              <w:rPr>
                <w:iCs/>
                <w:sz w:val="24"/>
                <w:szCs w:val="24"/>
              </w:rPr>
            </w:pPr>
            <w:r w:rsidRPr="009F3B83">
              <w:rPr>
                <w:iCs/>
                <w:sz w:val="24"/>
                <w:szCs w:val="24"/>
              </w:rPr>
              <w:t xml:space="preserve">During the intervention, Individual one and Individual two honestly discussed their own experiences as children. Individual two shared her mother had passed away when she was young, leading her to being raised by her father, who regularly drank alcohol and used physical chastisement as discipline within the family home. Individual two shared memories of moving home often, her father having different relationships and previous involvement from children’s services when she was a child due to her father lifestyle choices and parenting capacity. Individual one shared a difficult childhood experience, associated with a stigma of his father being a sexual offender within the local community, he shared how the impact of this growing up negatively affected his childhood and adolescence, that he changed his surname via deed poll when he was an adult. </w:t>
            </w:r>
          </w:p>
          <w:p w14:paraId="7696C3E5" w14:textId="77777777" w:rsidR="009F3B83" w:rsidRPr="009F3B83" w:rsidRDefault="009F3B83" w:rsidP="009F3B83">
            <w:pPr>
              <w:jc w:val="both"/>
              <w:rPr>
                <w:iCs/>
                <w:sz w:val="24"/>
                <w:szCs w:val="24"/>
              </w:rPr>
            </w:pPr>
          </w:p>
          <w:p w14:paraId="10E626D3" w14:textId="32F771BA" w:rsidR="009F3B83" w:rsidRPr="009F3B83" w:rsidRDefault="009F3B83" w:rsidP="009F3B83">
            <w:pPr>
              <w:jc w:val="both"/>
              <w:rPr>
                <w:iCs/>
                <w:sz w:val="24"/>
                <w:szCs w:val="24"/>
              </w:rPr>
            </w:pPr>
            <w:r w:rsidRPr="009F3B83">
              <w:rPr>
                <w:iCs/>
                <w:sz w:val="24"/>
                <w:szCs w:val="24"/>
              </w:rPr>
              <w:t xml:space="preserve">The childhood experiences described by Individual one and two outline Adverse Childhood Experiences (ACEs). Research indicated that childhood trauma can influence adult relationships, daily functioning, coping mechanisms and parenting capacity. A social learning theory by Bandura (1977) shared the view that some experiences during childhood might become normalised and replicated within adulthood. I had to reflect as to whether the escalation in behaviour during conflict, the choices of communication style, the ways of managing stressors had become normalised due to their lived childhood experiences. However, I approached this view with caution, as the trauma informed way of practice recognises how some individuals develop positive coping mechanism, parenting capacity and choices of communication despite the adversity they have experienced.  </w:t>
            </w:r>
          </w:p>
          <w:p w14:paraId="686C1F3A" w14:textId="77777777" w:rsidR="009F3B83" w:rsidRPr="009F3B83" w:rsidRDefault="009F3B83" w:rsidP="009F3B83">
            <w:pPr>
              <w:jc w:val="both"/>
              <w:rPr>
                <w:iCs/>
                <w:sz w:val="24"/>
                <w:szCs w:val="24"/>
              </w:rPr>
            </w:pPr>
          </w:p>
          <w:p w14:paraId="16F6E537" w14:textId="06E73240" w:rsidR="009F3B83" w:rsidRPr="009F3B83" w:rsidRDefault="009F3B83" w:rsidP="009F3B83">
            <w:pPr>
              <w:jc w:val="both"/>
              <w:rPr>
                <w:iCs/>
                <w:sz w:val="24"/>
                <w:szCs w:val="24"/>
              </w:rPr>
            </w:pPr>
            <w:r w:rsidRPr="009F3B83">
              <w:rPr>
                <w:iCs/>
                <w:sz w:val="24"/>
                <w:szCs w:val="24"/>
              </w:rPr>
              <w:t xml:space="preserve">Bowlby (1969) theory of attachment further informed my understanding, as it states that early attachment experiences can shape how we form relationships later in life. Individual one and Individual two shared an adverse childhood with many disruptions, which could have affected how they present within their current adult relationship. Even though, this theory does focus upon how individuals can have the capacity to form secure relationships later in life even given an adverse childhood. Individual one and Individual two have been in a committed relationship for over eighteen years, suggesting a solid basis and shared commitment to their children, which I considered a positive, protective factor within this intervention, while also balancing the other risk factors. </w:t>
            </w:r>
          </w:p>
          <w:p w14:paraId="18C42D19" w14:textId="77777777" w:rsidR="009F3B83" w:rsidRPr="009F3B83" w:rsidRDefault="009F3B83" w:rsidP="009F3B83">
            <w:pPr>
              <w:jc w:val="both"/>
              <w:rPr>
                <w:iCs/>
                <w:sz w:val="24"/>
                <w:szCs w:val="24"/>
              </w:rPr>
            </w:pPr>
          </w:p>
          <w:p w14:paraId="3902E1D0" w14:textId="77777777" w:rsidR="009F3B83" w:rsidRPr="009F3B83" w:rsidRDefault="009F3B83" w:rsidP="009F3B83">
            <w:pPr>
              <w:jc w:val="both"/>
              <w:rPr>
                <w:iCs/>
                <w:sz w:val="24"/>
                <w:szCs w:val="24"/>
              </w:rPr>
            </w:pPr>
            <w:r w:rsidRPr="009F3B83">
              <w:rPr>
                <w:iCs/>
                <w:sz w:val="24"/>
                <w:szCs w:val="24"/>
              </w:rPr>
              <w:t xml:space="preserve">During this intervention two other concerns were identified, of gambling and sporadic cannabis use. However, the intervention did identify large strengths within the family. Both parents had safeguarded their children from wider family members who pose risk by ensuring there is no contact by Individual one’s father and limiting any contact between other family members who are still in contact with Individual one’s father. The family home was observed to be clean, well organised, age-appropriate toys present and safety measure such as stair gates in place for the children. Even though, gambling was an active worry the family’s finances were not a concern and the children presented with everything they needed in terms of basic care and educational presentation, Child one attending a specialist provision and Child two attended nursery. Individual two had consistently attended all medical and antenatal appointments during the pregnancy. Individual one did show some insight into his gambling and the impact this was having on his family, hence the application of the gambling blocker on his mobile phone, alongside sharing that cannabis was not smoked within the home and he is never under the influence of this while caring for the children. </w:t>
            </w:r>
          </w:p>
          <w:p w14:paraId="3E9DB836" w14:textId="77777777" w:rsidR="009F3B83" w:rsidRPr="009F3B83" w:rsidRDefault="009F3B83" w:rsidP="009F3B83">
            <w:pPr>
              <w:jc w:val="both"/>
              <w:rPr>
                <w:iCs/>
                <w:sz w:val="24"/>
                <w:szCs w:val="24"/>
              </w:rPr>
            </w:pPr>
          </w:p>
          <w:p w14:paraId="43B0CCAE" w14:textId="77777777" w:rsidR="009F3B83" w:rsidRPr="009F3B83" w:rsidRDefault="009F3B83" w:rsidP="009F3B83">
            <w:pPr>
              <w:jc w:val="both"/>
              <w:rPr>
                <w:iCs/>
                <w:sz w:val="24"/>
                <w:szCs w:val="24"/>
              </w:rPr>
            </w:pPr>
            <w:r w:rsidRPr="009F3B83">
              <w:rPr>
                <w:iCs/>
                <w:sz w:val="24"/>
                <w:szCs w:val="24"/>
              </w:rPr>
              <w:t xml:space="preserve">Initially the main worry was in regards to domestic abuse and the potential impact of this had on the children in respect of their emotional wellbeing. Both Individual one and Individual two shared the same narrative that neither of the children witnessed the physical altercation. Commonly the view is that if children do not see the event, no harm can be experienced by them, however research shows that children do not need to witness an event to experience harm, they are living within an environment where there is conflict, tensions, unpredictable emotions from their primary care givers (Barnardo’s 2026) which all has a significant impact on their sense of safety and emotional wellbeing. This is why it was significant that this intervention was explored in a holistic manner, looking at the wider context of family functioning and individual needs of all the children. </w:t>
            </w:r>
          </w:p>
          <w:p w14:paraId="70A8F99D" w14:textId="77777777" w:rsidR="009F3B83" w:rsidRPr="009F3B83" w:rsidRDefault="009F3B83" w:rsidP="009F3B83">
            <w:pPr>
              <w:jc w:val="both"/>
              <w:rPr>
                <w:iCs/>
                <w:sz w:val="24"/>
                <w:szCs w:val="24"/>
              </w:rPr>
            </w:pPr>
          </w:p>
          <w:p w14:paraId="1D7CE40A" w14:textId="77777777" w:rsidR="009F3B83" w:rsidRPr="009F3B83" w:rsidRDefault="009F3B83" w:rsidP="009F3B83">
            <w:pPr>
              <w:jc w:val="both"/>
              <w:rPr>
                <w:iCs/>
                <w:sz w:val="24"/>
                <w:szCs w:val="24"/>
              </w:rPr>
            </w:pPr>
            <w:r w:rsidRPr="009F3B83">
              <w:rPr>
                <w:iCs/>
                <w:sz w:val="24"/>
                <w:szCs w:val="24"/>
              </w:rPr>
              <w:t xml:space="preserve">The Children Act (1989) identifies that within a Section 47 investigation, Local Authorities have a duty to make enquiries where there is a cause to suspect a child is suffering or likely to suffer significant harm. The Social Services and Wellbeing (Wales) Act further expands a child at risk is “experiencing or is at risk of abuse, neglect or other kinds of harm”. The guidance further elaborates, that abuse does not need to happen, where there are concerns, intervention could be required where there is possible harm likely to happen in the future. </w:t>
            </w:r>
          </w:p>
          <w:p w14:paraId="5B450B9A" w14:textId="77777777" w:rsidR="009F3B83" w:rsidRPr="009F3B83" w:rsidRDefault="009F3B83" w:rsidP="009F3B83">
            <w:pPr>
              <w:jc w:val="both"/>
              <w:rPr>
                <w:iCs/>
                <w:sz w:val="24"/>
                <w:szCs w:val="24"/>
              </w:rPr>
            </w:pPr>
          </w:p>
          <w:p w14:paraId="02DB0717" w14:textId="77777777" w:rsidR="009F3B83" w:rsidRPr="009F3B83" w:rsidRDefault="009F3B83" w:rsidP="009F3B83">
            <w:pPr>
              <w:jc w:val="both"/>
              <w:rPr>
                <w:iCs/>
                <w:sz w:val="24"/>
                <w:szCs w:val="24"/>
              </w:rPr>
            </w:pPr>
            <w:r w:rsidRPr="009F3B83">
              <w:rPr>
                <w:iCs/>
                <w:sz w:val="24"/>
                <w:szCs w:val="24"/>
              </w:rPr>
              <w:t xml:space="preserve">Another consideration during this intervention was Child one additional needs of ASD, complex health needs and being non-verbal, which added further enquiries about his own vulnerabilities in terms of safeguarding. This meant that Child one’s wishes and feelings could not accurately be gathered, he could not verbally communicate his worries or feelings in the same was as a neurotypical child. This meant I had to reply on observations, parents and educations views while assessing his needs and safety. The safeguarding of children with disabilities has been highly researched. “Children and young people who are deaf or have a disability are at an increased risk of being abused” compared to others, according  to the NSPCC (2024). Further expanding that some children with mirroring needs to Child one are less likely to receive support and protection they requite NSPCC (2025). This is extremely relevant as Child one could not expand or communicate his needs and this could make it significantly more difficult to identify harm or abuse. </w:t>
            </w:r>
          </w:p>
          <w:p w14:paraId="27AB9F4D" w14:textId="77777777" w:rsidR="009F3B83" w:rsidRPr="009F3B83" w:rsidRDefault="009F3B83" w:rsidP="009F3B83">
            <w:pPr>
              <w:jc w:val="both"/>
              <w:rPr>
                <w:iCs/>
                <w:sz w:val="24"/>
                <w:szCs w:val="24"/>
              </w:rPr>
            </w:pPr>
          </w:p>
          <w:p w14:paraId="7E0B0B50" w14:textId="77777777" w:rsidR="009F3B83" w:rsidRPr="009F3B83" w:rsidRDefault="009F3B83" w:rsidP="009F3B83">
            <w:pPr>
              <w:jc w:val="both"/>
              <w:rPr>
                <w:iCs/>
                <w:sz w:val="24"/>
                <w:szCs w:val="24"/>
              </w:rPr>
            </w:pPr>
            <w:r w:rsidRPr="009F3B83">
              <w:rPr>
                <w:iCs/>
                <w:sz w:val="24"/>
                <w:szCs w:val="24"/>
              </w:rPr>
              <w:t xml:space="preserve">Child one does require a high level of adult support and intervention for daily basic care needs, supervision, where research does dictate that enhanced dependency on caregivers could increase exposure to some abuse or harmful behaviours (Child Safeguarding Practice Review Panel 2023), as some children who require this care often need support with personal care and often spend less time with peers (North Wales Safeguarding Board 2020), which is the case for Child one. Even though, there were no concerns identified during the enquiries it was important that I considered how enhanced dependency could increase a family’s stressors. </w:t>
            </w:r>
          </w:p>
          <w:p w14:paraId="08BDF1B4" w14:textId="77777777" w:rsidR="009F3B83" w:rsidRPr="009F3B83" w:rsidRDefault="009F3B83" w:rsidP="009F3B83">
            <w:pPr>
              <w:jc w:val="both"/>
              <w:rPr>
                <w:iCs/>
                <w:sz w:val="24"/>
                <w:szCs w:val="24"/>
              </w:rPr>
            </w:pPr>
          </w:p>
          <w:p w14:paraId="79EE40C2" w14:textId="287015FE" w:rsidR="009F3B83" w:rsidRPr="009F3B83" w:rsidRDefault="009F3B83" w:rsidP="009F3B83">
            <w:pPr>
              <w:jc w:val="both"/>
              <w:rPr>
                <w:iCs/>
                <w:sz w:val="24"/>
                <w:szCs w:val="24"/>
              </w:rPr>
            </w:pPr>
            <w:r w:rsidRPr="009F3B83">
              <w:rPr>
                <w:iCs/>
                <w:sz w:val="24"/>
                <w:szCs w:val="24"/>
              </w:rPr>
              <w:t xml:space="preserve">When looking at serious case reviews, a key similarity is communication barriers are a key factor is safeguarding enquiries as a failure involving disabled children and this is something I was extremely mindful of in this intervention with Child one. A review of case reviews from the NSPCC found that professionals supporting disabled children, do not always recognise or understand the signs that some disabled children are experiencing abuse or harm (NSPCC 2024). I find this significant with thinking about this intervention with Child one, as observation becomes crucially important, change is sleep patterns, change in behaviours, distress levels or attendance at settings may be the only indicators of harm. My experiences from a practice learning opportunity within a Children’s Disabilities team supported my understanding in this area and provided me with knowledge of working with children who are non-verbal. </w:t>
            </w:r>
          </w:p>
          <w:p w14:paraId="44373F6C" w14:textId="77777777" w:rsidR="009F3B83" w:rsidRPr="009F3B83" w:rsidRDefault="009F3B83" w:rsidP="009F3B83">
            <w:pPr>
              <w:jc w:val="both"/>
              <w:rPr>
                <w:iCs/>
                <w:sz w:val="24"/>
                <w:szCs w:val="24"/>
              </w:rPr>
            </w:pPr>
          </w:p>
          <w:p w14:paraId="1688F046" w14:textId="77777777" w:rsidR="009F3B83" w:rsidRPr="009F3B83" w:rsidRDefault="009F3B83" w:rsidP="009F3B83">
            <w:pPr>
              <w:jc w:val="both"/>
              <w:rPr>
                <w:iCs/>
                <w:sz w:val="24"/>
                <w:szCs w:val="24"/>
              </w:rPr>
            </w:pPr>
            <w:r w:rsidRPr="009F3B83">
              <w:rPr>
                <w:iCs/>
                <w:sz w:val="24"/>
                <w:szCs w:val="24"/>
              </w:rPr>
              <w:t xml:space="preserve">I have found that my professional curiosity has developed greatly within these enquiries, which further links to how significant professional curiosity is within safeguarding reviews relating to all children but those with disabilities. At times a child with additional needs can be looked over or professionals working with them can miss safeguarding concerns due to the focus being on the child’s needs or disability (Miller and Brown 2014). Upon reflection, I recognise how mindful I was not to overlook any safeguarding concerns due to level of support Child one required within the family home, and enquiries were made with education and health and understand Child one’s health, education and individual developmental needs further. </w:t>
            </w:r>
          </w:p>
          <w:p w14:paraId="1E765F56" w14:textId="77777777" w:rsidR="009F3B83" w:rsidRPr="009F3B83" w:rsidRDefault="009F3B83" w:rsidP="009F3B83">
            <w:pPr>
              <w:jc w:val="both"/>
              <w:rPr>
                <w:iCs/>
                <w:sz w:val="24"/>
                <w:szCs w:val="24"/>
              </w:rPr>
            </w:pPr>
          </w:p>
          <w:p w14:paraId="3E3418AB" w14:textId="77777777" w:rsidR="009F3B83" w:rsidRPr="009F3B83" w:rsidRDefault="009F3B83" w:rsidP="009F3B83">
            <w:pPr>
              <w:jc w:val="both"/>
              <w:rPr>
                <w:iCs/>
                <w:sz w:val="24"/>
                <w:szCs w:val="24"/>
              </w:rPr>
            </w:pPr>
            <w:r w:rsidRPr="009F3B83">
              <w:rPr>
                <w:iCs/>
                <w:sz w:val="24"/>
                <w:szCs w:val="24"/>
              </w:rPr>
              <w:t xml:space="preserve">Even though Child two does not have the same difficulties as her sibling there were some similarities in relation to limited understanding into the professional involvement and communication limitations. Child two would not have an understanding of the worries around domestic abuse or the safeguarding process. The safeguarding process guidance in Wales outlines the importance of intervention with children should be child-centred and unpicking what is important to that child (Wales Safeguarding Procedures 2019). To gather Child two’s voice within the assessment again observation was strongly used, alongside age appropriate communication such as using drawing and playdough. </w:t>
            </w:r>
          </w:p>
          <w:p w14:paraId="6FA33B53" w14:textId="77777777" w:rsidR="009F3B83" w:rsidRPr="009F3B83" w:rsidRDefault="009F3B83" w:rsidP="009F3B83">
            <w:pPr>
              <w:jc w:val="both"/>
              <w:rPr>
                <w:iCs/>
                <w:sz w:val="24"/>
                <w:szCs w:val="24"/>
              </w:rPr>
            </w:pPr>
          </w:p>
          <w:p w14:paraId="6427CBDF" w14:textId="77777777" w:rsidR="009F3B83" w:rsidRPr="009F3B83" w:rsidRDefault="009F3B83" w:rsidP="009F3B83">
            <w:pPr>
              <w:jc w:val="both"/>
              <w:rPr>
                <w:iCs/>
                <w:sz w:val="24"/>
                <w:szCs w:val="24"/>
              </w:rPr>
            </w:pPr>
            <w:r w:rsidRPr="009F3B83">
              <w:rPr>
                <w:iCs/>
                <w:sz w:val="24"/>
                <w:szCs w:val="24"/>
              </w:rPr>
              <w:t xml:space="preserve">It is highly researched that children with disabilities face heightened safeguarding worries due to their dependency upon the adults who care for them, communication barriers, health needs and at times professional assumptions. Even though, during the section 47 investigation it was determined that harm was not founded, ongoing support was recommended, given the adversities within the family, Child One’s additional needs. It was important that I made a balanced outcome, using a strengths-based and trauma-informed approach to ensure that the children remained at the heart of the decision-making and outcome. </w:t>
            </w:r>
          </w:p>
          <w:p w14:paraId="65C5196E" w14:textId="77777777" w:rsidR="009F3B83" w:rsidRPr="009F3B83" w:rsidRDefault="009F3B83" w:rsidP="009F3B83">
            <w:pPr>
              <w:jc w:val="both"/>
              <w:rPr>
                <w:iCs/>
                <w:sz w:val="24"/>
                <w:szCs w:val="24"/>
              </w:rPr>
            </w:pPr>
          </w:p>
          <w:p w14:paraId="556D6E9F" w14:textId="77777777" w:rsidR="009F3B83" w:rsidRPr="009F3B83" w:rsidRDefault="009F3B83" w:rsidP="009F3B83">
            <w:pPr>
              <w:jc w:val="both"/>
              <w:rPr>
                <w:iCs/>
                <w:sz w:val="24"/>
                <w:szCs w:val="24"/>
              </w:rPr>
            </w:pPr>
            <w:r w:rsidRPr="009F3B83">
              <w:rPr>
                <w:iCs/>
                <w:sz w:val="24"/>
                <w:szCs w:val="24"/>
              </w:rPr>
              <w:lastRenderedPageBreak/>
              <w:t xml:space="preserve">Throughout this intervention, legislation underpinned the way of working, including policy and frameworks from Wales, United Kingdom and nationally. While working with this family legislation outlined the process, however it was also necessary to include professional curiosity and judgement in order to assess the safety on Child one, Child two and unborn within their family unit. </w:t>
            </w:r>
          </w:p>
          <w:p w14:paraId="6239A58C" w14:textId="77777777" w:rsidR="009F3B83" w:rsidRPr="009F3B83" w:rsidRDefault="009F3B83" w:rsidP="009F3B83">
            <w:pPr>
              <w:jc w:val="both"/>
              <w:rPr>
                <w:iCs/>
                <w:sz w:val="24"/>
                <w:szCs w:val="24"/>
              </w:rPr>
            </w:pPr>
          </w:p>
          <w:p w14:paraId="5890D941" w14:textId="6F086A4B" w:rsidR="009F3B83" w:rsidRPr="009F3B83" w:rsidRDefault="009F3B83" w:rsidP="009F3B83">
            <w:pPr>
              <w:jc w:val="both"/>
              <w:rPr>
                <w:iCs/>
                <w:sz w:val="24"/>
                <w:szCs w:val="24"/>
              </w:rPr>
            </w:pPr>
            <w:r w:rsidRPr="009F3B83">
              <w:rPr>
                <w:iCs/>
                <w:sz w:val="24"/>
                <w:szCs w:val="24"/>
              </w:rPr>
              <w:t xml:space="preserve">For social care practice in Wales, the Social Services and Wellbeing (Wales) Act (2014) is the significant legislation which is followed. The SSW(W)A (2014) actively ensuring that Local Authorities provide ‘voice and control’ to individuals we work with. During the intervention with this family, this was evident, Individual Two was prepared by an initial discussion being held safely with her where information was shared regarding the referral and section 47, alongside gathering her wishes and feelings, which all contributed to the outcome of the intervention. </w:t>
            </w:r>
          </w:p>
          <w:p w14:paraId="47EB73F2" w14:textId="77777777" w:rsidR="009F3B83" w:rsidRPr="009F3B83" w:rsidRDefault="009F3B83" w:rsidP="009F3B83">
            <w:pPr>
              <w:jc w:val="both"/>
              <w:rPr>
                <w:iCs/>
                <w:sz w:val="24"/>
                <w:szCs w:val="24"/>
              </w:rPr>
            </w:pPr>
          </w:p>
          <w:p w14:paraId="2ECBE2E2" w14:textId="77777777" w:rsidR="009F3B83" w:rsidRPr="009F3B83" w:rsidRDefault="009F3B83" w:rsidP="009F3B83">
            <w:pPr>
              <w:jc w:val="both"/>
              <w:rPr>
                <w:iCs/>
                <w:sz w:val="24"/>
                <w:szCs w:val="24"/>
              </w:rPr>
            </w:pPr>
            <w:r w:rsidRPr="009F3B83">
              <w:rPr>
                <w:iCs/>
                <w:sz w:val="24"/>
                <w:szCs w:val="24"/>
              </w:rPr>
              <w:t xml:space="preserve">I felt as though the value of ‘voice and control’ was significant within this intervention, given the nature of the referral concerning domestic abuse and Individual two’s previous lived experiences of working with children’s services. By holding the core principles of the SSW(W)A (2014) within this intervention it supported relationship-based approach while focusing on the strengths of the family unit without overshadowing the risks and resilience. The SSW(W)A (2014) informs Care and Support plans, which became a further recommendation as the section 47 progressed, it was evident that the family could be supported further outside of the section 47 arena by focusing on reducing future risks and supporting parental capacity given the risk identified as the gambling, cannabis use and domestic abuse alongside the children’s individual and competing needs. </w:t>
            </w:r>
          </w:p>
          <w:p w14:paraId="5ECBB504" w14:textId="77777777" w:rsidR="009F3B83" w:rsidRPr="009F3B83" w:rsidRDefault="009F3B83" w:rsidP="009F3B83">
            <w:pPr>
              <w:jc w:val="both"/>
              <w:rPr>
                <w:iCs/>
                <w:sz w:val="24"/>
                <w:szCs w:val="24"/>
              </w:rPr>
            </w:pPr>
          </w:p>
          <w:p w14:paraId="47EC4E24" w14:textId="01680389" w:rsidR="009F3B83" w:rsidRPr="009F3B83" w:rsidRDefault="009F3B83" w:rsidP="009F3B83">
            <w:pPr>
              <w:jc w:val="both"/>
              <w:rPr>
                <w:iCs/>
                <w:sz w:val="24"/>
                <w:szCs w:val="24"/>
              </w:rPr>
            </w:pPr>
            <w:r w:rsidRPr="009F3B83">
              <w:rPr>
                <w:iCs/>
                <w:sz w:val="24"/>
                <w:szCs w:val="24"/>
              </w:rPr>
              <w:t>The Children Act (1989) informs safeguarding process across the United Kingdom. Even though Individual One and Individual Two shared that the children did not witness the domestic abuse incident, it was essential to explore the incident beyond what the children could have visually seen and unpick the impact on the children’s emotional wellbeing, as children do not need to witness domestic abuse incidents for it to cause harm or fear. The isolated incident which led to the section 47 investigation was considered in the cumulative concerns, to whether significant harm threshold had been met, alongside using professionals judgement to consider both future and current risk.</w:t>
            </w:r>
          </w:p>
          <w:p w14:paraId="4F7EA64D" w14:textId="77777777" w:rsidR="009F3B83" w:rsidRPr="009F3B83" w:rsidRDefault="009F3B83" w:rsidP="009F3B83">
            <w:pPr>
              <w:jc w:val="both"/>
              <w:rPr>
                <w:iCs/>
                <w:sz w:val="24"/>
                <w:szCs w:val="24"/>
              </w:rPr>
            </w:pPr>
          </w:p>
          <w:p w14:paraId="48BEAF0A" w14:textId="77777777" w:rsidR="009F3B83" w:rsidRPr="009F3B83" w:rsidRDefault="009F3B83" w:rsidP="009F3B83">
            <w:pPr>
              <w:jc w:val="both"/>
              <w:rPr>
                <w:iCs/>
                <w:sz w:val="24"/>
                <w:szCs w:val="24"/>
              </w:rPr>
            </w:pPr>
            <w:r w:rsidRPr="009F3B83">
              <w:rPr>
                <w:iCs/>
                <w:sz w:val="24"/>
                <w:szCs w:val="24"/>
              </w:rPr>
              <w:t xml:space="preserve">During the assessment the United Nations Convention on the Rights of the Child (UNCRC) was sought, as Article 12 elaborates on the child’s right to participate in decision affecting their lives, in relation to Child One creative efforts were made to gather wishes despite his communication barriers, as Article 19 states a right to be protected from abuse or neglect. It was particularly important for all the children, especially Child One to rely on observations, knowledge from health and education to ensure his needs and welfare remained at the heart of the decision-making. The right to a private and family life is Article 8, which is relevant, even though the family have this right, children’s services had to intervene given to safeguarding concerns. I have reflected upon this right when recommending if further intervention is proportionate and given the families stressors and children’s vulnerabilities, I ascertained that further intervention was proportionate to support the children’s outcomes. Even though, there can be some challenge in balancing children’s rights to parents autonomy, within this </w:t>
            </w:r>
            <w:r w:rsidRPr="009F3B83">
              <w:rPr>
                <w:iCs/>
                <w:sz w:val="24"/>
                <w:szCs w:val="24"/>
              </w:rPr>
              <w:lastRenderedPageBreak/>
              <w:t xml:space="preserve">intervention the child’s welfare was paramount and I have reflected recognising professional judgment, evidence-based practice is part of ethical social work practice. </w:t>
            </w:r>
          </w:p>
          <w:p w14:paraId="564DEF05" w14:textId="77777777" w:rsidR="009F3B83" w:rsidRPr="009F3B83" w:rsidRDefault="009F3B83" w:rsidP="009F3B83">
            <w:pPr>
              <w:jc w:val="both"/>
              <w:rPr>
                <w:iCs/>
                <w:sz w:val="24"/>
                <w:szCs w:val="24"/>
              </w:rPr>
            </w:pPr>
          </w:p>
          <w:p w14:paraId="06D76B3C" w14:textId="77777777" w:rsidR="009F3B83" w:rsidRPr="009F3B83" w:rsidRDefault="009F3B83" w:rsidP="009F3B83">
            <w:pPr>
              <w:jc w:val="both"/>
              <w:rPr>
                <w:iCs/>
                <w:sz w:val="24"/>
                <w:szCs w:val="24"/>
              </w:rPr>
            </w:pPr>
            <w:r w:rsidRPr="009F3B83">
              <w:rPr>
                <w:iCs/>
                <w:sz w:val="24"/>
                <w:szCs w:val="24"/>
              </w:rPr>
              <w:t xml:space="preserve">Throughout this safeguarding intervention information was collected from the health visitor, the children’s educational settings including their schoolteachers, police records, and previous children’s services involvement. The Social Services and Wellbeing (Wales) Act (2014) outlines the importance of assessments being completed in a holistic way, while understanding an individual’s circumstances, which is why it is important during this intervention to analyse how individual, environment and family circumstance influence any outcomes. This supported my understanding of both the protective and risk elements within the family. </w:t>
            </w:r>
          </w:p>
          <w:p w14:paraId="11399D2A" w14:textId="77777777" w:rsidR="009F3B83" w:rsidRPr="009F3B83" w:rsidRDefault="009F3B83" w:rsidP="009F3B83">
            <w:pPr>
              <w:jc w:val="both"/>
              <w:rPr>
                <w:iCs/>
                <w:sz w:val="24"/>
                <w:szCs w:val="24"/>
              </w:rPr>
            </w:pPr>
          </w:p>
          <w:p w14:paraId="6A4F08DB" w14:textId="62E81D0A" w:rsidR="009F3B83" w:rsidRPr="009F3B83" w:rsidRDefault="009F3B83" w:rsidP="009F3B83">
            <w:pPr>
              <w:jc w:val="both"/>
              <w:rPr>
                <w:iCs/>
                <w:sz w:val="24"/>
                <w:szCs w:val="24"/>
              </w:rPr>
            </w:pPr>
            <w:r w:rsidRPr="009F3B83">
              <w:rPr>
                <w:iCs/>
                <w:sz w:val="24"/>
                <w:szCs w:val="24"/>
              </w:rPr>
              <w:t xml:space="preserve">From gathering further information, it became clear that the domestic incident which led to this intervention, could not be viewed as a singular competent. Individual One and Individual Two both had ACEs, including experiencing substance misuse, family separation, physical chastisement and forms of neglect, it is known that having ACES could influence parenting capacity, emotional regulation and adult functioning (Public Health Wales 2018). During the intervention I was mindful not to take a fully determined approach, as there were protective elements found within Individual One and Individual Two’s parenting capacity including employment, providing basic care consistently and engaging with agencies involved with their children. </w:t>
            </w:r>
          </w:p>
          <w:p w14:paraId="7513A707" w14:textId="77777777" w:rsidR="009F3B83" w:rsidRPr="009F3B83" w:rsidRDefault="009F3B83" w:rsidP="009F3B83">
            <w:pPr>
              <w:jc w:val="both"/>
              <w:rPr>
                <w:iCs/>
                <w:sz w:val="24"/>
                <w:szCs w:val="24"/>
              </w:rPr>
            </w:pPr>
          </w:p>
          <w:p w14:paraId="0DFB9FD9" w14:textId="77777777" w:rsidR="009F3B83" w:rsidRPr="009F3B83" w:rsidRDefault="009F3B83" w:rsidP="009F3B83">
            <w:pPr>
              <w:jc w:val="both"/>
              <w:rPr>
                <w:iCs/>
                <w:sz w:val="24"/>
                <w:szCs w:val="24"/>
              </w:rPr>
            </w:pPr>
            <w:r w:rsidRPr="009F3B83">
              <w:rPr>
                <w:iCs/>
                <w:sz w:val="24"/>
                <w:szCs w:val="24"/>
              </w:rPr>
              <w:t xml:space="preserve">In relation to Individual One’s gambling and cannabis use, to support my understanding of capacity to change, Prochaska and DiClemente (1983) Cyle of Change Model identified that Individual One had moved past the contemplation stage into the action stage, by recognising and accepting the behaviours, alongside putting in place practical measure such as the gambling blocker on his mobile phone. I was mindful that even though this is positive the longevity of this is untested, which the model highlights that relapse is a usual part of the behaviour change. I felt this significant given the other stressors within the family, Child One with complex needs and the arrival of a new baby. </w:t>
            </w:r>
          </w:p>
          <w:p w14:paraId="092FF551" w14:textId="77777777" w:rsidR="009F3B83" w:rsidRPr="009F3B83" w:rsidRDefault="009F3B83" w:rsidP="009F3B83">
            <w:pPr>
              <w:jc w:val="both"/>
              <w:rPr>
                <w:iCs/>
                <w:sz w:val="24"/>
                <w:szCs w:val="24"/>
              </w:rPr>
            </w:pPr>
          </w:p>
          <w:p w14:paraId="0FE2E1B8" w14:textId="7DAEF101" w:rsidR="009F3B83" w:rsidRPr="009F3B83" w:rsidRDefault="009F3B83" w:rsidP="009F3B83">
            <w:pPr>
              <w:jc w:val="both"/>
              <w:rPr>
                <w:iCs/>
                <w:sz w:val="24"/>
                <w:szCs w:val="24"/>
              </w:rPr>
            </w:pPr>
            <w:r w:rsidRPr="009F3B83">
              <w:rPr>
                <w:iCs/>
                <w:sz w:val="24"/>
                <w:szCs w:val="24"/>
              </w:rPr>
              <w:t xml:space="preserve">Throughout the intervention the Signs of Safety model was used. Key concepts of ‘what is working well’ ‘what are we worried about’ and ‘what needs to happen next’ (Turnell and Edwards 1999) were utilised. The worries remained the same of the gambling, cannabis use and domestic abuse, however there were strengths of school attendance, children’s opportunities, housing, parents willingness to work with professionals and their engagement. Balancing all of these aspects ledto the outcome of the family being supported under a Care and Support Plan, with build upon and strengths and support the worries within the family. </w:t>
            </w:r>
          </w:p>
          <w:p w14:paraId="0DFA19A7" w14:textId="77777777" w:rsidR="009F3B83" w:rsidRPr="009F3B83" w:rsidRDefault="009F3B83" w:rsidP="009F3B83">
            <w:pPr>
              <w:jc w:val="both"/>
              <w:rPr>
                <w:iCs/>
                <w:sz w:val="24"/>
                <w:szCs w:val="24"/>
              </w:rPr>
            </w:pPr>
          </w:p>
          <w:p w14:paraId="4EB6CBEC" w14:textId="77777777" w:rsidR="009F3B83" w:rsidRPr="009F3B83" w:rsidRDefault="009F3B83" w:rsidP="009F3B83">
            <w:pPr>
              <w:jc w:val="both"/>
              <w:rPr>
                <w:iCs/>
                <w:sz w:val="24"/>
                <w:szCs w:val="24"/>
              </w:rPr>
            </w:pPr>
            <w:r w:rsidRPr="009F3B83">
              <w:rPr>
                <w:iCs/>
                <w:sz w:val="24"/>
                <w:szCs w:val="24"/>
              </w:rPr>
              <w:t xml:space="preserve">The Social Services Wellbeing (Wales) Act (2014) shares the importance of multi-agency working, safeguarding children is everyone’s responsibility and no one agency has all the information needed to safeguard children in the best way. Gathering information from the professional network around Child One was significantly important, given his complex health and neurodiverse needs and communication difficulties he was not able to converse worries directly. Gathering information from teaching staff provided information around attendance, behaviours, developmental achievements alongside any worries. Health services were able </w:t>
            </w:r>
            <w:r w:rsidRPr="009F3B83">
              <w:rPr>
                <w:iCs/>
                <w:sz w:val="24"/>
                <w:szCs w:val="24"/>
              </w:rPr>
              <w:lastRenderedPageBreak/>
              <w:t xml:space="preserve">to given overview of Child One’s health needs, diagnosis and parents engagement with appointments and following advice. This provided all perspectives and supported the intervention to look at the risk and resilience within the family. </w:t>
            </w:r>
          </w:p>
          <w:p w14:paraId="55B9F5AC" w14:textId="77777777" w:rsidR="009F3B83" w:rsidRPr="009F3B83" w:rsidRDefault="009F3B83" w:rsidP="009F3B83">
            <w:pPr>
              <w:jc w:val="both"/>
              <w:rPr>
                <w:iCs/>
                <w:sz w:val="24"/>
                <w:szCs w:val="24"/>
              </w:rPr>
            </w:pPr>
          </w:p>
          <w:p w14:paraId="5A12B8A0" w14:textId="77777777" w:rsidR="009F3B83" w:rsidRPr="009F3B83" w:rsidRDefault="009F3B83" w:rsidP="009F3B83">
            <w:pPr>
              <w:jc w:val="both"/>
              <w:rPr>
                <w:iCs/>
                <w:sz w:val="24"/>
                <w:szCs w:val="24"/>
              </w:rPr>
            </w:pPr>
            <w:r w:rsidRPr="009F3B83">
              <w:rPr>
                <w:iCs/>
                <w:sz w:val="24"/>
                <w:szCs w:val="24"/>
              </w:rPr>
              <w:t xml:space="preserve">Further multi-agency working also highlighted how integrated the family were within their community and the support network around them. For Child One it was evident that parents had sourced specialised education and health support, alternative conversations around wider experiences such as disability sports clubs and services were explored, which parents confirmed they had looked into. This evidenced how throughout this intervention parents had sourced alternative support and taken on advice, which links to the social model of disability and reducing barriers to usual participation rather than focusing on the impairment (Disability Rights UK 2015).  </w:t>
            </w:r>
          </w:p>
          <w:p w14:paraId="1B41B69B" w14:textId="77777777" w:rsidR="009F3B83" w:rsidRPr="009F3B83" w:rsidRDefault="009F3B83" w:rsidP="009F3B83">
            <w:pPr>
              <w:jc w:val="both"/>
              <w:rPr>
                <w:iCs/>
                <w:sz w:val="24"/>
                <w:szCs w:val="24"/>
              </w:rPr>
            </w:pPr>
          </w:p>
          <w:p w14:paraId="4307220A" w14:textId="77777777" w:rsidR="009F3B83" w:rsidRPr="009F3B83" w:rsidRDefault="009F3B83" w:rsidP="009F3B83">
            <w:pPr>
              <w:jc w:val="both"/>
              <w:rPr>
                <w:iCs/>
                <w:sz w:val="24"/>
                <w:szCs w:val="24"/>
              </w:rPr>
            </w:pPr>
            <w:r w:rsidRPr="009F3B83">
              <w:rPr>
                <w:iCs/>
                <w:sz w:val="24"/>
                <w:szCs w:val="24"/>
              </w:rPr>
              <w:t xml:space="preserve">Throughout this intervention, the sharing of information and feeling able to respectfully challenge was significantly important. During aspects of this intervention different agencies held altering views about how to manage the level of risk, it was important for me to remain open to differing views, however the actions to immediate the risks were for the social worker, without a collaborative working approach. Overall, the collaborative working within the intervention improved the quality of the intervention and ensured that children remained safe while other agencies being aware of the worries, strengths and future safety planning. </w:t>
            </w:r>
          </w:p>
          <w:p w14:paraId="03B1A949" w14:textId="77777777" w:rsidR="009F3B83" w:rsidRPr="009F3B83" w:rsidRDefault="009F3B83" w:rsidP="009F3B83">
            <w:pPr>
              <w:jc w:val="both"/>
              <w:rPr>
                <w:iCs/>
                <w:sz w:val="24"/>
                <w:szCs w:val="24"/>
              </w:rPr>
            </w:pPr>
          </w:p>
          <w:p w14:paraId="51B80C37" w14:textId="3B60B48A" w:rsidR="009F3B83" w:rsidRPr="009F3B83" w:rsidRDefault="009F3B83" w:rsidP="009F3B83">
            <w:pPr>
              <w:jc w:val="both"/>
              <w:rPr>
                <w:iCs/>
                <w:sz w:val="24"/>
                <w:szCs w:val="24"/>
              </w:rPr>
            </w:pPr>
            <w:r w:rsidRPr="009F3B83">
              <w:rPr>
                <w:iCs/>
                <w:sz w:val="24"/>
                <w:szCs w:val="24"/>
              </w:rPr>
              <w:t xml:space="preserve">Munro (2011) states that safeguarding needs professional analysis and critical reflection, rather than soley relying on procedures. Professional judgement in this intervention was crucial in balancing the rights, needs and welfare of the children, and potential harm factors. Even though, domestic abuse incident led to the Section 47 enquiries, throughout a holistic context was adopted in relation to Child one’s needs, disabilities, Child Two’s age and development and the arrival of a new baby into the family. </w:t>
            </w:r>
          </w:p>
          <w:p w14:paraId="1CB98AC0" w14:textId="77777777" w:rsidR="009F3B83" w:rsidRPr="009F3B83" w:rsidRDefault="009F3B83" w:rsidP="009F3B83">
            <w:pPr>
              <w:jc w:val="both"/>
              <w:rPr>
                <w:iCs/>
                <w:sz w:val="24"/>
                <w:szCs w:val="24"/>
              </w:rPr>
            </w:pPr>
          </w:p>
          <w:p w14:paraId="150CA964" w14:textId="77777777" w:rsidR="009F3B83" w:rsidRPr="009F3B83" w:rsidRDefault="009F3B83" w:rsidP="009F3B83">
            <w:pPr>
              <w:jc w:val="both"/>
              <w:rPr>
                <w:iCs/>
                <w:sz w:val="24"/>
                <w:szCs w:val="24"/>
              </w:rPr>
            </w:pPr>
            <w:r w:rsidRPr="009F3B83">
              <w:rPr>
                <w:iCs/>
                <w:sz w:val="24"/>
                <w:szCs w:val="24"/>
              </w:rPr>
              <w:t xml:space="preserve">Having reflective discussion through supervision supported in analysing thinking and professional judgement within this intervention. This allowed for future exploration of the risks and strengths in a safe and supported space, which did not take away from the risks being minimised and lead to a holistic, balanced decision being made. This looked like continued intervention under a Care and Support Plan which I feel reflected a proportionate response to keeping children safe, continuing to work with the parents and allowed for continued recognising of strengths and capacity for positive change. </w:t>
            </w:r>
          </w:p>
          <w:p w14:paraId="21CB194D" w14:textId="77777777" w:rsidR="009F3B83" w:rsidRPr="009F3B83" w:rsidRDefault="009F3B83" w:rsidP="009F3B83">
            <w:pPr>
              <w:jc w:val="both"/>
              <w:rPr>
                <w:iCs/>
                <w:sz w:val="24"/>
                <w:szCs w:val="24"/>
              </w:rPr>
            </w:pPr>
          </w:p>
          <w:p w14:paraId="07966CC1" w14:textId="5760FBDF" w:rsidR="009F3B83" w:rsidRPr="009F3B83" w:rsidRDefault="009F3B83" w:rsidP="009F3B83">
            <w:pPr>
              <w:jc w:val="both"/>
              <w:rPr>
                <w:iCs/>
                <w:sz w:val="24"/>
                <w:szCs w:val="24"/>
              </w:rPr>
            </w:pPr>
            <w:r w:rsidRPr="009F3B83">
              <w:rPr>
                <w:iCs/>
                <w:sz w:val="24"/>
                <w:szCs w:val="24"/>
              </w:rPr>
              <w:t>Overall, while reflecting on this safeguarding intervention I recognise the complexity of safeguarding children affected by domestic abuse, additional needs linked to disability and parental difficulties.</w:t>
            </w:r>
            <w:r w:rsidR="00B3039C">
              <w:rPr>
                <w:iCs/>
                <w:sz w:val="24"/>
                <w:szCs w:val="24"/>
              </w:rPr>
              <w:t xml:space="preserve"> </w:t>
            </w:r>
            <w:r w:rsidR="00150372">
              <w:rPr>
                <w:iCs/>
                <w:sz w:val="24"/>
                <w:szCs w:val="24"/>
              </w:rPr>
              <w:t xml:space="preserve">I was extremely aware of any power imbalance between myself as the social worker and Child One, especially </w:t>
            </w:r>
            <w:r w:rsidR="000D6F61">
              <w:rPr>
                <w:iCs/>
                <w:sz w:val="24"/>
                <w:szCs w:val="24"/>
              </w:rPr>
              <w:t>when gathering wishes, I was mindful of the communication techniques used while upholding Child one’s rights.</w:t>
            </w:r>
            <w:r w:rsidRPr="009F3B83">
              <w:rPr>
                <w:iCs/>
                <w:sz w:val="24"/>
                <w:szCs w:val="24"/>
              </w:rPr>
              <w:t xml:space="preserve"> My safeguarding intervention focused on presenting current worries while unpicking strengths, abilities and risk in a holistic way. </w:t>
            </w:r>
          </w:p>
          <w:p w14:paraId="30D6CA0F" w14:textId="77777777" w:rsidR="009F3B83" w:rsidRPr="009F3B83" w:rsidRDefault="009F3B83" w:rsidP="009F3B83">
            <w:pPr>
              <w:jc w:val="both"/>
              <w:rPr>
                <w:iCs/>
                <w:sz w:val="24"/>
                <w:szCs w:val="24"/>
              </w:rPr>
            </w:pPr>
          </w:p>
          <w:p w14:paraId="3B125FCA" w14:textId="77777777" w:rsidR="009F3B83" w:rsidRPr="009F3B83" w:rsidRDefault="009F3B83" w:rsidP="009F3B83">
            <w:pPr>
              <w:jc w:val="both"/>
              <w:rPr>
                <w:iCs/>
                <w:sz w:val="24"/>
                <w:szCs w:val="24"/>
              </w:rPr>
            </w:pPr>
            <w:r w:rsidRPr="009F3B83">
              <w:rPr>
                <w:iCs/>
                <w:sz w:val="24"/>
                <w:szCs w:val="24"/>
              </w:rPr>
              <w:t xml:space="preserve">I gained an enhanced understanding of both the risks and safety factors within this intervention, which was supported by multi-agency working with health professionals and </w:t>
            </w:r>
            <w:r w:rsidRPr="009F3B83">
              <w:rPr>
                <w:iCs/>
                <w:sz w:val="24"/>
                <w:szCs w:val="24"/>
              </w:rPr>
              <w:lastRenderedPageBreak/>
              <w:t xml:space="preserve">education, which allowed further understanding of the children daily lived experiences and complete balanced decision-making, in relation to safeguarding the children and rights to a private family life. </w:t>
            </w:r>
          </w:p>
          <w:p w14:paraId="4AF1A704" w14:textId="77777777" w:rsidR="009F3B83" w:rsidRPr="009F3B83" w:rsidRDefault="009F3B83" w:rsidP="009F3B83">
            <w:pPr>
              <w:jc w:val="both"/>
              <w:rPr>
                <w:iCs/>
                <w:sz w:val="24"/>
                <w:szCs w:val="24"/>
              </w:rPr>
            </w:pPr>
          </w:p>
          <w:p w14:paraId="33A12E1A" w14:textId="77777777" w:rsidR="009F3B83" w:rsidRPr="009F3B83" w:rsidRDefault="009F3B83" w:rsidP="009F3B83">
            <w:pPr>
              <w:jc w:val="both"/>
              <w:rPr>
                <w:iCs/>
                <w:sz w:val="24"/>
                <w:szCs w:val="24"/>
              </w:rPr>
            </w:pPr>
            <w:r w:rsidRPr="009F3B83">
              <w:rPr>
                <w:iCs/>
                <w:sz w:val="24"/>
                <w:szCs w:val="24"/>
              </w:rPr>
              <w:t xml:space="preserve">Moving forward I will continue to develop my knowledge of the legislation which unpins my practice, including legislation in Wales and human rights policies, alongside further development of my professional curiosity skills and continue to use supervision as a reflective space to ensure the child’s voice is central to all safeguarding interventions. </w:t>
            </w:r>
          </w:p>
          <w:p w14:paraId="497279A1" w14:textId="77777777" w:rsidR="009F3B83" w:rsidRPr="009F3B83" w:rsidRDefault="009F3B83" w:rsidP="009F3B83">
            <w:pPr>
              <w:jc w:val="both"/>
              <w:rPr>
                <w:iCs/>
                <w:sz w:val="24"/>
                <w:szCs w:val="24"/>
              </w:rPr>
            </w:pPr>
          </w:p>
          <w:p w14:paraId="47B0FBB1" w14:textId="77777777" w:rsidR="009F3B83" w:rsidRPr="009F3B83" w:rsidRDefault="009F3B83" w:rsidP="009F3B83">
            <w:pPr>
              <w:jc w:val="both"/>
              <w:rPr>
                <w:iCs/>
                <w:sz w:val="24"/>
                <w:szCs w:val="24"/>
              </w:rPr>
            </w:pPr>
          </w:p>
          <w:p w14:paraId="20370495" w14:textId="14546138" w:rsidR="00D3203C" w:rsidRPr="009F3B83" w:rsidRDefault="009F3B83" w:rsidP="009F3B83">
            <w:pPr>
              <w:jc w:val="both"/>
              <w:rPr>
                <w:iCs/>
                <w:sz w:val="24"/>
                <w:szCs w:val="24"/>
              </w:rPr>
            </w:pPr>
            <w:r w:rsidRPr="009F3B83">
              <w:rPr>
                <w:iCs/>
                <w:sz w:val="24"/>
                <w:szCs w:val="24"/>
              </w:rPr>
              <w:t>Word Count: 40</w:t>
            </w:r>
            <w:r w:rsidR="0046626C">
              <w:rPr>
                <w:iCs/>
                <w:sz w:val="24"/>
                <w:szCs w:val="24"/>
              </w:rPr>
              <w:t>81</w:t>
            </w:r>
            <w:r w:rsidRPr="009F3B83">
              <w:rPr>
                <w:iCs/>
                <w:sz w:val="24"/>
                <w:szCs w:val="24"/>
              </w:rPr>
              <w:t>.</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0EAB5" w14:textId="77777777" w:rsidR="00BA2A40" w:rsidRDefault="00BA2A40">
      <w:r>
        <w:separator/>
      </w:r>
    </w:p>
  </w:endnote>
  <w:endnote w:type="continuationSeparator" w:id="0">
    <w:p w14:paraId="0ADF612F" w14:textId="77777777" w:rsidR="00BA2A40" w:rsidRDefault="00BA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9D279" w14:textId="77777777" w:rsidR="00BA2A40" w:rsidRDefault="00BA2A40">
      <w:r>
        <w:separator/>
      </w:r>
    </w:p>
  </w:footnote>
  <w:footnote w:type="continuationSeparator" w:id="0">
    <w:p w14:paraId="08DB90AA" w14:textId="77777777" w:rsidR="00BA2A40" w:rsidRDefault="00BA2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6F61"/>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321E"/>
    <w:rsid w:val="001447F6"/>
    <w:rsid w:val="00147DE3"/>
    <w:rsid w:val="00150372"/>
    <w:rsid w:val="00150794"/>
    <w:rsid w:val="00151DA6"/>
    <w:rsid w:val="001608C4"/>
    <w:rsid w:val="00164832"/>
    <w:rsid w:val="00171418"/>
    <w:rsid w:val="001772BF"/>
    <w:rsid w:val="001772DE"/>
    <w:rsid w:val="0019496C"/>
    <w:rsid w:val="001961CF"/>
    <w:rsid w:val="001A4A0D"/>
    <w:rsid w:val="001A59BB"/>
    <w:rsid w:val="001A607E"/>
    <w:rsid w:val="001A6A51"/>
    <w:rsid w:val="001A79C4"/>
    <w:rsid w:val="001B331A"/>
    <w:rsid w:val="001B54EB"/>
    <w:rsid w:val="001C0237"/>
    <w:rsid w:val="001C0E74"/>
    <w:rsid w:val="001C3E71"/>
    <w:rsid w:val="001C4DB8"/>
    <w:rsid w:val="001C50B8"/>
    <w:rsid w:val="001D229F"/>
    <w:rsid w:val="001E2EB6"/>
    <w:rsid w:val="001F4552"/>
    <w:rsid w:val="002019EB"/>
    <w:rsid w:val="00204B58"/>
    <w:rsid w:val="00205051"/>
    <w:rsid w:val="00211F65"/>
    <w:rsid w:val="00214047"/>
    <w:rsid w:val="00214550"/>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26C"/>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695"/>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542"/>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36E9"/>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008"/>
    <w:rsid w:val="009F0978"/>
    <w:rsid w:val="009F3AEC"/>
    <w:rsid w:val="009F3B83"/>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43F"/>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039C"/>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A40"/>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06E3"/>
    <w:rsid w:val="00C42005"/>
    <w:rsid w:val="00C4664D"/>
    <w:rsid w:val="00C472AA"/>
    <w:rsid w:val="00C50A05"/>
    <w:rsid w:val="00C54AED"/>
    <w:rsid w:val="00C555FC"/>
    <w:rsid w:val="00C55E9B"/>
    <w:rsid w:val="00C56D09"/>
    <w:rsid w:val="00C57D24"/>
    <w:rsid w:val="00C604D6"/>
    <w:rsid w:val="00C6051D"/>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12</TotalTime>
  <Pages>10</Pages>
  <Words>4265</Words>
  <Characters>24312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Vicky Bowen</cp:lastModifiedBy>
  <cp:revision>14</cp:revision>
  <cp:lastPrinted>2020-02-11T19:20:00Z</cp:lastPrinted>
  <dcterms:created xsi:type="dcterms:W3CDTF">2026-10-05T14:30:00Z</dcterms:created>
  <dcterms:modified xsi:type="dcterms:W3CDTF">2026-10-05T17:08:00Z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