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613" w:rsidRDefault="00EB1613" w:rsidP="008863AE">
      <w:pPr>
        <w:pStyle w:val="Heading1"/>
      </w:pPr>
      <w:r>
        <w:t>Create a balanced argument for EOTAS (with 2 contrasting methods)</w:t>
      </w:r>
    </w:p>
    <w:p w:rsidR="009227A6" w:rsidRDefault="009227A6" w:rsidP="008863AE">
      <w:pPr>
        <w:pStyle w:val="Heading1"/>
      </w:pPr>
      <w:r>
        <w:t>Home-schooling</w:t>
      </w:r>
      <w:r w:rsidR="005F5330">
        <w:t xml:space="preserve"> in Wales </w:t>
      </w:r>
      <w:r w:rsidR="008863AE">
        <w:t>and</w:t>
      </w:r>
      <w:r w:rsidR="005F5330">
        <w:t xml:space="preserve"> Mainstream schooling</w:t>
      </w:r>
    </w:p>
    <w:p w:rsidR="008863AE" w:rsidRPr="008863AE" w:rsidRDefault="008863AE" w:rsidP="008863AE">
      <w:pPr>
        <w:rPr>
          <w:lang w:val="en-US"/>
        </w:rPr>
      </w:pPr>
    </w:p>
    <w:p w:rsidR="007764D1" w:rsidRDefault="000445F5" w:rsidP="00D524AC">
      <w:pPr>
        <w:spacing w:line="480" w:lineRule="auto"/>
        <w:rPr>
          <w:rFonts w:ascii="Arial" w:hAnsi="Arial" w:cs="Arial"/>
        </w:rPr>
      </w:pPr>
      <w:r>
        <w:rPr>
          <w:rFonts w:ascii="Arial" w:hAnsi="Arial" w:cs="Arial"/>
        </w:rPr>
        <w:t>According to section 7 of the 1996 Education Act, responsibility for the education of children rests with their parents and can be provided ‘by regular attendance at school or otherwise</w:t>
      </w:r>
      <w:r>
        <w:rPr>
          <w:rStyle w:val="FootnoteReference"/>
          <w:rFonts w:ascii="Arial" w:hAnsi="Arial" w:cs="Arial"/>
        </w:rPr>
        <w:footnoteReference w:id="1"/>
      </w:r>
      <w:r>
        <w:rPr>
          <w:rFonts w:ascii="Arial" w:hAnsi="Arial" w:cs="Arial"/>
        </w:rPr>
        <w:t xml:space="preserve">.’ This is the law which, in effect, allows parents to home-school their children, and Wales, England, Northern Ireland and Scotland all implement this law differently. </w:t>
      </w:r>
      <w:r w:rsidR="003773E1">
        <w:rPr>
          <w:rFonts w:ascii="Arial" w:hAnsi="Arial" w:cs="Arial"/>
        </w:rPr>
        <w:t>This essay however will be focusing on home education in</w:t>
      </w:r>
      <w:r w:rsidR="009227A6">
        <w:rPr>
          <w:rFonts w:ascii="Arial" w:hAnsi="Arial" w:cs="Arial"/>
        </w:rPr>
        <w:t xml:space="preserve"> Wales,</w:t>
      </w:r>
      <w:r w:rsidR="003773E1">
        <w:rPr>
          <w:rFonts w:ascii="Arial" w:hAnsi="Arial" w:cs="Arial"/>
        </w:rPr>
        <w:t xml:space="preserve"> where</w:t>
      </w:r>
      <w:r w:rsidR="009227A6">
        <w:rPr>
          <w:rFonts w:ascii="Arial" w:hAnsi="Arial" w:cs="Arial"/>
        </w:rPr>
        <w:t xml:space="preserve"> </w:t>
      </w:r>
      <w:r w:rsidR="004B4499">
        <w:rPr>
          <w:rFonts w:ascii="Arial" w:hAnsi="Arial" w:cs="Arial"/>
        </w:rPr>
        <w:t>0.56% of</w:t>
      </w:r>
      <w:r w:rsidR="009227A6">
        <w:rPr>
          <w:rFonts w:ascii="Arial" w:hAnsi="Arial" w:cs="Arial"/>
        </w:rPr>
        <w:t xml:space="preserve"> children who are at the compulsory school </w:t>
      </w:r>
      <w:r w:rsidR="004B4499">
        <w:rPr>
          <w:rFonts w:ascii="Arial" w:hAnsi="Arial" w:cs="Arial"/>
        </w:rPr>
        <w:t>age are Electively Home Educated (EHE)</w:t>
      </w:r>
      <w:r w:rsidR="003773E1">
        <w:rPr>
          <w:rFonts w:ascii="Arial" w:hAnsi="Arial" w:cs="Arial"/>
        </w:rPr>
        <w:t>. T</w:t>
      </w:r>
      <w:r w:rsidR="009227A6">
        <w:rPr>
          <w:rFonts w:ascii="Arial" w:hAnsi="Arial" w:cs="Arial"/>
        </w:rPr>
        <w:t xml:space="preserve">his number is </w:t>
      </w:r>
      <w:r w:rsidR="00EB1613">
        <w:rPr>
          <w:rFonts w:ascii="Arial" w:hAnsi="Arial" w:cs="Arial"/>
        </w:rPr>
        <w:t>drastically different depending on which local education</w:t>
      </w:r>
      <w:r w:rsidR="004B4499">
        <w:rPr>
          <w:rFonts w:ascii="Arial" w:hAnsi="Arial" w:cs="Arial"/>
        </w:rPr>
        <w:t>al authority</w:t>
      </w:r>
      <w:r w:rsidR="00291A57">
        <w:rPr>
          <w:rFonts w:ascii="Arial" w:hAnsi="Arial" w:cs="Arial"/>
        </w:rPr>
        <w:t xml:space="preserve"> (LEA)</w:t>
      </w:r>
      <w:r w:rsidR="003773E1">
        <w:rPr>
          <w:rFonts w:ascii="Arial" w:hAnsi="Arial" w:cs="Arial"/>
        </w:rPr>
        <w:t xml:space="preserve"> is being observes though across Wales</w:t>
      </w:r>
      <w:r w:rsidR="004B4499">
        <w:rPr>
          <w:rFonts w:ascii="Arial" w:hAnsi="Arial" w:cs="Arial"/>
        </w:rPr>
        <w:t xml:space="preserve"> </w:t>
      </w:r>
      <w:r w:rsidR="009227A6">
        <w:rPr>
          <w:rFonts w:ascii="Arial" w:hAnsi="Arial" w:cs="Arial"/>
        </w:rPr>
        <w:t>this number has been steadily increasing over the past 6 years</w:t>
      </w:r>
      <w:r w:rsidR="008C2FCE">
        <w:rPr>
          <w:rStyle w:val="FootnoteReference"/>
          <w:rFonts w:ascii="Arial" w:hAnsi="Arial" w:cs="Arial"/>
        </w:rPr>
        <w:footnoteReference w:id="2"/>
      </w:r>
      <w:r w:rsidR="009227A6">
        <w:rPr>
          <w:rFonts w:ascii="Arial" w:hAnsi="Arial" w:cs="Arial"/>
        </w:rPr>
        <w:t xml:space="preserve">. </w:t>
      </w:r>
      <w:r w:rsidR="007465FD">
        <w:rPr>
          <w:rFonts w:ascii="Arial" w:hAnsi="Arial" w:cs="Arial"/>
        </w:rPr>
        <w:t>What will be suggested here</w:t>
      </w:r>
      <w:r w:rsidR="009227A6">
        <w:rPr>
          <w:rFonts w:ascii="Arial" w:hAnsi="Arial" w:cs="Arial"/>
        </w:rPr>
        <w:t xml:space="preserve"> is that the statistical quality of the schools in the area do</w:t>
      </w:r>
      <w:r w:rsidR="004516D5">
        <w:rPr>
          <w:rFonts w:ascii="Arial" w:hAnsi="Arial" w:cs="Arial"/>
        </w:rPr>
        <w:t>es</w:t>
      </w:r>
      <w:r w:rsidR="009227A6">
        <w:rPr>
          <w:rFonts w:ascii="Arial" w:hAnsi="Arial" w:cs="Arial"/>
        </w:rPr>
        <w:t xml:space="preserve"> not</w:t>
      </w:r>
      <w:r w:rsidR="004516D5">
        <w:rPr>
          <w:rFonts w:ascii="Arial" w:hAnsi="Arial" w:cs="Arial"/>
        </w:rPr>
        <w:t xml:space="preserve"> always</w:t>
      </w:r>
      <w:r w:rsidR="009227A6">
        <w:rPr>
          <w:rFonts w:ascii="Arial" w:hAnsi="Arial" w:cs="Arial"/>
        </w:rPr>
        <w:t xml:space="preserve"> affect the decision to electively home educate children, but that the rurality of the area does have an influence on whether a child is home schooled or not. </w:t>
      </w:r>
      <w:r w:rsidR="004B4499">
        <w:rPr>
          <w:rFonts w:ascii="Arial" w:hAnsi="Arial" w:cs="Arial"/>
        </w:rPr>
        <w:t>This essay will also be focusing on why people decide to EHE their children at home and how the methods used/theory used are in contrast to mainstream educational institutions.</w:t>
      </w:r>
      <w:r w:rsidR="007764D1">
        <w:rPr>
          <w:rFonts w:ascii="Arial" w:hAnsi="Arial" w:cs="Arial"/>
        </w:rPr>
        <w:t xml:space="preserve"> </w:t>
      </w:r>
    </w:p>
    <w:p w:rsidR="00EB1613" w:rsidRPr="007465FD" w:rsidRDefault="00EB1613" w:rsidP="00D524AC">
      <w:pPr>
        <w:spacing w:line="480" w:lineRule="auto"/>
        <w:rPr>
          <w:rFonts w:ascii="Arial" w:hAnsi="Arial" w:cs="Arial"/>
          <w:i/>
          <w:u w:val="single"/>
        </w:rPr>
      </w:pPr>
      <w:r w:rsidRPr="007465FD">
        <w:rPr>
          <w:rFonts w:ascii="Arial" w:hAnsi="Arial" w:cs="Arial"/>
          <w:i/>
          <w:u w:val="single"/>
        </w:rPr>
        <w:t>Mainstream schools in Wales</w:t>
      </w:r>
    </w:p>
    <w:p w:rsidR="00A12ADC" w:rsidRPr="00B66345" w:rsidRDefault="00F54C09" w:rsidP="00A12ADC">
      <w:pPr>
        <w:spacing w:line="480" w:lineRule="auto"/>
        <w:rPr>
          <w:rFonts w:ascii="Arial" w:hAnsi="Arial" w:cs="Arial"/>
        </w:rPr>
      </w:pPr>
      <w:r>
        <w:rPr>
          <w:rFonts w:ascii="Arial" w:hAnsi="Arial" w:cs="Arial"/>
        </w:rPr>
        <w:t xml:space="preserve">Since ‘schooling’ as it </w:t>
      </w:r>
      <w:r w:rsidR="007855B6">
        <w:rPr>
          <w:rFonts w:ascii="Arial" w:hAnsi="Arial" w:cs="Arial"/>
        </w:rPr>
        <w:t>is</w:t>
      </w:r>
      <w:r w:rsidR="00B66345">
        <w:rPr>
          <w:rFonts w:ascii="Arial" w:hAnsi="Arial" w:cs="Arial"/>
        </w:rPr>
        <w:t xml:space="preserve"> known today was formed, </w:t>
      </w:r>
      <w:r>
        <w:rPr>
          <w:rFonts w:ascii="Arial" w:hAnsi="Arial" w:cs="Arial"/>
        </w:rPr>
        <w:t xml:space="preserve">it has mainly been done </w:t>
      </w:r>
      <w:r w:rsidR="00B66345">
        <w:rPr>
          <w:rFonts w:ascii="Arial" w:hAnsi="Arial" w:cs="Arial"/>
        </w:rPr>
        <w:t>in</w:t>
      </w:r>
      <w:r>
        <w:rPr>
          <w:rFonts w:ascii="Arial" w:hAnsi="Arial" w:cs="Arial"/>
        </w:rPr>
        <w:t xml:space="preserve"> accordance to Freire’s ‘banking concept’ of </w:t>
      </w:r>
      <w:r w:rsidRPr="00B66345">
        <w:rPr>
          <w:rFonts w:ascii="Arial" w:hAnsi="Arial" w:cs="Arial"/>
        </w:rPr>
        <w:t>education</w:t>
      </w:r>
      <w:r>
        <w:rPr>
          <w:rFonts w:ascii="Arial" w:hAnsi="Arial" w:cs="Arial"/>
        </w:rPr>
        <w:t>, where students are told what to learn and a</w:t>
      </w:r>
      <w:r w:rsidR="007855B6">
        <w:rPr>
          <w:rFonts w:ascii="Arial" w:hAnsi="Arial" w:cs="Arial"/>
        </w:rPr>
        <w:t>re then</w:t>
      </w:r>
      <w:r w:rsidR="00F45895">
        <w:rPr>
          <w:rFonts w:ascii="Arial" w:hAnsi="Arial" w:cs="Arial"/>
        </w:rPr>
        <w:t xml:space="preserve"> innately</w:t>
      </w:r>
      <w:r w:rsidR="007855B6">
        <w:rPr>
          <w:rFonts w:ascii="Arial" w:hAnsi="Arial" w:cs="Arial"/>
        </w:rPr>
        <w:t xml:space="preserve"> meant to</w:t>
      </w:r>
      <w:r w:rsidR="00F45895">
        <w:rPr>
          <w:rFonts w:ascii="Arial" w:hAnsi="Arial" w:cs="Arial"/>
        </w:rPr>
        <w:t xml:space="preserve"> do so</w:t>
      </w:r>
      <w:r w:rsidR="008C2FCE">
        <w:rPr>
          <w:rStyle w:val="FootnoteReference"/>
          <w:rFonts w:ascii="Arial" w:hAnsi="Arial" w:cs="Arial"/>
        </w:rPr>
        <w:footnoteReference w:id="3"/>
      </w:r>
      <w:r w:rsidR="00F45895">
        <w:rPr>
          <w:rFonts w:ascii="Arial" w:hAnsi="Arial" w:cs="Arial"/>
        </w:rPr>
        <w:t xml:space="preserve">. </w:t>
      </w:r>
      <w:r w:rsidR="00B66345">
        <w:rPr>
          <w:rFonts w:ascii="Arial" w:hAnsi="Arial" w:cs="Arial"/>
        </w:rPr>
        <w:t xml:space="preserve">This way of teaching effectively destroys a learners desire to learn because of there is no real need to do any self-learning and nor will the national curriculum </w:t>
      </w:r>
      <w:r w:rsidR="007855B6">
        <w:rPr>
          <w:rFonts w:ascii="Arial" w:hAnsi="Arial" w:cs="Arial"/>
        </w:rPr>
        <w:t xml:space="preserve">always </w:t>
      </w:r>
      <w:r w:rsidR="00B66345">
        <w:rPr>
          <w:rFonts w:ascii="Arial" w:hAnsi="Arial" w:cs="Arial"/>
        </w:rPr>
        <w:t xml:space="preserve">fit with the students interests, leaving them bored and </w:t>
      </w:r>
      <w:r w:rsidR="007855B6">
        <w:rPr>
          <w:rFonts w:ascii="Arial" w:hAnsi="Arial" w:cs="Arial"/>
        </w:rPr>
        <w:t>dis</w:t>
      </w:r>
      <w:r w:rsidR="00B66345">
        <w:rPr>
          <w:rFonts w:ascii="Arial" w:hAnsi="Arial" w:cs="Arial"/>
        </w:rPr>
        <w:t xml:space="preserve">satisfied during school. It also can leave students with a lack of self-confidence as they are constantly assessed and being judged and disciplined by their teacher, creating a feeling of disharmony in the </w:t>
      </w:r>
      <w:r w:rsidR="00B66345">
        <w:rPr>
          <w:rFonts w:ascii="Arial" w:hAnsi="Arial" w:cs="Arial"/>
        </w:rPr>
        <w:lastRenderedPageBreak/>
        <w:t>classroom and sometimes even leading to behavioural problems</w:t>
      </w:r>
      <w:r w:rsidR="007855B6">
        <w:rPr>
          <w:rFonts w:ascii="Arial" w:hAnsi="Arial" w:cs="Arial"/>
        </w:rPr>
        <w:t>, self-confidence issues and</w:t>
      </w:r>
      <w:r w:rsidR="00B66345">
        <w:rPr>
          <w:rFonts w:ascii="Arial" w:hAnsi="Arial" w:cs="Arial"/>
        </w:rPr>
        <w:t xml:space="preserve"> a lack of motivation</w:t>
      </w:r>
      <w:r w:rsidR="00162B9F">
        <w:rPr>
          <w:rStyle w:val="FootnoteReference"/>
          <w:rFonts w:ascii="Arial" w:hAnsi="Arial" w:cs="Arial"/>
        </w:rPr>
        <w:footnoteReference w:id="4"/>
      </w:r>
      <w:r w:rsidR="00B66345">
        <w:rPr>
          <w:rFonts w:ascii="Arial" w:hAnsi="Arial" w:cs="Arial"/>
        </w:rPr>
        <w:t>.</w:t>
      </w:r>
      <w:r w:rsidR="007855B6">
        <w:rPr>
          <w:rFonts w:ascii="Arial" w:hAnsi="Arial" w:cs="Arial"/>
        </w:rPr>
        <w:t xml:space="preserve"> This</w:t>
      </w:r>
      <w:r w:rsidR="00B66345">
        <w:rPr>
          <w:rFonts w:ascii="Arial" w:hAnsi="Arial" w:cs="Arial"/>
        </w:rPr>
        <w:t xml:space="preserve"> choice</w:t>
      </w:r>
      <w:r w:rsidR="007855B6">
        <w:rPr>
          <w:rFonts w:ascii="Arial" w:hAnsi="Arial" w:cs="Arial"/>
        </w:rPr>
        <w:t xml:space="preserve"> deficiency</w:t>
      </w:r>
      <w:r w:rsidR="00B66345">
        <w:rPr>
          <w:rFonts w:ascii="Arial" w:hAnsi="Arial" w:cs="Arial"/>
        </w:rPr>
        <w:t xml:space="preserve"> in what the students </w:t>
      </w:r>
      <w:r w:rsidR="007855B6">
        <w:rPr>
          <w:rFonts w:ascii="Arial" w:hAnsi="Arial" w:cs="Arial"/>
        </w:rPr>
        <w:t xml:space="preserve">can </w:t>
      </w:r>
      <w:r w:rsidR="00B66345">
        <w:rPr>
          <w:rFonts w:ascii="Arial" w:hAnsi="Arial" w:cs="Arial"/>
        </w:rPr>
        <w:t>learn has also been</w:t>
      </w:r>
      <w:r w:rsidR="00257BAD">
        <w:rPr>
          <w:rFonts w:ascii="Arial" w:hAnsi="Arial" w:cs="Arial"/>
        </w:rPr>
        <w:t xml:space="preserve"> debated</w:t>
      </w:r>
      <w:r w:rsidR="00892D1A">
        <w:rPr>
          <w:rFonts w:ascii="Arial" w:hAnsi="Arial" w:cs="Arial"/>
        </w:rPr>
        <w:t xml:space="preserve"> as the process of learning being controlled can often lose the interest of the children</w:t>
      </w:r>
      <w:r w:rsidR="008C2FCE">
        <w:rPr>
          <w:rStyle w:val="FootnoteReference"/>
          <w:rFonts w:ascii="Arial" w:hAnsi="Arial" w:cs="Arial"/>
        </w:rPr>
        <w:footnoteReference w:id="5"/>
      </w:r>
      <w:r w:rsidR="007855B6">
        <w:rPr>
          <w:rFonts w:ascii="Arial" w:hAnsi="Arial" w:cs="Arial"/>
        </w:rPr>
        <w:t>.</w:t>
      </w:r>
      <w:r w:rsidR="00892D1A">
        <w:rPr>
          <w:rFonts w:ascii="Arial" w:hAnsi="Arial" w:cs="Arial"/>
        </w:rPr>
        <w:t xml:space="preserve"> </w:t>
      </w:r>
      <w:r w:rsidR="007855B6">
        <w:rPr>
          <w:rFonts w:ascii="Arial" w:hAnsi="Arial" w:cs="Arial"/>
        </w:rPr>
        <w:t>‘F</w:t>
      </w:r>
      <w:r w:rsidR="00892D1A">
        <w:rPr>
          <w:rFonts w:ascii="Arial" w:hAnsi="Arial" w:cs="Arial"/>
        </w:rPr>
        <w:t>ormulaic human beings’ hardly leave room for experimentation and creativity in their adult lives</w:t>
      </w:r>
      <w:r w:rsidR="00257BAD">
        <w:rPr>
          <w:rFonts w:ascii="Arial" w:hAnsi="Arial" w:cs="Arial"/>
        </w:rPr>
        <w:t xml:space="preserve"> and therefore can</w:t>
      </w:r>
      <w:r w:rsidR="007855B6">
        <w:rPr>
          <w:rFonts w:ascii="Arial" w:hAnsi="Arial" w:cs="Arial"/>
        </w:rPr>
        <w:t xml:space="preserve"> also</w:t>
      </w:r>
      <w:r w:rsidR="00257BAD">
        <w:rPr>
          <w:rFonts w:ascii="Arial" w:hAnsi="Arial" w:cs="Arial"/>
        </w:rPr>
        <w:t xml:space="preserve"> block learners progression in the long-term</w:t>
      </w:r>
      <w:r w:rsidR="008C2FCE">
        <w:rPr>
          <w:rStyle w:val="FootnoteReference"/>
          <w:rFonts w:ascii="Arial" w:hAnsi="Arial" w:cs="Arial"/>
        </w:rPr>
        <w:footnoteReference w:id="6"/>
      </w:r>
      <w:r w:rsidR="007855B6">
        <w:rPr>
          <w:rFonts w:ascii="Arial" w:hAnsi="Arial" w:cs="Arial"/>
        </w:rPr>
        <w:t>, as they will lack the critical, forward-thinking and analytical skills needed to progress to their highest capacity</w:t>
      </w:r>
      <w:r w:rsidR="00892D1A">
        <w:rPr>
          <w:rFonts w:ascii="Arial" w:hAnsi="Arial" w:cs="Arial"/>
        </w:rPr>
        <w:t>.</w:t>
      </w:r>
      <w:r w:rsidR="00A12ADC">
        <w:rPr>
          <w:rFonts w:ascii="Arial" w:hAnsi="Arial" w:cs="Arial"/>
        </w:rPr>
        <w:t xml:space="preserve"> </w:t>
      </w:r>
    </w:p>
    <w:p w:rsidR="000712AA" w:rsidRDefault="00EB1613" w:rsidP="007855B6">
      <w:pPr>
        <w:spacing w:line="480" w:lineRule="auto"/>
        <w:rPr>
          <w:rFonts w:ascii="Arial" w:hAnsi="Arial" w:cs="Arial"/>
        </w:rPr>
      </w:pPr>
      <w:r>
        <w:rPr>
          <w:rFonts w:ascii="Arial" w:hAnsi="Arial" w:cs="Arial"/>
        </w:rPr>
        <w:t>In terms of how Britain ranks globally, it was 23</w:t>
      </w:r>
      <w:r w:rsidRPr="00EB1613">
        <w:rPr>
          <w:rFonts w:ascii="Arial" w:hAnsi="Arial" w:cs="Arial"/>
          <w:vertAlign w:val="superscript"/>
        </w:rPr>
        <w:t>rd</w:t>
      </w:r>
      <w:r>
        <w:rPr>
          <w:rFonts w:ascii="Arial" w:hAnsi="Arial" w:cs="Arial"/>
        </w:rPr>
        <w:t xml:space="preserve"> worldwide according to PISA’s last survey</w:t>
      </w:r>
      <w:r w:rsidR="008C2FCE">
        <w:rPr>
          <w:rStyle w:val="FootnoteReference"/>
          <w:rFonts w:ascii="Arial" w:hAnsi="Arial" w:cs="Arial"/>
        </w:rPr>
        <w:footnoteReference w:id="7"/>
      </w:r>
      <w:r w:rsidR="004B4499">
        <w:rPr>
          <w:rFonts w:ascii="Arial" w:hAnsi="Arial" w:cs="Arial"/>
        </w:rPr>
        <w:t xml:space="preserve">. The British educational system is, debatably, a good one which is effective for </w:t>
      </w:r>
      <w:r w:rsidR="00713F93">
        <w:rPr>
          <w:rFonts w:ascii="Arial" w:hAnsi="Arial" w:cs="Arial"/>
        </w:rPr>
        <w:t>many</w:t>
      </w:r>
      <w:r w:rsidR="004B4499">
        <w:rPr>
          <w:rFonts w:ascii="Arial" w:hAnsi="Arial" w:cs="Arial"/>
        </w:rPr>
        <w:t xml:space="preserve"> students</w:t>
      </w:r>
      <w:r w:rsidR="00F54C09">
        <w:rPr>
          <w:rFonts w:ascii="Arial" w:hAnsi="Arial" w:cs="Arial"/>
        </w:rPr>
        <w:t xml:space="preserve"> according to the global statistics</w:t>
      </w:r>
      <w:r w:rsidR="004B4499">
        <w:rPr>
          <w:rFonts w:ascii="Arial" w:hAnsi="Arial" w:cs="Arial"/>
        </w:rPr>
        <w:t>. However, teachers are</w:t>
      </w:r>
      <w:r w:rsidR="00F54C09">
        <w:rPr>
          <w:rFonts w:ascii="Arial" w:hAnsi="Arial" w:cs="Arial"/>
        </w:rPr>
        <w:t xml:space="preserve"> currently</w:t>
      </w:r>
      <w:r w:rsidR="004B4499">
        <w:rPr>
          <w:rFonts w:ascii="Arial" w:hAnsi="Arial" w:cs="Arial"/>
        </w:rPr>
        <w:t xml:space="preserve"> being overstretched and</w:t>
      </w:r>
      <w:r w:rsidR="00713F93">
        <w:rPr>
          <w:rFonts w:ascii="Arial" w:hAnsi="Arial" w:cs="Arial"/>
        </w:rPr>
        <w:t xml:space="preserve"> public</w:t>
      </w:r>
      <w:r w:rsidR="004B4499">
        <w:rPr>
          <w:rFonts w:ascii="Arial" w:hAnsi="Arial" w:cs="Arial"/>
        </w:rPr>
        <w:t xml:space="preserve"> schools are underfunded, putting a strain on mainstream schooling across all areas of Britain</w:t>
      </w:r>
      <w:r w:rsidR="00F54C09">
        <w:rPr>
          <w:rFonts w:ascii="Arial" w:hAnsi="Arial" w:cs="Arial"/>
        </w:rPr>
        <w:t>; Wales’s new curriculum however will hopefully ease some of the burden being put onto teachers across the country</w:t>
      </w:r>
      <w:r w:rsidR="004B4499">
        <w:rPr>
          <w:rFonts w:ascii="Arial" w:hAnsi="Arial" w:cs="Arial"/>
        </w:rPr>
        <w:t xml:space="preserve">. </w:t>
      </w:r>
      <w:r w:rsidR="007465FD">
        <w:rPr>
          <w:rFonts w:ascii="Arial" w:hAnsi="Arial" w:cs="Arial"/>
        </w:rPr>
        <w:t>The Donaldson report was written by Professor Graham Donaldson in 2015, and should</w:t>
      </w:r>
      <w:r w:rsidR="00713F93">
        <w:rPr>
          <w:rFonts w:ascii="Arial" w:hAnsi="Arial" w:cs="Arial"/>
        </w:rPr>
        <w:t xml:space="preserve"> start being put in </w:t>
      </w:r>
      <w:r w:rsidR="007465FD">
        <w:rPr>
          <w:rFonts w:ascii="Arial" w:hAnsi="Arial" w:cs="Arial"/>
        </w:rPr>
        <w:t>place by 2020, with pioneering schools testing the curriculum across Wales in the meantime</w:t>
      </w:r>
      <w:r w:rsidR="007122AA">
        <w:rPr>
          <w:rStyle w:val="FootnoteReference"/>
          <w:rFonts w:ascii="Arial" w:hAnsi="Arial" w:cs="Arial"/>
        </w:rPr>
        <w:footnoteReference w:id="8"/>
      </w:r>
      <w:r w:rsidR="007465FD">
        <w:rPr>
          <w:rFonts w:ascii="Arial" w:hAnsi="Arial" w:cs="Arial"/>
        </w:rPr>
        <w:t>. The new innovative curriculum focuses on a more teacher-led holistic to learning which takes the focus away from constant assessments and towards other ways of documenting learning.</w:t>
      </w:r>
      <w:r w:rsidR="00D72D03">
        <w:rPr>
          <w:rFonts w:ascii="Arial" w:hAnsi="Arial" w:cs="Arial"/>
        </w:rPr>
        <w:t xml:space="preserve"> </w:t>
      </w:r>
      <w:r w:rsidR="004516D5">
        <w:rPr>
          <w:rFonts w:ascii="Arial" w:hAnsi="Arial" w:cs="Arial"/>
        </w:rPr>
        <w:t>However, this new curriculum will also put teachers in a position where they have to implement cross-curricular teaching, to bring in aspects of the six areas of learning and experience</w:t>
      </w:r>
      <w:r w:rsidR="00246D6A">
        <w:rPr>
          <w:rFonts w:ascii="Arial" w:hAnsi="Arial" w:cs="Arial"/>
        </w:rPr>
        <w:t>.</w:t>
      </w:r>
      <w:r w:rsidR="00246D6A" w:rsidRPr="00246D6A">
        <w:rPr>
          <w:rFonts w:ascii="Arial" w:hAnsi="Arial" w:cs="Arial"/>
        </w:rPr>
        <w:t xml:space="preserve"> </w:t>
      </w:r>
      <w:r w:rsidR="00D72D03">
        <w:rPr>
          <w:rFonts w:ascii="Arial" w:hAnsi="Arial" w:cs="Arial"/>
        </w:rPr>
        <w:t>Teachers currently have not been receiving enough professional development to make them feel confident in their current subjects, and there has been no clear way of how they will be trained to meet the new requirements yet</w:t>
      </w:r>
      <w:r w:rsidR="00D72D03">
        <w:rPr>
          <w:rStyle w:val="FootnoteReference"/>
          <w:rFonts w:ascii="Arial" w:hAnsi="Arial" w:cs="Arial"/>
        </w:rPr>
        <w:footnoteReference w:id="9"/>
      </w:r>
      <w:r w:rsidR="00D72D03">
        <w:rPr>
          <w:rFonts w:ascii="Arial" w:hAnsi="Arial" w:cs="Arial"/>
        </w:rPr>
        <w:t xml:space="preserve">. </w:t>
      </w:r>
      <w:r w:rsidR="00246D6A">
        <w:rPr>
          <w:rFonts w:ascii="Arial" w:hAnsi="Arial" w:cs="Arial"/>
        </w:rPr>
        <w:t xml:space="preserve">In order to implement good learning </w:t>
      </w:r>
      <w:r w:rsidR="00246D6A">
        <w:rPr>
          <w:rFonts w:ascii="Arial" w:hAnsi="Arial" w:cs="Arial"/>
        </w:rPr>
        <w:lastRenderedPageBreak/>
        <w:t xml:space="preserve">within any curriculum, a constructivist approach to learning seems to be the most effective way, because learning is an active process which needs to be done physically, and not simply </w:t>
      </w:r>
      <w:r w:rsidR="00246D6A" w:rsidRPr="00A12ADC">
        <w:rPr>
          <w:rFonts w:ascii="Arial" w:hAnsi="Arial" w:cs="Arial"/>
          <w:i/>
        </w:rPr>
        <w:t>told</w:t>
      </w:r>
      <w:r w:rsidR="00246D6A">
        <w:rPr>
          <w:rFonts w:ascii="Arial" w:hAnsi="Arial" w:cs="Arial"/>
        </w:rPr>
        <w:t xml:space="preserve"> to you</w:t>
      </w:r>
      <w:r w:rsidR="00246D6A">
        <w:rPr>
          <w:rStyle w:val="FootnoteReference"/>
          <w:rFonts w:ascii="Arial" w:hAnsi="Arial" w:cs="Arial"/>
        </w:rPr>
        <w:footnoteReference w:id="10"/>
      </w:r>
      <w:r w:rsidR="00246D6A">
        <w:rPr>
          <w:rFonts w:ascii="Arial" w:hAnsi="Arial" w:cs="Arial"/>
        </w:rPr>
        <w:t>. A constructivist approach however is definitely not compulsory across the board in Wales or Britain as a whole currently, but hopefully will be more possible under the ‘Successful Futures’ curriculum as teachers can adapt their teaching methods to fit the learning aims relatively easily</w:t>
      </w:r>
      <w:r w:rsidR="004516D5">
        <w:rPr>
          <w:rFonts w:ascii="Arial" w:hAnsi="Arial" w:cs="Arial"/>
        </w:rPr>
        <w:t xml:space="preserve">. </w:t>
      </w:r>
      <w:r w:rsidR="00246D6A">
        <w:rPr>
          <w:rFonts w:ascii="Arial" w:hAnsi="Arial" w:cs="Arial"/>
        </w:rPr>
        <w:t>However, a</w:t>
      </w:r>
      <w:r w:rsidR="004516D5">
        <w:rPr>
          <w:rFonts w:ascii="Arial" w:hAnsi="Arial" w:cs="Arial"/>
        </w:rPr>
        <w:t>ll teachers will need to be competent enough in literacy, numeracy and digital competence in order to effectively execute the cross-curricular teaching being made mandatory to them</w:t>
      </w:r>
      <w:r w:rsidR="007122AA">
        <w:rPr>
          <w:rStyle w:val="FootnoteReference"/>
          <w:rFonts w:ascii="Arial" w:hAnsi="Arial" w:cs="Arial"/>
        </w:rPr>
        <w:footnoteReference w:id="11"/>
      </w:r>
      <w:r w:rsidR="004D3606">
        <w:rPr>
          <w:rFonts w:ascii="Arial" w:hAnsi="Arial" w:cs="Arial"/>
        </w:rPr>
        <w:t>; this could affect the quality of teaching that teachers can deliver as they will be trying to teach subjects that the</w:t>
      </w:r>
      <w:r w:rsidR="00F54C09">
        <w:rPr>
          <w:rFonts w:ascii="Arial" w:hAnsi="Arial" w:cs="Arial"/>
        </w:rPr>
        <w:t>y may not have been trained in, it may also affect their confidence to teach.</w:t>
      </w:r>
      <w:r w:rsidR="00A12ADC" w:rsidRPr="00A12ADC">
        <w:rPr>
          <w:rFonts w:ascii="Arial" w:hAnsi="Arial" w:cs="Arial"/>
        </w:rPr>
        <w:t xml:space="preserve"> </w:t>
      </w:r>
      <w:r w:rsidR="00625829">
        <w:rPr>
          <w:rFonts w:ascii="Arial" w:hAnsi="Arial" w:cs="Arial"/>
        </w:rPr>
        <w:t>The fact that school-teachers generally experience large amounts of stress due to the heavy workload they have is already an issue, and this may further enhance an already growing issue</w:t>
      </w:r>
      <w:r w:rsidR="00625829">
        <w:rPr>
          <w:rStyle w:val="FootnoteReference"/>
          <w:rFonts w:ascii="Arial" w:hAnsi="Arial" w:cs="Arial"/>
        </w:rPr>
        <w:footnoteReference w:id="12"/>
      </w:r>
      <w:r w:rsidR="00541AC7">
        <w:rPr>
          <w:rFonts w:ascii="Arial" w:hAnsi="Arial" w:cs="Arial"/>
        </w:rPr>
        <w:t>. Stress has been</w:t>
      </w:r>
      <w:r w:rsidR="00625829">
        <w:rPr>
          <w:rFonts w:ascii="Arial" w:hAnsi="Arial" w:cs="Arial"/>
        </w:rPr>
        <w:t xml:space="preserve"> causing teachers to leave the education sector at a heavy pace and creating a shortage of teachers across the </w:t>
      </w:r>
      <w:proofErr w:type="gramStart"/>
      <w:r w:rsidR="00625829">
        <w:rPr>
          <w:rFonts w:ascii="Arial" w:hAnsi="Arial" w:cs="Arial"/>
        </w:rPr>
        <w:t>country</w:t>
      </w:r>
      <w:r w:rsidR="00541AC7">
        <w:rPr>
          <w:rFonts w:ascii="Arial" w:hAnsi="Arial" w:cs="Arial"/>
        </w:rPr>
        <w:t>, and</w:t>
      </w:r>
      <w:proofErr w:type="gramEnd"/>
      <w:r w:rsidR="00541AC7">
        <w:rPr>
          <w:rFonts w:ascii="Arial" w:hAnsi="Arial" w:cs="Arial"/>
        </w:rPr>
        <w:t xml:space="preserve"> has been substantially costly to some </w:t>
      </w:r>
      <w:r w:rsidR="00291A57">
        <w:rPr>
          <w:rFonts w:ascii="Arial" w:hAnsi="Arial" w:cs="Arial"/>
        </w:rPr>
        <w:t xml:space="preserve">LEA’s across the country which have </w:t>
      </w:r>
      <w:r w:rsidR="00246D6A">
        <w:rPr>
          <w:rFonts w:ascii="Arial" w:hAnsi="Arial" w:cs="Arial"/>
        </w:rPr>
        <w:t xml:space="preserve">had </w:t>
      </w:r>
      <w:r w:rsidR="00291A57">
        <w:rPr>
          <w:rFonts w:ascii="Arial" w:hAnsi="Arial" w:cs="Arial"/>
        </w:rPr>
        <w:t>to pay salaries whilst teachers are taking time off work due to stress-related issues</w:t>
      </w:r>
      <w:r w:rsidR="00291A57">
        <w:rPr>
          <w:rStyle w:val="FootnoteReference"/>
          <w:rFonts w:ascii="Arial" w:hAnsi="Arial" w:cs="Arial"/>
        </w:rPr>
        <w:footnoteReference w:id="13"/>
      </w:r>
      <w:r w:rsidR="0046103E">
        <w:rPr>
          <w:rFonts w:ascii="Arial" w:hAnsi="Arial" w:cs="Arial"/>
        </w:rPr>
        <w:t>.</w:t>
      </w:r>
    </w:p>
    <w:p w:rsidR="007465FD" w:rsidRDefault="00A35E21" w:rsidP="007855B6">
      <w:pPr>
        <w:spacing w:line="480" w:lineRule="auto"/>
        <w:rPr>
          <w:rFonts w:ascii="Arial" w:hAnsi="Arial" w:cs="Arial"/>
        </w:rPr>
      </w:pPr>
      <w:r>
        <w:rPr>
          <w:noProof/>
          <w:lang w:eastAsia="en-GB"/>
        </w:rPr>
        <w:lastRenderedPageBreak/>
        <w:drawing>
          <wp:anchor distT="0" distB="0" distL="114300" distR="114300" simplePos="0" relativeHeight="251658240" behindDoc="0" locked="0" layoutInCell="1" allowOverlap="1">
            <wp:simplePos x="0" y="0"/>
            <wp:positionH relativeFrom="margin">
              <wp:posOffset>66675</wp:posOffset>
            </wp:positionH>
            <wp:positionV relativeFrom="paragraph">
              <wp:posOffset>3964305</wp:posOffset>
            </wp:positionV>
            <wp:extent cx="4581525" cy="4218305"/>
            <wp:effectExtent l="0" t="0" r="9525" b="0"/>
            <wp:wrapSquare wrapText="bothSides"/>
            <wp:docPr id="1" name="Picture 1" descr="Administrative divisions map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istrative divisions map of Wa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691" t="696" r="2903" b="1"/>
                    <a:stretch/>
                  </pic:blipFill>
                  <pic:spPr bwMode="auto">
                    <a:xfrm>
                      <a:off x="0" y="0"/>
                      <a:ext cx="4581525" cy="4218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12AA">
        <w:rPr>
          <w:rFonts w:ascii="Arial" w:hAnsi="Arial" w:cs="Arial"/>
        </w:rPr>
        <w:t>S</w:t>
      </w:r>
      <w:r w:rsidR="001063B6">
        <w:rPr>
          <w:rFonts w:ascii="Arial" w:hAnsi="Arial" w:cs="Arial"/>
        </w:rPr>
        <w:t>ince</w:t>
      </w:r>
      <w:r w:rsidR="007465FD">
        <w:rPr>
          <w:rFonts w:ascii="Arial" w:hAnsi="Arial" w:cs="Arial"/>
        </w:rPr>
        <w:t xml:space="preserve"> 1988’s Education Reform Act, parental choice severely impacts which students go to which school, which creates a more competitive</w:t>
      </w:r>
      <w:proofErr w:type="gramStart"/>
      <w:r w:rsidR="007465FD">
        <w:rPr>
          <w:rFonts w:ascii="Arial" w:hAnsi="Arial" w:cs="Arial"/>
        </w:rPr>
        <w:t>, in essence, a</w:t>
      </w:r>
      <w:proofErr w:type="gramEnd"/>
      <w:r w:rsidR="007465FD">
        <w:rPr>
          <w:rFonts w:ascii="Arial" w:hAnsi="Arial" w:cs="Arial"/>
        </w:rPr>
        <w:t xml:space="preserve"> marketisation </w:t>
      </w:r>
      <w:r w:rsidR="00A23CBD">
        <w:rPr>
          <w:rFonts w:ascii="Arial" w:hAnsi="Arial" w:cs="Arial"/>
        </w:rPr>
        <w:t xml:space="preserve">and commodification </w:t>
      </w:r>
      <w:r w:rsidR="007465FD">
        <w:rPr>
          <w:rFonts w:ascii="Arial" w:hAnsi="Arial" w:cs="Arial"/>
        </w:rPr>
        <w:t>of school application processes</w:t>
      </w:r>
      <w:r w:rsidR="00A23CBD">
        <w:rPr>
          <w:rFonts w:ascii="Arial" w:hAnsi="Arial" w:cs="Arial"/>
        </w:rPr>
        <w:t xml:space="preserve"> throughout all of Britain</w:t>
      </w:r>
      <w:r w:rsidR="007122AA">
        <w:rPr>
          <w:rStyle w:val="FootnoteReference"/>
          <w:rFonts w:ascii="Arial" w:hAnsi="Arial" w:cs="Arial"/>
        </w:rPr>
        <w:footnoteReference w:id="14"/>
      </w:r>
      <w:r w:rsidR="007465FD">
        <w:rPr>
          <w:rFonts w:ascii="Arial" w:hAnsi="Arial" w:cs="Arial"/>
        </w:rPr>
        <w:t xml:space="preserve">. </w:t>
      </w:r>
      <w:r w:rsidR="007640AB">
        <w:rPr>
          <w:rFonts w:ascii="Arial" w:hAnsi="Arial" w:cs="Arial"/>
        </w:rPr>
        <w:t>Even the government acknowledges that the ‘good schools’ are generally full to capacity and are therefore more selective with their students, as well as the fact that the areas which these ‘good schools’ are in are ‘more advantaged, more able, and less ethnically-diverse than their local neighbourhoods</w:t>
      </w:r>
      <w:r w:rsidR="007122AA">
        <w:rPr>
          <w:rStyle w:val="FootnoteReference"/>
          <w:rFonts w:ascii="Arial" w:hAnsi="Arial" w:cs="Arial"/>
        </w:rPr>
        <w:footnoteReference w:id="15"/>
      </w:r>
      <w:r w:rsidR="007640AB">
        <w:rPr>
          <w:rFonts w:ascii="Arial" w:hAnsi="Arial" w:cs="Arial"/>
        </w:rPr>
        <w:t>.’</w:t>
      </w:r>
      <w:r w:rsidR="00713F93">
        <w:rPr>
          <w:rFonts w:ascii="Arial" w:hAnsi="Arial" w:cs="Arial"/>
        </w:rPr>
        <w:t xml:space="preserve"> </w:t>
      </w:r>
      <w:r w:rsidR="00D56E6D">
        <w:rPr>
          <w:rFonts w:ascii="Arial" w:hAnsi="Arial" w:cs="Arial"/>
        </w:rPr>
        <w:t>More able and talented students are therefore commodities to be sought after when the school has a choice in the matter,</w:t>
      </w:r>
      <w:r w:rsidR="004516D5">
        <w:rPr>
          <w:rFonts w:ascii="Arial" w:hAnsi="Arial" w:cs="Arial"/>
        </w:rPr>
        <w:t xml:space="preserve"> especially in secondary schools,</w:t>
      </w:r>
      <w:r w:rsidR="00D56E6D">
        <w:rPr>
          <w:rFonts w:ascii="Arial" w:hAnsi="Arial" w:cs="Arial"/>
        </w:rPr>
        <w:t xml:space="preserve"> effectively taking the illusion of choice away from the parents and forcing them into placing their children at a </w:t>
      </w:r>
      <w:r w:rsidR="000B0250">
        <w:rPr>
          <w:rFonts w:ascii="Arial" w:hAnsi="Arial" w:cs="Arial"/>
        </w:rPr>
        <w:t>school less beneficial to their children’s future prospects</w:t>
      </w:r>
      <w:r w:rsidR="00EA7BE2">
        <w:rPr>
          <w:rStyle w:val="FootnoteReference"/>
          <w:rFonts w:ascii="Arial" w:hAnsi="Arial" w:cs="Arial"/>
        </w:rPr>
        <w:footnoteReference w:id="16"/>
      </w:r>
      <w:r w:rsidR="00D56E6D">
        <w:rPr>
          <w:rFonts w:ascii="Arial" w:hAnsi="Arial" w:cs="Arial"/>
        </w:rPr>
        <w:t xml:space="preserve">. In a country such as Wales, where schools can often be far apart due to geographical issues of rurality, this can be a considerably difficult situation to be in, as there is simply not as much choice </w:t>
      </w:r>
      <w:r w:rsidR="00D679DE">
        <w:rPr>
          <w:rFonts w:ascii="Arial" w:hAnsi="Arial" w:cs="Arial"/>
        </w:rPr>
        <w:t>anyway.</w:t>
      </w: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861303" w:rsidRDefault="00861303" w:rsidP="004D0156">
      <w:pPr>
        <w:rPr>
          <w:b/>
          <w:i/>
          <w:color w:val="2E74B5" w:themeColor="accent1" w:themeShade="BF"/>
        </w:rPr>
      </w:pPr>
    </w:p>
    <w:p w:rsidR="00861303" w:rsidRDefault="00A35E21" w:rsidP="004D0156">
      <w:pPr>
        <w:rPr>
          <w:b/>
          <w:i/>
          <w:color w:val="2E74B5" w:themeColor="accent1" w:themeShade="BF"/>
        </w:rPr>
      </w:pPr>
      <w:r w:rsidRPr="00470BA4">
        <w:rPr>
          <w:rFonts w:ascii="Arial" w:hAnsi="Arial" w:cs="Arial"/>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4702810</wp:posOffset>
                </wp:positionH>
                <wp:positionV relativeFrom="paragraph">
                  <wp:posOffset>256540</wp:posOffset>
                </wp:positionV>
                <wp:extent cx="1857375" cy="1000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000125"/>
                        </a:xfrm>
                        <a:prstGeom prst="rect">
                          <a:avLst/>
                        </a:prstGeom>
                        <a:solidFill>
                          <a:srgbClr val="FFFFFF"/>
                        </a:solidFill>
                        <a:ln w="9525">
                          <a:solidFill>
                            <a:srgbClr val="000000"/>
                          </a:solidFill>
                          <a:miter lim="800000"/>
                          <a:headEnd/>
                          <a:tailEnd/>
                        </a:ln>
                      </wps:spPr>
                      <wps:txbx>
                        <w:txbxContent>
                          <w:p w:rsidR="00470BA4" w:rsidRDefault="00470BA4">
                            <w:pPr>
                              <w:rPr>
                                <w:sz w:val="17"/>
                                <w:szCs w:val="17"/>
                              </w:rPr>
                            </w:pPr>
                            <w:r>
                              <w:rPr>
                                <w:sz w:val="17"/>
                                <w:szCs w:val="17"/>
                              </w:rPr>
                              <w:t>Principality map of Wales</w:t>
                            </w:r>
                          </w:p>
                          <w:p w:rsidR="00470BA4" w:rsidRPr="00470BA4" w:rsidRDefault="00087D05" w:rsidP="00470BA4">
                            <w:pPr>
                              <w:rPr>
                                <w:sz w:val="17"/>
                                <w:szCs w:val="17"/>
                              </w:rPr>
                            </w:pPr>
                            <w:hyperlink r:id="rId9" w:history="1">
                              <w:r w:rsidR="00470BA4" w:rsidRPr="00470BA4">
                                <w:rPr>
                                  <w:rStyle w:val="Hyperlink"/>
                                  <w:sz w:val="17"/>
                                  <w:szCs w:val="17"/>
                                </w:rPr>
                                <w:t>http://ontheworldmap.com/uk/wales/administrative-divisions-map-of-wales.html</w:t>
                              </w:r>
                            </w:hyperlink>
                            <w:r w:rsidR="00470BA4">
                              <w:rPr>
                                <w:sz w:val="17"/>
                                <w:szCs w:val="17"/>
                              </w:rPr>
                              <w:t xml:space="preserve"> (accessed 29/03/2019)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0.3pt;margin-top:20.2pt;width:146.25pt;height:78.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">
                <v:textbox>
                  <w:txbxContent>
                    <w:p w:rsidR="00470BA4" w:rsidRDefault="00470BA4">
                      <w:pPr>
                        <w:rPr>
                          <w:sz w:val="17"/>
                          <w:szCs w:val="17"/>
                        </w:rPr>
                      </w:pPr>
                      <w:r>
                        <w:rPr>
                          <w:sz w:val="17"/>
                          <w:szCs w:val="17"/>
                        </w:rPr>
                        <w:t>Principality map of Wales</w:t>
                      </w:r>
                    </w:p>
                    <w:p w:rsidR="00470BA4" w:rsidRPr="00470BA4" w:rsidRDefault="00087D05" w:rsidP="00470BA4">
                      <w:pPr>
                        <w:rPr>
                          <w:sz w:val="17"/>
                          <w:szCs w:val="17"/>
                        </w:rPr>
                      </w:pPr>
                      <w:hyperlink r:id="rId10" w:history="1">
                        <w:r w:rsidR="00470BA4" w:rsidRPr="00470BA4">
                          <w:rPr>
                            <w:rStyle w:val="Hyperlink"/>
                            <w:sz w:val="17"/>
                            <w:szCs w:val="17"/>
                          </w:rPr>
                          <w:t>http://ontheworldmap.com/uk/wales/administrative-divisions-map-of-wales.html</w:t>
                        </w:r>
                      </w:hyperlink>
                      <w:r w:rsidR="00470BA4">
                        <w:rPr>
                          <w:sz w:val="17"/>
                          <w:szCs w:val="17"/>
                        </w:rPr>
                        <w:t xml:space="preserve"> (accessed 29/03/2019)</w:t>
                      </w:r>
                    </w:p>
                  </w:txbxContent>
                </v:textbox>
                <w10:wrap type="square" anchorx="margin"/>
              </v:shape>
            </w:pict>
          </mc:Fallback>
        </mc:AlternateContent>
      </w:r>
    </w:p>
    <w:p w:rsidR="004D0156" w:rsidRPr="000655CE" w:rsidRDefault="00861303" w:rsidP="004D0156">
      <w:pPr>
        <w:rPr>
          <w:b/>
          <w:i/>
          <w:color w:val="2E74B5" w:themeColor="accent1" w:themeShade="BF"/>
        </w:rPr>
      </w:pPr>
      <w:r>
        <w:rPr>
          <w:b/>
          <w:i/>
          <w:color w:val="2E74B5" w:themeColor="accent1" w:themeShade="BF"/>
        </w:rPr>
        <w:lastRenderedPageBreak/>
        <w:t>A</w:t>
      </w:r>
      <w:r w:rsidR="004D0156" w:rsidRPr="000655CE">
        <w:rPr>
          <w:b/>
          <w:i/>
          <w:color w:val="2E74B5" w:themeColor="accent1" w:themeShade="BF"/>
        </w:rPr>
        <w:t>mount of home-schooled compulsory school aged children per thousand</w:t>
      </w:r>
    </w:p>
    <w:tbl>
      <w:tblPr>
        <w:tblStyle w:val="LightShading-Accent1"/>
        <w:tblpPr w:leftFromText="180" w:rightFromText="180" w:vertAnchor="text" w:tblpY="1"/>
        <w:tblOverlap w:val="never"/>
        <w:tblW w:w="3750" w:type="pct"/>
        <w:tblLook w:val="0660" w:firstRow="1" w:lastRow="1" w:firstColumn="0" w:lastColumn="0" w:noHBand="1" w:noVBand="1"/>
      </w:tblPr>
      <w:tblGrid>
        <w:gridCol w:w="2835"/>
        <w:gridCol w:w="1481"/>
        <w:gridCol w:w="646"/>
        <w:gridCol w:w="581"/>
        <w:gridCol w:w="1227"/>
      </w:tblGrid>
      <w:tr w:rsidR="004D0156" w:rsidRPr="000655CE" w:rsidTr="002359EA">
        <w:trPr>
          <w:cnfStyle w:val="100000000000" w:firstRow="1" w:lastRow="0" w:firstColumn="0" w:lastColumn="0" w:oddVBand="0" w:evenVBand="0" w:oddHBand="0" w:evenHBand="0" w:firstRowFirstColumn="0" w:firstRowLastColumn="0" w:lastRowFirstColumn="0" w:lastRowLastColumn="0"/>
        </w:trPr>
        <w:tc>
          <w:tcPr>
            <w:tcW w:w="2094" w:type="pct"/>
            <w:noWrap/>
          </w:tcPr>
          <w:p w:rsidR="004D0156" w:rsidRPr="000655CE" w:rsidRDefault="004D0156" w:rsidP="002359EA">
            <w:r w:rsidRPr="000655CE">
              <w:t>County</w:t>
            </w:r>
          </w:p>
        </w:tc>
        <w:tc>
          <w:tcPr>
            <w:tcW w:w="1571" w:type="pct"/>
            <w:gridSpan w:val="2"/>
          </w:tcPr>
          <w:p w:rsidR="004D0156" w:rsidRPr="000655CE" w:rsidRDefault="004D0156" w:rsidP="002359EA">
            <w:pPr>
              <w:rPr>
                <w:rStyle w:val="SubtleEmphasis"/>
              </w:rPr>
            </w:pPr>
            <w:r w:rsidRPr="000655CE">
              <w:rPr>
                <w:rStyle w:val="SubtleEmphasis"/>
              </w:rPr>
              <w:t>2016/2017</w:t>
            </w:r>
          </w:p>
        </w:tc>
        <w:tc>
          <w:tcPr>
            <w:tcW w:w="1335" w:type="pct"/>
            <w:gridSpan w:val="2"/>
          </w:tcPr>
          <w:p w:rsidR="004D0156" w:rsidRPr="000655CE" w:rsidRDefault="004D0156" w:rsidP="002359EA">
            <w:r w:rsidRPr="000655CE">
              <w:t>2017/2018</w:t>
            </w:r>
          </w:p>
        </w:tc>
      </w:tr>
      <w:tr w:rsidR="004D0156" w:rsidRPr="000655CE" w:rsidTr="002359EA">
        <w:tc>
          <w:tcPr>
            <w:tcW w:w="2094" w:type="pct"/>
            <w:noWrap/>
          </w:tcPr>
          <w:p w:rsidR="004D0156" w:rsidRPr="000655CE" w:rsidRDefault="004D0156" w:rsidP="002359EA">
            <w:r w:rsidRPr="000655CE">
              <w:t>Isle of Anglesey</w:t>
            </w:r>
          </w:p>
        </w:tc>
        <w:tc>
          <w:tcPr>
            <w:tcW w:w="1571" w:type="pct"/>
            <w:gridSpan w:val="2"/>
          </w:tcPr>
          <w:p w:rsidR="004D0156" w:rsidRPr="000655CE" w:rsidRDefault="004D0156" w:rsidP="002359EA">
            <w:pPr>
              <w:pStyle w:val="DecimalAligned"/>
            </w:pPr>
            <w:r w:rsidRPr="000655CE">
              <w:t>4.7</w:t>
            </w:r>
          </w:p>
        </w:tc>
        <w:tc>
          <w:tcPr>
            <w:tcW w:w="1335" w:type="pct"/>
            <w:gridSpan w:val="2"/>
          </w:tcPr>
          <w:p w:rsidR="004D0156" w:rsidRPr="000655CE" w:rsidRDefault="004D0156" w:rsidP="002359EA">
            <w:pPr>
              <w:pStyle w:val="DecimalAligned"/>
            </w:pPr>
            <w:r w:rsidRPr="000655CE">
              <w:t>4.7</w:t>
            </w:r>
          </w:p>
        </w:tc>
      </w:tr>
      <w:tr w:rsidR="004D0156" w:rsidRPr="000655CE" w:rsidTr="002359EA">
        <w:tc>
          <w:tcPr>
            <w:tcW w:w="2094" w:type="pct"/>
            <w:noWrap/>
          </w:tcPr>
          <w:p w:rsidR="004D0156" w:rsidRPr="000655CE" w:rsidRDefault="004D0156" w:rsidP="002359EA">
            <w:r w:rsidRPr="000655CE">
              <w:t>Conwy</w:t>
            </w:r>
          </w:p>
          <w:p w:rsidR="004D0156" w:rsidRPr="000655CE" w:rsidRDefault="004D0156" w:rsidP="002359EA"/>
        </w:tc>
        <w:tc>
          <w:tcPr>
            <w:tcW w:w="1571" w:type="pct"/>
            <w:gridSpan w:val="2"/>
          </w:tcPr>
          <w:p w:rsidR="004D0156" w:rsidRPr="000655CE" w:rsidRDefault="004D0156" w:rsidP="002359EA">
            <w:pPr>
              <w:pStyle w:val="DecimalAligned"/>
            </w:pPr>
            <w:r w:rsidRPr="000655CE">
              <w:t>6.2</w:t>
            </w:r>
          </w:p>
        </w:tc>
        <w:tc>
          <w:tcPr>
            <w:tcW w:w="1335" w:type="pct"/>
            <w:gridSpan w:val="2"/>
          </w:tcPr>
          <w:p w:rsidR="004D0156" w:rsidRPr="000655CE" w:rsidRDefault="004D0156" w:rsidP="002359EA">
            <w:pPr>
              <w:pStyle w:val="DecimalAligned"/>
            </w:pPr>
            <w:r w:rsidRPr="000655CE">
              <w:t>8.0</w:t>
            </w:r>
          </w:p>
        </w:tc>
      </w:tr>
      <w:tr w:rsidR="004D0156" w:rsidRPr="000655CE" w:rsidTr="002359EA">
        <w:tc>
          <w:tcPr>
            <w:tcW w:w="2094" w:type="pct"/>
            <w:noWrap/>
          </w:tcPr>
          <w:p w:rsidR="004D0156" w:rsidRPr="000655CE" w:rsidRDefault="004D0156" w:rsidP="002359EA">
            <w:r w:rsidRPr="000655CE">
              <w:t>Denbighshire</w:t>
            </w:r>
          </w:p>
        </w:tc>
        <w:tc>
          <w:tcPr>
            <w:tcW w:w="1571" w:type="pct"/>
            <w:gridSpan w:val="2"/>
          </w:tcPr>
          <w:p w:rsidR="004D0156" w:rsidRPr="000655CE" w:rsidRDefault="004D0156" w:rsidP="002359EA">
            <w:pPr>
              <w:pStyle w:val="DecimalAligned"/>
            </w:pPr>
            <w:r w:rsidRPr="000655CE">
              <w:t>4.0</w:t>
            </w:r>
          </w:p>
        </w:tc>
        <w:tc>
          <w:tcPr>
            <w:tcW w:w="1335" w:type="pct"/>
            <w:gridSpan w:val="2"/>
          </w:tcPr>
          <w:p w:rsidR="004D0156" w:rsidRPr="000655CE" w:rsidRDefault="004D0156" w:rsidP="002359EA">
            <w:pPr>
              <w:pStyle w:val="DecimalAligned"/>
            </w:pPr>
            <w:r w:rsidRPr="000655CE">
              <w:t>5.1</w:t>
            </w:r>
          </w:p>
        </w:tc>
      </w:tr>
      <w:tr w:rsidR="004D0156" w:rsidRPr="000655CE" w:rsidTr="002359EA">
        <w:tc>
          <w:tcPr>
            <w:tcW w:w="2094" w:type="pct"/>
            <w:noWrap/>
          </w:tcPr>
          <w:p w:rsidR="004D0156" w:rsidRPr="000655CE" w:rsidRDefault="004D0156" w:rsidP="002359EA">
            <w:r w:rsidRPr="000655CE">
              <w:t>Gwynedd</w:t>
            </w:r>
          </w:p>
        </w:tc>
        <w:tc>
          <w:tcPr>
            <w:tcW w:w="1571" w:type="pct"/>
            <w:gridSpan w:val="2"/>
          </w:tcPr>
          <w:p w:rsidR="004D0156" w:rsidRPr="000655CE" w:rsidRDefault="004D0156" w:rsidP="002359EA">
            <w:pPr>
              <w:pStyle w:val="DecimalAligned"/>
            </w:pPr>
            <w:r w:rsidRPr="000655CE">
              <w:t>3.8</w:t>
            </w:r>
          </w:p>
        </w:tc>
        <w:tc>
          <w:tcPr>
            <w:tcW w:w="1335" w:type="pct"/>
            <w:gridSpan w:val="2"/>
          </w:tcPr>
          <w:p w:rsidR="004D0156" w:rsidRPr="000655CE" w:rsidRDefault="004D0156" w:rsidP="002359EA">
            <w:pPr>
              <w:pStyle w:val="DecimalAligned"/>
            </w:pPr>
            <w:r w:rsidRPr="000655CE">
              <w:t>3.2</w:t>
            </w:r>
          </w:p>
        </w:tc>
      </w:tr>
      <w:tr w:rsidR="004D0156" w:rsidRPr="000655CE" w:rsidTr="002359EA">
        <w:tc>
          <w:tcPr>
            <w:tcW w:w="2094" w:type="pct"/>
            <w:noWrap/>
          </w:tcPr>
          <w:p w:rsidR="004D0156" w:rsidRPr="000655CE" w:rsidRDefault="004D0156" w:rsidP="002359EA">
            <w:r w:rsidRPr="000655CE">
              <w:t>Flintshire</w:t>
            </w:r>
          </w:p>
        </w:tc>
        <w:tc>
          <w:tcPr>
            <w:tcW w:w="1571" w:type="pct"/>
            <w:gridSpan w:val="2"/>
          </w:tcPr>
          <w:p w:rsidR="004D0156" w:rsidRPr="000655CE" w:rsidRDefault="004D0156" w:rsidP="002359EA">
            <w:pPr>
              <w:pStyle w:val="DecimalAligned"/>
            </w:pPr>
            <w:r w:rsidRPr="000655CE">
              <w:t>3.8</w:t>
            </w:r>
          </w:p>
        </w:tc>
        <w:tc>
          <w:tcPr>
            <w:tcW w:w="1335" w:type="pct"/>
            <w:gridSpan w:val="2"/>
          </w:tcPr>
          <w:p w:rsidR="004D0156" w:rsidRPr="000655CE" w:rsidRDefault="004D0156" w:rsidP="002359EA">
            <w:pPr>
              <w:pStyle w:val="DecimalAligned"/>
            </w:pPr>
            <w:r w:rsidRPr="000655CE">
              <w:t>3.3</w:t>
            </w:r>
          </w:p>
        </w:tc>
      </w:tr>
      <w:tr w:rsidR="004D0156" w:rsidRPr="000655CE" w:rsidTr="002359EA">
        <w:tc>
          <w:tcPr>
            <w:tcW w:w="2094" w:type="pct"/>
            <w:noWrap/>
          </w:tcPr>
          <w:p w:rsidR="004D0156" w:rsidRPr="000655CE" w:rsidRDefault="004D0156" w:rsidP="002359EA">
            <w:r w:rsidRPr="000655CE">
              <w:t>Powys</w:t>
            </w:r>
          </w:p>
        </w:tc>
        <w:tc>
          <w:tcPr>
            <w:tcW w:w="1571" w:type="pct"/>
            <w:gridSpan w:val="2"/>
          </w:tcPr>
          <w:p w:rsidR="004D0156" w:rsidRPr="000655CE" w:rsidRDefault="004D0156" w:rsidP="002359EA">
            <w:pPr>
              <w:pStyle w:val="DecimalAligned"/>
            </w:pPr>
            <w:r w:rsidRPr="000655CE">
              <w:t>9.1</w:t>
            </w:r>
          </w:p>
        </w:tc>
        <w:tc>
          <w:tcPr>
            <w:tcW w:w="1335" w:type="pct"/>
            <w:gridSpan w:val="2"/>
          </w:tcPr>
          <w:p w:rsidR="004D0156" w:rsidRPr="000655CE" w:rsidRDefault="004D0156" w:rsidP="002359EA">
            <w:pPr>
              <w:pStyle w:val="DecimalAligned"/>
            </w:pPr>
            <w:r w:rsidRPr="000655CE">
              <w:t>9.0</w:t>
            </w:r>
          </w:p>
        </w:tc>
      </w:tr>
      <w:tr w:rsidR="004D0156" w:rsidRPr="000655CE" w:rsidTr="002359EA">
        <w:tc>
          <w:tcPr>
            <w:tcW w:w="2094" w:type="pct"/>
            <w:noWrap/>
          </w:tcPr>
          <w:p w:rsidR="004D0156" w:rsidRPr="000655CE" w:rsidRDefault="004D0156" w:rsidP="002359EA">
            <w:r w:rsidRPr="000655CE">
              <w:t>Wrexham</w:t>
            </w:r>
          </w:p>
        </w:tc>
        <w:tc>
          <w:tcPr>
            <w:tcW w:w="1571" w:type="pct"/>
            <w:gridSpan w:val="2"/>
          </w:tcPr>
          <w:p w:rsidR="004D0156" w:rsidRPr="000655CE" w:rsidRDefault="004D0156" w:rsidP="002359EA">
            <w:pPr>
              <w:pStyle w:val="DecimalAligned"/>
            </w:pPr>
            <w:r w:rsidRPr="000655CE">
              <w:t>4.5</w:t>
            </w:r>
          </w:p>
        </w:tc>
        <w:tc>
          <w:tcPr>
            <w:tcW w:w="1335" w:type="pct"/>
            <w:gridSpan w:val="2"/>
          </w:tcPr>
          <w:p w:rsidR="004D0156" w:rsidRPr="000655CE" w:rsidRDefault="004D0156" w:rsidP="002359EA">
            <w:pPr>
              <w:pStyle w:val="DecimalAligned"/>
            </w:pPr>
            <w:r w:rsidRPr="000655CE">
              <w:t>4.2</w:t>
            </w:r>
          </w:p>
        </w:tc>
      </w:tr>
      <w:tr w:rsidR="004D0156" w:rsidRPr="000655CE" w:rsidTr="002359EA">
        <w:tc>
          <w:tcPr>
            <w:tcW w:w="2094" w:type="pct"/>
            <w:noWrap/>
          </w:tcPr>
          <w:p w:rsidR="004D0156" w:rsidRPr="000655CE" w:rsidRDefault="004D0156" w:rsidP="002359EA">
            <w:r w:rsidRPr="000655CE">
              <w:t>Ceredigion</w:t>
            </w:r>
          </w:p>
        </w:tc>
        <w:tc>
          <w:tcPr>
            <w:tcW w:w="1571" w:type="pct"/>
            <w:gridSpan w:val="2"/>
          </w:tcPr>
          <w:p w:rsidR="004D0156" w:rsidRPr="000655CE" w:rsidRDefault="004D0156" w:rsidP="002359EA">
            <w:pPr>
              <w:pStyle w:val="DecimalAligned"/>
            </w:pPr>
            <w:r w:rsidRPr="000655CE">
              <w:t>18.4</w:t>
            </w:r>
          </w:p>
        </w:tc>
        <w:tc>
          <w:tcPr>
            <w:tcW w:w="1335" w:type="pct"/>
            <w:gridSpan w:val="2"/>
          </w:tcPr>
          <w:p w:rsidR="004D0156" w:rsidRPr="000655CE" w:rsidRDefault="004D0156" w:rsidP="002359EA">
            <w:pPr>
              <w:pStyle w:val="DecimalAligned"/>
            </w:pPr>
            <w:r w:rsidRPr="000655CE">
              <w:t>19.6</w:t>
            </w:r>
          </w:p>
        </w:tc>
      </w:tr>
      <w:tr w:rsidR="004D0156" w:rsidRPr="000655CE" w:rsidTr="002359EA">
        <w:tc>
          <w:tcPr>
            <w:tcW w:w="2094" w:type="pct"/>
            <w:noWrap/>
          </w:tcPr>
          <w:p w:rsidR="004D0156" w:rsidRPr="000655CE" w:rsidRDefault="004D0156" w:rsidP="002359EA">
            <w:r w:rsidRPr="000655CE">
              <w:t>Pembrokeshire</w:t>
            </w:r>
          </w:p>
        </w:tc>
        <w:tc>
          <w:tcPr>
            <w:tcW w:w="1571" w:type="pct"/>
            <w:gridSpan w:val="2"/>
          </w:tcPr>
          <w:p w:rsidR="004D0156" w:rsidRPr="000655CE" w:rsidRDefault="004D0156" w:rsidP="002359EA">
            <w:pPr>
              <w:pStyle w:val="DecimalAligned"/>
            </w:pPr>
            <w:r w:rsidRPr="000655CE">
              <w:t>9.5</w:t>
            </w:r>
          </w:p>
        </w:tc>
        <w:tc>
          <w:tcPr>
            <w:tcW w:w="1335" w:type="pct"/>
            <w:gridSpan w:val="2"/>
          </w:tcPr>
          <w:p w:rsidR="004D0156" w:rsidRPr="000655CE" w:rsidRDefault="004D0156" w:rsidP="002359EA">
            <w:pPr>
              <w:pStyle w:val="DecimalAligned"/>
            </w:pPr>
            <w:r w:rsidRPr="000655CE">
              <w:t>13.8</w:t>
            </w:r>
          </w:p>
        </w:tc>
      </w:tr>
      <w:tr w:rsidR="004D0156" w:rsidRPr="000655CE" w:rsidTr="002359EA">
        <w:tc>
          <w:tcPr>
            <w:tcW w:w="2094" w:type="pct"/>
            <w:noWrap/>
          </w:tcPr>
          <w:p w:rsidR="004D0156" w:rsidRPr="000655CE" w:rsidRDefault="004D0156" w:rsidP="002359EA">
            <w:r w:rsidRPr="000655CE">
              <w:t>Carmarthenshire</w:t>
            </w:r>
          </w:p>
        </w:tc>
        <w:tc>
          <w:tcPr>
            <w:tcW w:w="1571" w:type="pct"/>
            <w:gridSpan w:val="2"/>
          </w:tcPr>
          <w:p w:rsidR="004D0156" w:rsidRPr="000655CE" w:rsidRDefault="004D0156" w:rsidP="002359EA">
            <w:pPr>
              <w:pStyle w:val="DecimalAligned"/>
            </w:pPr>
            <w:r w:rsidRPr="000655CE">
              <w:t>n/a</w:t>
            </w:r>
          </w:p>
        </w:tc>
        <w:tc>
          <w:tcPr>
            <w:tcW w:w="1335" w:type="pct"/>
            <w:gridSpan w:val="2"/>
          </w:tcPr>
          <w:p w:rsidR="004D0156" w:rsidRPr="000655CE" w:rsidRDefault="004D0156" w:rsidP="002359EA">
            <w:pPr>
              <w:pStyle w:val="DecimalAligned"/>
            </w:pPr>
            <w:r w:rsidRPr="000655CE">
              <w:t>n/a</w:t>
            </w:r>
          </w:p>
        </w:tc>
      </w:tr>
      <w:tr w:rsidR="004D0156" w:rsidRPr="000655CE" w:rsidTr="002359EA">
        <w:tc>
          <w:tcPr>
            <w:tcW w:w="2094" w:type="pct"/>
            <w:noWrap/>
          </w:tcPr>
          <w:p w:rsidR="004D0156" w:rsidRPr="000655CE" w:rsidRDefault="004D0156" w:rsidP="002359EA">
            <w:r w:rsidRPr="000655CE">
              <w:t>Swansea</w:t>
            </w:r>
          </w:p>
        </w:tc>
        <w:tc>
          <w:tcPr>
            <w:tcW w:w="1571" w:type="pct"/>
            <w:gridSpan w:val="2"/>
          </w:tcPr>
          <w:p w:rsidR="004D0156" w:rsidRPr="000655CE" w:rsidRDefault="004D0156" w:rsidP="002359EA">
            <w:pPr>
              <w:pStyle w:val="DecimalAligned"/>
            </w:pPr>
            <w:r w:rsidRPr="000655CE">
              <w:t>5.4</w:t>
            </w:r>
          </w:p>
        </w:tc>
        <w:tc>
          <w:tcPr>
            <w:tcW w:w="1335" w:type="pct"/>
            <w:gridSpan w:val="2"/>
          </w:tcPr>
          <w:p w:rsidR="004D0156" w:rsidRPr="000655CE" w:rsidRDefault="004D0156" w:rsidP="002359EA">
            <w:pPr>
              <w:pStyle w:val="DecimalAligned"/>
            </w:pPr>
            <w:r w:rsidRPr="000655CE">
              <w:t>5.4</w:t>
            </w:r>
          </w:p>
        </w:tc>
      </w:tr>
      <w:tr w:rsidR="004D0156" w:rsidRPr="000655CE" w:rsidTr="002359EA">
        <w:tc>
          <w:tcPr>
            <w:tcW w:w="2094" w:type="pct"/>
            <w:noWrap/>
          </w:tcPr>
          <w:p w:rsidR="004D0156" w:rsidRPr="000655CE" w:rsidRDefault="004D0156" w:rsidP="002359EA">
            <w:r w:rsidRPr="000655CE">
              <w:t>Neath Port Talbot</w:t>
            </w:r>
          </w:p>
        </w:tc>
        <w:tc>
          <w:tcPr>
            <w:tcW w:w="1571" w:type="pct"/>
            <w:gridSpan w:val="2"/>
          </w:tcPr>
          <w:p w:rsidR="004D0156" w:rsidRPr="000655CE" w:rsidRDefault="004D0156" w:rsidP="002359EA">
            <w:pPr>
              <w:pStyle w:val="DecimalAligned"/>
            </w:pPr>
            <w:r w:rsidRPr="000655CE">
              <w:t>6.8</w:t>
            </w:r>
          </w:p>
        </w:tc>
        <w:tc>
          <w:tcPr>
            <w:tcW w:w="1335" w:type="pct"/>
            <w:gridSpan w:val="2"/>
          </w:tcPr>
          <w:p w:rsidR="004D0156" w:rsidRPr="000655CE" w:rsidRDefault="004D0156" w:rsidP="002359EA">
            <w:pPr>
              <w:pStyle w:val="DecimalAligned"/>
            </w:pPr>
            <w:r w:rsidRPr="000655CE">
              <w:t>8.5</w:t>
            </w:r>
          </w:p>
        </w:tc>
      </w:tr>
      <w:tr w:rsidR="004D0156" w:rsidRPr="000655CE" w:rsidTr="002359EA">
        <w:tc>
          <w:tcPr>
            <w:tcW w:w="2094" w:type="pct"/>
            <w:noWrap/>
          </w:tcPr>
          <w:p w:rsidR="004D0156" w:rsidRPr="000655CE" w:rsidRDefault="004D0156" w:rsidP="002359EA">
            <w:r w:rsidRPr="000655CE">
              <w:t>Bridgend</w:t>
            </w:r>
          </w:p>
        </w:tc>
        <w:tc>
          <w:tcPr>
            <w:tcW w:w="1571" w:type="pct"/>
            <w:gridSpan w:val="2"/>
          </w:tcPr>
          <w:p w:rsidR="004D0156" w:rsidRPr="000655CE" w:rsidRDefault="004D0156" w:rsidP="002359EA">
            <w:pPr>
              <w:pStyle w:val="DecimalAligned"/>
            </w:pPr>
            <w:r w:rsidRPr="000655CE">
              <w:t>4.9</w:t>
            </w:r>
          </w:p>
        </w:tc>
        <w:tc>
          <w:tcPr>
            <w:tcW w:w="1335" w:type="pct"/>
            <w:gridSpan w:val="2"/>
          </w:tcPr>
          <w:p w:rsidR="004D0156" w:rsidRPr="000655CE" w:rsidRDefault="004D0156" w:rsidP="002359EA">
            <w:pPr>
              <w:pStyle w:val="DecimalAligned"/>
            </w:pPr>
            <w:r w:rsidRPr="000655CE">
              <w:t>5.8</w:t>
            </w:r>
          </w:p>
        </w:tc>
      </w:tr>
      <w:tr w:rsidR="004D0156" w:rsidRPr="000655CE" w:rsidTr="002359EA">
        <w:tc>
          <w:tcPr>
            <w:tcW w:w="2094" w:type="pct"/>
            <w:noWrap/>
          </w:tcPr>
          <w:p w:rsidR="004D0156" w:rsidRPr="000655CE" w:rsidRDefault="004D0156" w:rsidP="002359EA">
            <w:r w:rsidRPr="000655CE">
              <w:t>The Vale of Glamorgan</w:t>
            </w:r>
          </w:p>
        </w:tc>
        <w:tc>
          <w:tcPr>
            <w:tcW w:w="1571" w:type="pct"/>
            <w:gridSpan w:val="2"/>
          </w:tcPr>
          <w:p w:rsidR="004D0156" w:rsidRPr="000655CE" w:rsidRDefault="004D0156" w:rsidP="002359EA">
            <w:pPr>
              <w:pStyle w:val="DecimalAligned"/>
            </w:pPr>
            <w:r w:rsidRPr="000655CE">
              <w:t>1.9</w:t>
            </w:r>
          </w:p>
        </w:tc>
        <w:tc>
          <w:tcPr>
            <w:tcW w:w="1335" w:type="pct"/>
            <w:gridSpan w:val="2"/>
          </w:tcPr>
          <w:p w:rsidR="004D0156" w:rsidRPr="000655CE" w:rsidRDefault="004D0156" w:rsidP="002359EA">
            <w:pPr>
              <w:pStyle w:val="DecimalAligned"/>
            </w:pPr>
            <w:r w:rsidRPr="000655CE">
              <w:t>2.6</w:t>
            </w:r>
          </w:p>
        </w:tc>
      </w:tr>
      <w:tr w:rsidR="004D0156" w:rsidRPr="000655CE" w:rsidTr="002359EA">
        <w:tc>
          <w:tcPr>
            <w:tcW w:w="2094" w:type="pct"/>
            <w:noWrap/>
          </w:tcPr>
          <w:p w:rsidR="004D0156" w:rsidRPr="000655CE" w:rsidRDefault="004D0156" w:rsidP="002359EA">
            <w:r w:rsidRPr="000655CE">
              <w:t>Rhondda Cynon Taf</w:t>
            </w:r>
          </w:p>
        </w:tc>
        <w:tc>
          <w:tcPr>
            <w:tcW w:w="1571" w:type="pct"/>
            <w:gridSpan w:val="2"/>
          </w:tcPr>
          <w:p w:rsidR="004D0156" w:rsidRPr="000655CE" w:rsidRDefault="004D0156" w:rsidP="002359EA">
            <w:pPr>
              <w:pStyle w:val="DecimalAligned"/>
            </w:pPr>
            <w:r w:rsidRPr="000655CE">
              <w:t>3.9</w:t>
            </w:r>
          </w:p>
        </w:tc>
        <w:tc>
          <w:tcPr>
            <w:tcW w:w="1335" w:type="pct"/>
            <w:gridSpan w:val="2"/>
          </w:tcPr>
          <w:p w:rsidR="004D0156" w:rsidRPr="000655CE" w:rsidRDefault="004D0156" w:rsidP="002359EA">
            <w:pPr>
              <w:pStyle w:val="DecimalAligned"/>
            </w:pPr>
            <w:r w:rsidRPr="000655CE">
              <w:t>3.9</w:t>
            </w:r>
          </w:p>
        </w:tc>
      </w:tr>
      <w:tr w:rsidR="004D0156" w:rsidRPr="000655CE" w:rsidTr="002359EA">
        <w:tc>
          <w:tcPr>
            <w:tcW w:w="2094" w:type="pct"/>
            <w:noWrap/>
          </w:tcPr>
          <w:p w:rsidR="004D0156" w:rsidRPr="000655CE" w:rsidRDefault="004D0156" w:rsidP="002359EA">
            <w:r w:rsidRPr="000655CE">
              <w:t>Merthyr Tydfil</w:t>
            </w:r>
          </w:p>
        </w:tc>
        <w:tc>
          <w:tcPr>
            <w:tcW w:w="1571" w:type="pct"/>
            <w:gridSpan w:val="2"/>
          </w:tcPr>
          <w:p w:rsidR="004D0156" w:rsidRPr="000655CE" w:rsidRDefault="004D0156" w:rsidP="002359EA">
            <w:pPr>
              <w:pStyle w:val="DecimalAligned"/>
            </w:pPr>
            <w:r w:rsidRPr="000655CE">
              <w:t>4.3</w:t>
            </w:r>
          </w:p>
        </w:tc>
        <w:tc>
          <w:tcPr>
            <w:tcW w:w="1335" w:type="pct"/>
            <w:gridSpan w:val="2"/>
          </w:tcPr>
          <w:p w:rsidR="004D0156" w:rsidRPr="000655CE" w:rsidRDefault="004D0156" w:rsidP="002359EA">
            <w:pPr>
              <w:pStyle w:val="DecimalAligned"/>
            </w:pPr>
            <w:r w:rsidRPr="000655CE">
              <w:t>5.8</w:t>
            </w:r>
          </w:p>
        </w:tc>
      </w:tr>
      <w:tr w:rsidR="004D0156" w:rsidRPr="000655CE" w:rsidTr="002359EA">
        <w:tc>
          <w:tcPr>
            <w:tcW w:w="2094" w:type="pct"/>
            <w:noWrap/>
          </w:tcPr>
          <w:p w:rsidR="004D0156" w:rsidRPr="000655CE" w:rsidRDefault="004D0156" w:rsidP="002359EA">
            <w:r w:rsidRPr="000655CE">
              <w:t>Caerphilly</w:t>
            </w:r>
          </w:p>
        </w:tc>
        <w:tc>
          <w:tcPr>
            <w:tcW w:w="1571" w:type="pct"/>
            <w:gridSpan w:val="2"/>
          </w:tcPr>
          <w:p w:rsidR="004D0156" w:rsidRPr="000655CE" w:rsidRDefault="004D0156" w:rsidP="002359EA">
            <w:pPr>
              <w:pStyle w:val="DecimalAligned"/>
            </w:pPr>
            <w:r w:rsidRPr="000655CE">
              <w:t>2.7</w:t>
            </w:r>
          </w:p>
        </w:tc>
        <w:tc>
          <w:tcPr>
            <w:tcW w:w="1335" w:type="pct"/>
            <w:gridSpan w:val="2"/>
          </w:tcPr>
          <w:p w:rsidR="004D0156" w:rsidRPr="000655CE" w:rsidRDefault="004D0156" w:rsidP="002359EA">
            <w:pPr>
              <w:pStyle w:val="DecimalAligned"/>
            </w:pPr>
            <w:r w:rsidRPr="000655CE">
              <w:t>3.4</w:t>
            </w:r>
          </w:p>
        </w:tc>
      </w:tr>
      <w:tr w:rsidR="004D0156" w:rsidRPr="000655CE" w:rsidTr="002359EA">
        <w:tc>
          <w:tcPr>
            <w:tcW w:w="2094" w:type="pct"/>
            <w:noWrap/>
          </w:tcPr>
          <w:p w:rsidR="004D0156" w:rsidRPr="000655CE" w:rsidRDefault="004D0156" w:rsidP="002359EA">
            <w:r w:rsidRPr="000655CE">
              <w:t>Blaenau Gwent</w:t>
            </w:r>
          </w:p>
        </w:tc>
        <w:tc>
          <w:tcPr>
            <w:tcW w:w="1571" w:type="pct"/>
            <w:gridSpan w:val="2"/>
          </w:tcPr>
          <w:p w:rsidR="004D0156" w:rsidRPr="000655CE" w:rsidRDefault="004D0156" w:rsidP="002359EA">
            <w:pPr>
              <w:pStyle w:val="DecimalAligned"/>
            </w:pPr>
            <w:r w:rsidRPr="000655CE">
              <w:t>4.0</w:t>
            </w:r>
          </w:p>
        </w:tc>
        <w:tc>
          <w:tcPr>
            <w:tcW w:w="1335" w:type="pct"/>
            <w:gridSpan w:val="2"/>
          </w:tcPr>
          <w:p w:rsidR="004D0156" w:rsidRPr="000655CE" w:rsidRDefault="004D0156" w:rsidP="002359EA">
            <w:pPr>
              <w:pStyle w:val="DecimalAligned"/>
            </w:pPr>
            <w:r w:rsidRPr="000655CE">
              <w:t>6.7</w:t>
            </w:r>
          </w:p>
        </w:tc>
      </w:tr>
      <w:tr w:rsidR="004D0156" w:rsidRPr="000655CE" w:rsidTr="002359EA">
        <w:tc>
          <w:tcPr>
            <w:tcW w:w="2094" w:type="pct"/>
            <w:noWrap/>
          </w:tcPr>
          <w:p w:rsidR="004D0156" w:rsidRPr="000655CE" w:rsidRDefault="004D0156" w:rsidP="002359EA">
            <w:r w:rsidRPr="000655CE">
              <w:t>Torfaen</w:t>
            </w:r>
          </w:p>
        </w:tc>
        <w:tc>
          <w:tcPr>
            <w:tcW w:w="1571" w:type="pct"/>
            <w:gridSpan w:val="2"/>
          </w:tcPr>
          <w:p w:rsidR="004D0156" w:rsidRPr="000655CE" w:rsidRDefault="004D0156" w:rsidP="002359EA">
            <w:pPr>
              <w:pStyle w:val="DecimalAligned"/>
            </w:pPr>
            <w:r w:rsidRPr="000655CE">
              <w:t>4.2</w:t>
            </w:r>
          </w:p>
        </w:tc>
        <w:tc>
          <w:tcPr>
            <w:tcW w:w="1335" w:type="pct"/>
            <w:gridSpan w:val="2"/>
          </w:tcPr>
          <w:p w:rsidR="004D0156" w:rsidRPr="000655CE" w:rsidRDefault="004D0156" w:rsidP="002359EA">
            <w:pPr>
              <w:pStyle w:val="DecimalAligned"/>
            </w:pPr>
            <w:r w:rsidRPr="000655CE">
              <w:t>5.5</w:t>
            </w:r>
          </w:p>
        </w:tc>
      </w:tr>
      <w:tr w:rsidR="004D0156" w:rsidRPr="000655CE" w:rsidTr="002359EA">
        <w:tc>
          <w:tcPr>
            <w:tcW w:w="2094" w:type="pct"/>
            <w:noWrap/>
          </w:tcPr>
          <w:p w:rsidR="004D0156" w:rsidRPr="000655CE" w:rsidRDefault="004D0156" w:rsidP="002359EA">
            <w:r w:rsidRPr="000655CE">
              <w:t>Monmouthshire</w:t>
            </w:r>
          </w:p>
        </w:tc>
        <w:tc>
          <w:tcPr>
            <w:tcW w:w="1571" w:type="pct"/>
            <w:gridSpan w:val="2"/>
          </w:tcPr>
          <w:p w:rsidR="004D0156" w:rsidRPr="000655CE" w:rsidRDefault="004D0156" w:rsidP="002359EA">
            <w:pPr>
              <w:pStyle w:val="DecimalAligned"/>
            </w:pPr>
            <w:r w:rsidRPr="000655CE">
              <w:t>5.2</w:t>
            </w:r>
          </w:p>
        </w:tc>
        <w:tc>
          <w:tcPr>
            <w:tcW w:w="1335" w:type="pct"/>
            <w:gridSpan w:val="2"/>
          </w:tcPr>
          <w:p w:rsidR="004D0156" w:rsidRPr="000655CE" w:rsidRDefault="004D0156" w:rsidP="002359EA">
            <w:pPr>
              <w:pStyle w:val="DecimalAligned"/>
            </w:pPr>
            <w:r w:rsidRPr="000655CE">
              <w:t>5.5</w:t>
            </w:r>
          </w:p>
        </w:tc>
      </w:tr>
      <w:tr w:rsidR="004D0156" w:rsidRPr="000655CE" w:rsidTr="002359EA">
        <w:tc>
          <w:tcPr>
            <w:tcW w:w="2094" w:type="pct"/>
            <w:noWrap/>
          </w:tcPr>
          <w:p w:rsidR="004D0156" w:rsidRPr="000655CE" w:rsidRDefault="004D0156" w:rsidP="002359EA">
            <w:r w:rsidRPr="000655CE">
              <w:t>Newport</w:t>
            </w:r>
          </w:p>
        </w:tc>
        <w:tc>
          <w:tcPr>
            <w:tcW w:w="1571" w:type="pct"/>
            <w:gridSpan w:val="2"/>
          </w:tcPr>
          <w:p w:rsidR="004D0156" w:rsidRPr="000655CE" w:rsidRDefault="004D0156" w:rsidP="002359EA">
            <w:pPr>
              <w:pStyle w:val="DecimalAligned"/>
            </w:pPr>
            <w:r w:rsidRPr="000655CE">
              <w:t>2.1</w:t>
            </w:r>
          </w:p>
        </w:tc>
        <w:tc>
          <w:tcPr>
            <w:tcW w:w="1335" w:type="pct"/>
            <w:gridSpan w:val="2"/>
          </w:tcPr>
          <w:p w:rsidR="004D0156" w:rsidRPr="000655CE" w:rsidRDefault="004D0156" w:rsidP="002359EA">
            <w:pPr>
              <w:pStyle w:val="DecimalAligned"/>
            </w:pPr>
            <w:r w:rsidRPr="000655CE">
              <w:t>2.5</w:t>
            </w:r>
          </w:p>
        </w:tc>
      </w:tr>
      <w:tr w:rsidR="004D0156" w:rsidRPr="000655CE" w:rsidTr="002359EA">
        <w:tc>
          <w:tcPr>
            <w:tcW w:w="2094" w:type="pct"/>
            <w:noWrap/>
          </w:tcPr>
          <w:p w:rsidR="004D0156" w:rsidRPr="000655CE" w:rsidRDefault="004D0156" w:rsidP="002359EA">
            <w:r w:rsidRPr="000655CE">
              <w:t>Cardiff</w:t>
            </w:r>
          </w:p>
        </w:tc>
        <w:tc>
          <w:tcPr>
            <w:tcW w:w="1571" w:type="pct"/>
            <w:gridSpan w:val="2"/>
          </w:tcPr>
          <w:p w:rsidR="004D0156" w:rsidRPr="000655CE" w:rsidRDefault="004D0156" w:rsidP="002359EA">
            <w:pPr>
              <w:pStyle w:val="DecimalAligned"/>
            </w:pPr>
            <w:r w:rsidRPr="000655CE">
              <w:t>4.4</w:t>
            </w:r>
          </w:p>
        </w:tc>
        <w:tc>
          <w:tcPr>
            <w:tcW w:w="1335" w:type="pct"/>
            <w:gridSpan w:val="2"/>
          </w:tcPr>
          <w:p w:rsidR="004D0156" w:rsidRPr="000655CE" w:rsidRDefault="004D0156" w:rsidP="002359EA">
            <w:pPr>
              <w:pStyle w:val="DecimalAligned"/>
            </w:pPr>
            <w:r w:rsidRPr="000655CE">
              <w:t>4.4</w:t>
            </w:r>
          </w:p>
        </w:tc>
      </w:tr>
      <w:tr w:rsidR="004D0156" w:rsidRPr="000655CE" w:rsidTr="002359EA">
        <w:trPr>
          <w:cnfStyle w:val="010000000000" w:firstRow="0" w:lastRow="1" w:firstColumn="0" w:lastColumn="0" w:oddVBand="0" w:evenVBand="0" w:oddHBand="0" w:evenHBand="0" w:firstRowFirstColumn="0" w:firstRowLastColumn="0" w:lastRowFirstColumn="0" w:lastRowLastColumn="0"/>
        </w:trPr>
        <w:tc>
          <w:tcPr>
            <w:tcW w:w="3188" w:type="pct"/>
            <w:gridSpan w:val="2"/>
            <w:noWrap/>
          </w:tcPr>
          <w:p w:rsidR="004D0156" w:rsidRPr="000655CE" w:rsidRDefault="004D0156" w:rsidP="002359EA">
            <w:r w:rsidRPr="000655CE">
              <w:t>Total of 1964 EHE children throughout Wales</w:t>
            </w:r>
          </w:p>
        </w:tc>
        <w:tc>
          <w:tcPr>
            <w:tcW w:w="906" w:type="pct"/>
            <w:gridSpan w:val="2"/>
          </w:tcPr>
          <w:p w:rsidR="004D0156" w:rsidRPr="000655CE" w:rsidRDefault="004D0156" w:rsidP="002359EA">
            <w:pPr>
              <w:pStyle w:val="DecimalAligned"/>
            </w:pPr>
          </w:p>
        </w:tc>
        <w:tc>
          <w:tcPr>
            <w:tcW w:w="906" w:type="pct"/>
          </w:tcPr>
          <w:p w:rsidR="004D0156" w:rsidRPr="000655CE" w:rsidRDefault="004D0156" w:rsidP="002359EA">
            <w:pPr>
              <w:pStyle w:val="DecimalAligned"/>
            </w:pPr>
          </w:p>
        </w:tc>
      </w:tr>
    </w:tbl>
    <w:p w:rsidR="004D0156" w:rsidRPr="00987BC8" w:rsidRDefault="004D0156" w:rsidP="004D0156">
      <w:pPr>
        <w:pStyle w:val="Bibliography"/>
        <w:ind w:left="720" w:hanging="720"/>
        <w:rPr>
          <w:noProof/>
          <w:lang w:val="en-US"/>
        </w:rPr>
      </w:pPr>
      <w:r>
        <w:rPr>
          <w:rStyle w:val="SubtleEmphasis"/>
        </w:rPr>
        <w:br w:type="textWrapping" w:clear="all"/>
        <w:t xml:space="preserve">Source: </w:t>
      </w:r>
      <w:r w:rsidRPr="00BB5ACD">
        <w:rPr>
          <w:rStyle w:val="SubtleEmphasis"/>
          <w:i w:val="0"/>
        </w:rPr>
        <w:t xml:space="preserve">Statistics for </w:t>
      </w:r>
      <w:r>
        <w:rPr>
          <w:noProof/>
          <w:lang w:val="en-US"/>
        </w:rPr>
        <w:t xml:space="preserve">Wales (2018). </w:t>
      </w:r>
      <w:r>
        <w:rPr>
          <w:i/>
          <w:iCs/>
          <w:noProof/>
          <w:lang w:val="en-US"/>
        </w:rPr>
        <w:t>Pupils educated other than at school, 2017/18.</w:t>
      </w:r>
      <w:r>
        <w:rPr>
          <w:noProof/>
          <w:lang w:val="en-US"/>
        </w:rPr>
        <w:t xml:space="preserve"> pp.14</w:t>
      </w:r>
    </w:p>
    <w:p w:rsidR="00861303" w:rsidRDefault="00861303" w:rsidP="007855B6">
      <w:pPr>
        <w:spacing w:line="480" w:lineRule="auto"/>
        <w:rPr>
          <w:rFonts w:ascii="Arial" w:hAnsi="Arial" w:cs="Arial"/>
          <w:i/>
          <w:u w:val="single"/>
        </w:rPr>
      </w:pPr>
    </w:p>
    <w:p w:rsidR="00861303" w:rsidRDefault="00861303" w:rsidP="007855B6">
      <w:pPr>
        <w:spacing w:line="480" w:lineRule="auto"/>
        <w:rPr>
          <w:rFonts w:ascii="Arial" w:hAnsi="Arial" w:cs="Arial"/>
          <w:i/>
          <w:u w:val="single"/>
        </w:rPr>
      </w:pPr>
    </w:p>
    <w:p w:rsidR="000655CE" w:rsidRPr="000655CE" w:rsidRDefault="000655CE" w:rsidP="007855B6">
      <w:pPr>
        <w:spacing w:line="480" w:lineRule="auto"/>
        <w:rPr>
          <w:rFonts w:ascii="Arial" w:hAnsi="Arial" w:cs="Arial"/>
          <w:i/>
          <w:u w:val="single"/>
        </w:rPr>
      </w:pPr>
      <w:r>
        <w:rPr>
          <w:rFonts w:ascii="Arial" w:hAnsi="Arial" w:cs="Arial"/>
          <w:i/>
          <w:u w:val="single"/>
        </w:rPr>
        <w:lastRenderedPageBreak/>
        <w:t>Rurality of Wales in regards to Education</w:t>
      </w:r>
    </w:p>
    <w:p w:rsidR="00470BA4" w:rsidRDefault="00913DC7" w:rsidP="004D0156">
      <w:pPr>
        <w:spacing w:line="480" w:lineRule="auto"/>
        <w:rPr>
          <w:rFonts w:ascii="Arial" w:hAnsi="Arial" w:cs="Arial"/>
        </w:rPr>
      </w:pPr>
      <w:r>
        <w:rPr>
          <w:rFonts w:ascii="Arial" w:hAnsi="Arial" w:cs="Arial"/>
        </w:rPr>
        <w:t xml:space="preserve">According to statistics, </w:t>
      </w:r>
      <w:r w:rsidR="003B669B">
        <w:rPr>
          <w:rFonts w:ascii="Arial" w:hAnsi="Arial" w:cs="Arial"/>
        </w:rPr>
        <w:t>out of the twenty-counties of Wales, almost half would be considered as primarily rural, namely Conwy, Denbighshire, Powys, Carmarthenshire, Gwynedd, Ceredigion, Pembrokeshire, Monmouthshire and the Isle of Anglesey</w:t>
      </w:r>
      <w:r w:rsidR="003B669B">
        <w:rPr>
          <w:rStyle w:val="FootnoteReference"/>
          <w:rFonts w:ascii="Arial" w:hAnsi="Arial" w:cs="Arial"/>
        </w:rPr>
        <w:footnoteReference w:id="17"/>
      </w:r>
      <w:r w:rsidR="003B669B">
        <w:rPr>
          <w:rFonts w:ascii="Arial" w:hAnsi="Arial" w:cs="Arial"/>
        </w:rPr>
        <w:t>. S</w:t>
      </w:r>
      <w:r>
        <w:rPr>
          <w:rFonts w:ascii="Arial" w:hAnsi="Arial" w:cs="Arial"/>
        </w:rPr>
        <w:t>mall towns within</w:t>
      </w:r>
      <w:r w:rsidR="003B669B">
        <w:rPr>
          <w:rFonts w:ascii="Arial" w:hAnsi="Arial" w:cs="Arial"/>
        </w:rPr>
        <w:t xml:space="preserve"> these</w:t>
      </w:r>
      <w:r>
        <w:rPr>
          <w:rFonts w:ascii="Arial" w:hAnsi="Arial" w:cs="Arial"/>
        </w:rPr>
        <w:t xml:space="preserve"> rural counties (such as Aberystwyth, </w:t>
      </w:r>
      <w:r w:rsidR="000856C6">
        <w:rPr>
          <w:rFonts w:ascii="Arial" w:hAnsi="Arial" w:cs="Arial"/>
        </w:rPr>
        <w:t>Carmarthen</w:t>
      </w:r>
      <w:r>
        <w:rPr>
          <w:rFonts w:ascii="Arial" w:hAnsi="Arial" w:cs="Arial"/>
        </w:rPr>
        <w:t xml:space="preserve"> and Holyhead) </w:t>
      </w:r>
      <w:r w:rsidR="003B669B">
        <w:rPr>
          <w:rFonts w:ascii="Arial" w:hAnsi="Arial" w:cs="Arial"/>
        </w:rPr>
        <w:t>would be</w:t>
      </w:r>
      <w:r>
        <w:rPr>
          <w:rFonts w:ascii="Arial" w:hAnsi="Arial" w:cs="Arial"/>
        </w:rPr>
        <w:t xml:space="preserve"> considered as urban</w:t>
      </w:r>
      <w:r w:rsidR="003B669B">
        <w:rPr>
          <w:rFonts w:ascii="Arial" w:hAnsi="Arial" w:cs="Arial"/>
        </w:rPr>
        <w:t xml:space="preserve"> or sometimes semi-rural</w:t>
      </w:r>
      <w:r>
        <w:rPr>
          <w:rStyle w:val="FootnoteReference"/>
          <w:rFonts w:ascii="Arial" w:hAnsi="Arial" w:cs="Arial"/>
        </w:rPr>
        <w:footnoteReference w:id="18"/>
      </w:r>
      <w:r>
        <w:rPr>
          <w:rFonts w:ascii="Arial" w:hAnsi="Arial" w:cs="Arial"/>
        </w:rPr>
        <w:t>.</w:t>
      </w:r>
      <w:r w:rsidR="003B669B">
        <w:rPr>
          <w:rFonts w:ascii="Arial" w:hAnsi="Arial" w:cs="Arial"/>
        </w:rPr>
        <w:t xml:space="preserve"> </w:t>
      </w:r>
      <w:r w:rsidR="00861303">
        <w:rPr>
          <w:rFonts w:ascii="Arial" w:hAnsi="Arial" w:cs="Arial"/>
        </w:rPr>
        <w:t>According to according to the WIMD 2014, these rural areas are also not financially deprived compared to other areas, but this doesn’t reflect the lower levels of opportunity deprivation and mobility deprivation</w:t>
      </w:r>
      <w:r w:rsidR="00861303">
        <w:rPr>
          <w:rStyle w:val="FootnoteReference"/>
          <w:rFonts w:ascii="Arial" w:hAnsi="Arial" w:cs="Arial"/>
        </w:rPr>
        <w:footnoteReference w:id="19"/>
      </w:r>
      <w:r w:rsidR="00861303">
        <w:rPr>
          <w:rFonts w:ascii="Arial" w:hAnsi="Arial" w:cs="Arial"/>
        </w:rPr>
        <w:t xml:space="preserve">. </w:t>
      </w:r>
      <w:r w:rsidR="000655CE">
        <w:rPr>
          <w:rFonts w:ascii="Arial" w:hAnsi="Arial" w:cs="Arial"/>
        </w:rPr>
        <w:t>Most of these rural counties have a higher number of EHE children. However, it is important to keep in mind that all the national statistics on EHE children do not truly reflect the actual numbers, as parents do not have to declare if they are going to home school their child if they are not already enrolled to a school and there are also options of flexi-schooling</w:t>
      </w:r>
      <w:r w:rsidR="000655CE">
        <w:rPr>
          <w:rStyle w:val="FootnoteReference"/>
          <w:rFonts w:ascii="Arial" w:hAnsi="Arial" w:cs="Arial"/>
        </w:rPr>
        <w:footnoteReference w:id="20"/>
      </w:r>
      <w:r w:rsidR="000655CE">
        <w:rPr>
          <w:rFonts w:ascii="Arial" w:hAnsi="Arial" w:cs="Arial"/>
        </w:rPr>
        <w:t>.</w:t>
      </w:r>
      <w:r w:rsidR="00D96203">
        <w:rPr>
          <w:rFonts w:ascii="Arial" w:hAnsi="Arial" w:cs="Arial"/>
        </w:rPr>
        <w:t xml:space="preserve"> </w:t>
      </w:r>
    </w:p>
    <w:p w:rsidR="000F2810" w:rsidRDefault="00987BC8" w:rsidP="00904E72">
      <w:pPr>
        <w:spacing w:line="480" w:lineRule="auto"/>
        <w:rPr>
          <w:rFonts w:ascii="Arial" w:hAnsi="Arial" w:cs="Arial"/>
        </w:rPr>
      </w:pPr>
      <w:r>
        <w:rPr>
          <w:rFonts w:ascii="Arial" w:hAnsi="Arial" w:cs="Arial"/>
        </w:rPr>
        <w:t>The financial differences between Urban and Rural areas within Britain has</w:t>
      </w:r>
      <w:r w:rsidR="004D0156">
        <w:rPr>
          <w:rFonts w:ascii="Arial" w:hAnsi="Arial" w:cs="Arial"/>
        </w:rPr>
        <w:t xml:space="preserve"> been discussed at length</w:t>
      </w:r>
      <w:r>
        <w:rPr>
          <w:rFonts w:ascii="Arial" w:hAnsi="Arial" w:cs="Arial"/>
        </w:rPr>
        <w:t>, but putting socio-economic factors into place onto areas when the actual definition of rural is still debated is an issue</w:t>
      </w:r>
      <w:r w:rsidR="004D0156">
        <w:rPr>
          <w:rFonts w:ascii="Arial" w:hAnsi="Arial" w:cs="Arial"/>
        </w:rPr>
        <w:t>, as well as identifying which areas are to be considered as deprived rural areas and less deprived</w:t>
      </w:r>
      <w:r w:rsidR="00470BA4">
        <w:rPr>
          <w:rStyle w:val="FootnoteReference"/>
          <w:rFonts w:ascii="Arial" w:hAnsi="Arial" w:cs="Arial"/>
        </w:rPr>
        <w:footnoteReference w:id="21"/>
      </w:r>
      <w:r>
        <w:rPr>
          <w:rFonts w:ascii="Arial" w:hAnsi="Arial" w:cs="Arial"/>
        </w:rPr>
        <w:t xml:space="preserve">. Also, the lack of information on the financial status of the families who are EHE their children mean that we cannot directly correlate the wealth of the family to their decisions to </w:t>
      </w:r>
      <w:r w:rsidR="00FF3216">
        <w:rPr>
          <w:rFonts w:ascii="Arial" w:hAnsi="Arial" w:cs="Arial"/>
        </w:rPr>
        <w:t>home-school</w:t>
      </w:r>
      <w:r>
        <w:rPr>
          <w:rFonts w:ascii="Arial" w:hAnsi="Arial" w:cs="Arial"/>
        </w:rPr>
        <w:t>.</w:t>
      </w:r>
      <w:r w:rsidR="00FF3216">
        <w:rPr>
          <w:rFonts w:ascii="Arial" w:hAnsi="Arial" w:cs="Arial"/>
        </w:rPr>
        <w:t xml:space="preserve"> However, we can still relate the fact that the availability of schools compared to the area mass is significantly lower than more densely populated areas. Within Cardiff alone, there are 98 primary schools, compared to 39 in the whole of Ceredigion</w:t>
      </w:r>
      <w:r w:rsidR="00FF3216">
        <w:rPr>
          <w:rStyle w:val="FootnoteReference"/>
          <w:rFonts w:ascii="Arial" w:hAnsi="Arial" w:cs="Arial"/>
        </w:rPr>
        <w:footnoteReference w:id="22"/>
      </w:r>
      <w:r w:rsidR="00FF3216">
        <w:rPr>
          <w:rFonts w:ascii="Arial" w:hAnsi="Arial" w:cs="Arial"/>
        </w:rPr>
        <w:t xml:space="preserve"> </w:t>
      </w:r>
      <w:r w:rsidR="00FF3216">
        <w:rPr>
          <w:rStyle w:val="FootnoteReference"/>
          <w:rFonts w:ascii="Arial" w:hAnsi="Arial" w:cs="Arial"/>
        </w:rPr>
        <w:footnoteReference w:id="23"/>
      </w:r>
      <w:r w:rsidR="00904E72">
        <w:rPr>
          <w:rFonts w:ascii="Arial" w:hAnsi="Arial" w:cs="Arial"/>
        </w:rPr>
        <w:t xml:space="preserve"> and</w:t>
      </w:r>
      <w:r w:rsidR="000F2810">
        <w:rPr>
          <w:rFonts w:ascii="Arial" w:hAnsi="Arial" w:cs="Arial"/>
        </w:rPr>
        <w:t>, alt</w:t>
      </w:r>
      <w:r w:rsidR="00904E72">
        <w:rPr>
          <w:rFonts w:ascii="Arial" w:hAnsi="Arial" w:cs="Arial"/>
        </w:rPr>
        <w:t xml:space="preserve">hough it is important to note that Cardiff does have </w:t>
      </w:r>
      <w:r w:rsidR="00904E72">
        <w:rPr>
          <w:rFonts w:ascii="Arial" w:hAnsi="Arial" w:cs="Arial"/>
        </w:rPr>
        <w:lastRenderedPageBreak/>
        <w:t>approximately 30,000 more children within the compulsory school age range</w:t>
      </w:r>
      <w:r w:rsidR="00470BA4">
        <w:rPr>
          <w:rStyle w:val="FootnoteReference"/>
          <w:rFonts w:ascii="Arial" w:hAnsi="Arial" w:cs="Arial"/>
        </w:rPr>
        <w:footnoteReference w:id="24"/>
      </w:r>
      <w:r w:rsidR="00904E72">
        <w:rPr>
          <w:rFonts w:ascii="Arial" w:hAnsi="Arial" w:cs="Arial"/>
        </w:rPr>
        <w:t>, the</w:t>
      </w:r>
      <w:r w:rsidR="00470BA4">
        <w:rPr>
          <w:rFonts w:ascii="Arial" w:hAnsi="Arial" w:cs="Arial"/>
        </w:rPr>
        <w:t xml:space="preserve"> land mass both areas cover is significantly different, as well as the amenities and modes of transport available to residents</w:t>
      </w:r>
      <w:r w:rsidR="004A0246">
        <w:rPr>
          <w:rStyle w:val="FootnoteReference"/>
          <w:rFonts w:ascii="Arial" w:hAnsi="Arial" w:cs="Arial"/>
        </w:rPr>
        <w:footnoteReference w:id="25"/>
      </w:r>
      <w:r w:rsidR="00470BA4">
        <w:rPr>
          <w:rFonts w:ascii="Arial" w:hAnsi="Arial" w:cs="Arial"/>
        </w:rPr>
        <w:t>. The government in Wales provides all young learners free school transport if they live 2-3 miles away from their schools (depending on their age)</w:t>
      </w:r>
      <w:r w:rsidR="000F2810">
        <w:rPr>
          <w:rStyle w:val="FootnoteReference"/>
          <w:rFonts w:ascii="Arial" w:hAnsi="Arial" w:cs="Arial"/>
        </w:rPr>
        <w:footnoteReference w:id="26"/>
      </w:r>
      <w:r w:rsidR="00470BA4">
        <w:rPr>
          <w:rFonts w:ascii="Arial" w:hAnsi="Arial" w:cs="Arial"/>
        </w:rPr>
        <w:t xml:space="preserve"> but in rural areas with often extremely poor public pathways and dangerous roads, this 2 miles could influence a parents decision to send their child to school, especially if they choose not to or cannot afford their own means of transport.</w:t>
      </w:r>
      <w:r w:rsidR="00861303">
        <w:rPr>
          <w:rFonts w:ascii="Arial" w:hAnsi="Arial" w:cs="Arial"/>
        </w:rPr>
        <w:t xml:space="preserve"> </w:t>
      </w:r>
    </w:p>
    <w:p w:rsidR="0024328C" w:rsidRDefault="0024328C" w:rsidP="00904E72">
      <w:pPr>
        <w:spacing w:line="480" w:lineRule="auto"/>
        <w:rPr>
          <w:rFonts w:ascii="Arial" w:hAnsi="Arial" w:cs="Arial"/>
        </w:rPr>
      </w:pPr>
      <w:r>
        <w:rPr>
          <w:rFonts w:ascii="Arial" w:hAnsi="Arial" w:cs="Arial"/>
          <w:i/>
          <w:u w:val="single"/>
        </w:rPr>
        <w:t xml:space="preserve">Reasons why Parents might choose to EHE </w:t>
      </w:r>
      <w:r w:rsidR="000131F2">
        <w:rPr>
          <w:rFonts w:ascii="Arial" w:hAnsi="Arial" w:cs="Arial"/>
          <w:i/>
          <w:u w:val="single"/>
        </w:rPr>
        <w:t xml:space="preserve">their </w:t>
      </w:r>
      <w:r>
        <w:rPr>
          <w:rFonts w:ascii="Arial" w:hAnsi="Arial" w:cs="Arial"/>
          <w:i/>
          <w:u w:val="single"/>
        </w:rPr>
        <w:t>children</w:t>
      </w:r>
    </w:p>
    <w:p w:rsidR="00ED645B" w:rsidRDefault="00A10B3B" w:rsidP="00ED645B">
      <w:pPr>
        <w:spacing w:line="480" w:lineRule="auto"/>
        <w:rPr>
          <w:rFonts w:ascii="Arial" w:hAnsi="Arial" w:cs="Arial"/>
        </w:rPr>
      </w:pPr>
      <w:r>
        <w:rPr>
          <w:rFonts w:ascii="Arial" w:hAnsi="Arial" w:cs="Arial"/>
        </w:rPr>
        <w:t>The Welsh Index of Multiple Deprivation (WIMD) shows that all the areas where EHE levels are highest are not educationally deprived</w:t>
      </w:r>
      <w:r w:rsidR="009034B9">
        <w:rPr>
          <w:rStyle w:val="FootnoteReference"/>
          <w:rFonts w:ascii="Arial" w:hAnsi="Arial" w:cs="Arial"/>
        </w:rPr>
        <w:footnoteReference w:id="27"/>
      </w:r>
      <w:r>
        <w:rPr>
          <w:rFonts w:ascii="Arial" w:hAnsi="Arial" w:cs="Arial"/>
        </w:rPr>
        <w:t>, and in general have high quality schools.</w:t>
      </w:r>
      <w:r w:rsidR="009034B9">
        <w:rPr>
          <w:rFonts w:ascii="Arial" w:hAnsi="Arial" w:cs="Arial"/>
        </w:rPr>
        <w:t xml:space="preserve"> Therefore, it seems as though financial and rural deprivation do not play a big a role in the decision to EHE school age children as originally thought; the reason why parent decide to home educate their children must be attributed to other possible factors. A recurring </w:t>
      </w:r>
      <w:r w:rsidR="00D779E4">
        <w:rPr>
          <w:rFonts w:ascii="Arial" w:hAnsi="Arial" w:cs="Arial"/>
        </w:rPr>
        <w:t>theme which</w:t>
      </w:r>
      <w:r w:rsidR="009034B9">
        <w:rPr>
          <w:rFonts w:ascii="Arial" w:hAnsi="Arial" w:cs="Arial"/>
        </w:rPr>
        <w:t xml:space="preserve"> comes up often when </w:t>
      </w:r>
      <w:r w:rsidR="003D1FA0">
        <w:rPr>
          <w:rFonts w:ascii="Arial" w:hAnsi="Arial" w:cs="Arial"/>
        </w:rPr>
        <w:t>speaking of EHE and alternative education is ‘unschooling.’ This approach has been mentioned by some educational psychologists such as</w:t>
      </w:r>
      <w:r w:rsidR="008863AE">
        <w:rPr>
          <w:rFonts w:ascii="Arial" w:hAnsi="Arial" w:cs="Arial"/>
        </w:rPr>
        <w:t xml:space="preserve"> </w:t>
      </w:r>
      <w:r w:rsidR="003D1FA0">
        <w:rPr>
          <w:rFonts w:ascii="Arial" w:hAnsi="Arial" w:cs="Arial"/>
        </w:rPr>
        <w:t>John Holt</w:t>
      </w:r>
      <w:r w:rsidR="008863AE">
        <w:rPr>
          <w:rFonts w:ascii="Arial" w:hAnsi="Arial" w:cs="Arial"/>
        </w:rPr>
        <w:t xml:space="preserve"> who</w:t>
      </w:r>
      <w:r w:rsidR="003D1FA0">
        <w:rPr>
          <w:rFonts w:ascii="Arial" w:hAnsi="Arial" w:cs="Arial"/>
        </w:rPr>
        <w:t xml:space="preserve"> ha</w:t>
      </w:r>
      <w:r w:rsidR="008863AE">
        <w:rPr>
          <w:rFonts w:ascii="Arial" w:hAnsi="Arial" w:cs="Arial"/>
        </w:rPr>
        <w:t>s</w:t>
      </w:r>
      <w:r w:rsidR="003D1FA0">
        <w:rPr>
          <w:rFonts w:ascii="Arial" w:hAnsi="Arial" w:cs="Arial"/>
        </w:rPr>
        <w:t xml:space="preserve"> written in depth about what it means to ‘unschool</w:t>
      </w:r>
      <w:r w:rsidR="008863AE">
        <w:rPr>
          <w:rFonts w:ascii="Arial" w:hAnsi="Arial" w:cs="Arial"/>
        </w:rPr>
        <w:t>.</w:t>
      </w:r>
      <w:r w:rsidR="003D1FA0">
        <w:rPr>
          <w:rFonts w:ascii="Arial" w:hAnsi="Arial" w:cs="Arial"/>
        </w:rPr>
        <w:t>’</w:t>
      </w:r>
      <w:r w:rsidR="004C0F18">
        <w:rPr>
          <w:rFonts w:ascii="Arial" w:hAnsi="Arial" w:cs="Arial"/>
        </w:rPr>
        <w:t xml:space="preserve"> </w:t>
      </w:r>
      <w:r w:rsidR="008863AE">
        <w:rPr>
          <w:rFonts w:ascii="Arial" w:hAnsi="Arial" w:cs="Arial"/>
        </w:rPr>
        <w:t>Unschooling</w:t>
      </w:r>
      <w:r w:rsidR="004C0F18">
        <w:rPr>
          <w:rFonts w:ascii="Arial" w:hAnsi="Arial" w:cs="Arial"/>
        </w:rPr>
        <w:t xml:space="preserve"> essentially the process of not going to a school, and often not following the national curriculum for schools in the country where you are educating the children.</w:t>
      </w:r>
      <w:r w:rsidR="000E71AD">
        <w:rPr>
          <w:rFonts w:ascii="Arial" w:hAnsi="Arial" w:cs="Arial"/>
        </w:rPr>
        <w:t xml:space="preserve"> A critical unschooler (generally the parent of the child) does not use banking methods and complete authority over a child </w:t>
      </w:r>
      <w:proofErr w:type="gramStart"/>
      <w:r w:rsidR="000E71AD">
        <w:rPr>
          <w:rFonts w:ascii="Arial" w:hAnsi="Arial" w:cs="Arial"/>
        </w:rPr>
        <w:t>as a way to</w:t>
      </w:r>
      <w:proofErr w:type="gramEnd"/>
      <w:r w:rsidR="000E71AD">
        <w:rPr>
          <w:rFonts w:ascii="Arial" w:hAnsi="Arial" w:cs="Arial"/>
        </w:rPr>
        <w:t xml:space="preserve"> teach their students but rather acknowledge that the child and adult have an equal right to teach each other and are both effectively filling the role of teacher and student in a bilateral </w:t>
      </w:r>
      <w:r w:rsidR="000E71AD">
        <w:rPr>
          <w:rFonts w:ascii="Arial" w:hAnsi="Arial" w:cs="Arial"/>
        </w:rPr>
        <w:lastRenderedPageBreak/>
        <w:t>relationship</w:t>
      </w:r>
      <w:r w:rsidR="000E71AD">
        <w:rPr>
          <w:rStyle w:val="FootnoteReference"/>
          <w:rFonts w:ascii="Arial" w:hAnsi="Arial" w:cs="Arial"/>
        </w:rPr>
        <w:footnoteReference w:id="28"/>
      </w:r>
      <w:r w:rsidR="000E71AD">
        <w:rPr>
          <w:rFonts w:ascii="Arial" w:hAnsi="Arial" w:cs="Arial"/>
        </w:rPr>
        <w:t>.</w:t>
      </w:r>
      <w:r w:rsidR="00B265F8">
        <w:rPr>
          <w:rFonts w:ascii="Arial" w:hAnsi="Arial" w:cs="Arial"/>
        </w:rPr>
        <w:t xml:space="preserve"> The benefits which can come from this are numerous, though one of the main components of them is the bond between teacher and student becomes less strained, and the parent and child can follow interests which suit them individually at a more leisurely pace as well as with less stress due to the lack of marking and assessing. </w:t>
      </w:r>
      <w:r w:rsidR="009216F4">
        <w:rPr>
          <w:rFonts w:ascii="Arial" w:hAnsi="Arial" w:cs="Arial"/>
        </w:rPr>
        <w:t>Also, by unschooling your children, you can teach them your own family ideals and often minimalise the effects of gender roles and stereotypes which can often be developed through socialising within a school environment</w:t>
      </w:r>
      <w:r w:rsidR="009216F4">
        <w:rPr>
          <w:rStyle w:val="FootnoteReference"/>
          <w:rFonts w:ascii="Arial" w:hAnsi="Arial" w:cs="Arial"/>
        </w:rPr>
        <w:footnoteReference w:id="29"/>
      </w:r>
      <w:r w:rsidR="009216F4">
        <w:rPr>
          <w:rFonts w:ascii="Arial" w:hAnsi="Arial" w:cs="Arial"/>
        </w:rPr>
        <w:t>.</w:t>
      </w:r>
      <w:r w:rsidR="00ED645B">
        <w:rPr>
          <w:rFonts w:ascii="Arial" w:hAnsi="Arial" w:cs="Arial"/>
        </w:rPr>
        <w:t xml:space="preserve"> </w:t>
      </w:r>
      <w:r w:rsidR="009216F4">
        <w:rPr>
          <w:rFonts w:ascii="Arial" w:hAnsi="Arial" w:cs="Arial"/>
        </w:rPr>
        <w:t xml:space="preserve">Another reason for EHE children is from racial abuse and </w:t>
      </w:r>
      <w:r w:rsidR="004D0E15">
        <w:rPr>
          <w:rFonts w:ascii="Arial" w:hAnsi="Arial" w:cs="Arial"/>
        </w:rPr>
        <w:t xml:space="preserve">issues with behaviour whilst in mainstream education. Muslims </w:t>
      </w:r>
      <w:proofErr w:type="gramStart"/>
      <w:r w:rsidR="004D0E15">
        <w:rPr>
          <w:rFonts w:ascii="Arial" w:hAnsi="Arial" w:cs="Arial"/>
        </w:rPr>
        <w:t>in particular have</w:t>
      </w:r>
      <w:proofErr w:type="gramEnd"/>
      <w:r w:rsidR="004D0E15">
        <w:rPr>
          <w:rFonts w:ascii="Arial" w:hAnsi="Arial" w:cs="Arial"/>
        </w:rPr>
        <w:t xml:space="preserve"> been struggling in recent years within mainstream schools, with around a third leaving with no formal qualifications</w:t>
      </w:r>
      <w:r w:rsidR="004D0E15">
        <w:rPr>
          <w:rStyle w:val="FootnoteReference"/>
          <w:rFonts w:ascii="Arial" w:hAnsi="Arial" w:cs="Arial"/>
        </w:rPr>
        <w:footnoteReference w:id="30"/>
      </w:r>
      <w:r w:rsidR="0006494F">
        <w:rPr>
          <w:rFonts w:ascii="Arial" w:hAnsi="Arial" w:cs="Arial"/>
        </w:rPr>
        <w:t xml:space="preserve"> and a high level of islamophobia engulfing much of mainstream British thought, it hardly comes a surprise then that in recent years the level of </w:t>
      </w:r>
      <w:r w:rsidR="008863AE">
        <w:rPr>
          <w:rFonts w:ascii="Arial" w:hAnsi="Arial" w:cs="Arial"/>
        </w:rPr>
        <w:t>home-schooled</w:t>
      </w:r>
      <w:r w:rsidR="0006494F">
        <w:rPr>
          <w:rFonts w:ascii="Arial" w:hAnsi="Arial" w:cs="Arial"/>
        </w:rPr>
        <w:t xml:space="preserve"> Muslims has also been rising</w:t>
      </w:r>
      <w:r w:rsidR="0006494F">
        <w:rPr>
          <w:rStyle w:val="FootnoteReference"/>
          <w:rFonts w:ascii="Arial" w:hAnsi="Arial" w:cs="Arial"/>
        </w:rPr>
        <w:footnoteReference w:id="31"/>
      </w:r>
      <w:r w:rsidR="0006494F">
        <w:rPr>
          <w:rFonts w:ascii="Arial" w:hAnsi="Arial" w:cs="Arial"/>
        </w:rPr>
        <w:t xml:space="preserve">. </w:t>
      </w:r>
      <w:r w:rsidR="00ED645B">
        <w:rPr>
          <w:rFonts w:ascii="Arial" w:hAnsi="Arial" w:cs="Arial"/>
        </w:rPr>
        <w:t xml:space="preserve">EHE children have shown, across the world, that </w:t>
      </w:r>
      <w:proofErr w:type="spellStart"/>
      <w:r w:rsidR="00ED645B">
        <w:rPr>
          <w:rFonts w:ascii="Arial" w:hAnsi="Arial" w:cs="Arial"/>
        </w:rPr>
        <w:t>homeschooling</w:t>
      </w:r>
      <w:proofErr w:type="spellEnd"/>
      <w:r w:rsidR="00ED645B">
        <w:rPr>
          <w:rFonts w:ascii="Arial" w:hAnsi="Arial" w:cs="Arial"/>
        </w:rPr>
        <w:t xml:space="preserve"> often need not be a barrier for the future, and often when EHE children </w:t>
      </w:r>
      <w:r w:rsidR="00ED645B">
        <w:rPr>
          <w:rFonts w:ascii="Arial" w:hAnsi="Arial" w:cs="Arial"/>
          <w:i/>
        </w:rPr>
        <w:t xml:space="preserve">do </w:t>
      </w:r>
      <w:r w:rsidR="00ED645B">
        <w:rPr>
          <w:rFonts w:ascii="Arial" w:hAnsi="Arial" w:cs="Arial"/>
        </w:rPr>
        <w:t xml:space="preserve">take examinations, they </w:t>
      </w:r>
      <w:proofErr w:type="gramStart"/>
      <w:r w:rsidR="00ED645B">
        <w:rPr>
          <w:rFonts w:ascii="Arial" w:hAnsi="Arial" w:cs="Arial"/>
        </w:rPr>
        <w:t>actually perform</w:t>
      </w:r>
      <w:proofErr w:type="gramEnd"/>
      <w:r w:rsidR="00ED645B">
        <w:rPr>
          <w:rFonts w:ascii="Arial" w:hAnsi="Arial" w:cs="Arial"/>
        </w:rPr>
        <w:t xml:space="preserve"> better than their peers who attended mainstream education</w:t>
      </w:r>
      <w:r w:rsidR="00ED645B">
        <w:rPr>
          <w:rStyle w:val="FootnoteReference"/>
          <w:rFonts w:ascii="Arial" w:hAnsi="Arial" w:cs="Arial"/>
        </w:rPr>
        <w:footnoteReference w:id="32"/>
      </w:r>
      <w:r w:rsidR="00ED645B">
        <w:rPr>
          <w:rFonts w:ascii="Arial" w:hAnsi="Arial" w:cs="Arial"/>
        </w:rPr>
        <w:t xml:space="preserve">. </w:t>
      </w:r>
      <w:r w:rsidR="000131F2">
        <w:rPr>
          <w:rFonts w:ascii="Arial" w:hAnsi="Arial" w:cs="Arial"/>
        </w:rPr>
        <w:t xml:space="preserve">This shows us that EHE, when done effectively can be more beneficial to learners than mainstream schooling. However, this could be contributed to by the fact that most home schooled children come from family backgrounds which are more financially able and where a parent can afford to stay at home to educate their children. This may be one of the reasons why the areas where EHE children are more prevalent re less financially deprived. Parents who EHE their children need to be able to afford to do so, as well as to afford all the supplies needed to buy resources for their learning and take the child on </w:t>
      </w:r>
      <w:r w:rsidR="000131F2">
        <w:rPr>
          <w:rFonts w:ascii="Arial" w:hAnsi="Arial" w:cs="Arial"/>
        </w:rPr>
        <w:lastRenderedPageBreak/>
        <w:t xml:space="preserve">educational trips. Therefore, it seems as though finances must play a role in the choice to EHE a child </w:t>
      </w:r>
      <w:proofErr w:type="gramStart"/>
      <w:r w:rsidR="000131F2">
        <w:rPr>
          <w:rFonts w:ascii="Arial" w:hAnsi="Arial" w:cs="Arial"/>
        </w:rPr>
        <w:t>above other factors</w:t>
      </w:r>
      <w:proofErr w:type="gramEnd"/>
      <w:r w:rsidR="000131F2">
        <w:rPr>
          <w:rFonts w:ascii="Arial" w:hAnsi="Arial" w:cs="Arial"/>
        </w:rPr>
        <w:t>.</w:t>
      </w:r>
    </w:p>
    <w:p w:rsidR="000131F2" w:rsidRDefault="000131F2" w:rsidP="00ED645B">
      <w:pPr>
        <w:spacing w:line="480" w:lineRule="auto"/>
        <w:rPr>
          <w:rFonts w:ascii="Arial" w:hAnsi="Arial" w:cs="Arial"/>
        </w:rPr>
      </w:pPr>
    </w:p>
    <w:p w:rsidR="000131F2" w:rsidRDefault="000131F2" w:rsidP="00ED645B">
      <w:pPr>
        <w:spacing w:line="480" w:lineRule="auto"/>
        <w:rPr>
          <w:rFonts w:ascii="Arial" w:hAnsi="Arial" w:cs="Arial"/>
        </w:rPr>
      </w:pPr>
    </w:p>
    <w:p w:rsidR="000131F2" w:rsidRDefault="000131F2" w:rsidP="00ED645B">
      <w:pPr>
        <w:spacing w:line="480" w:lineRule="auto"/>
        <w:rPr>
          <w:rFonts w:ascii="Arial" w:hAnsi="Arial" w:cs="Arial"/>
        </w:rPr>
      </w:pPr>
      <w:r>
        <w:rPr>
          <w:rFonts w:ascii="Arial" w:hAnsi="Arial" w:cs="Arial"/>
        </w:rPr>
        <w:t>To conclude, in Wales, there are almost 2,000 electively home educated children that the government know of who are of compulsory educational age. The laws of England and Wales according to section seven of the education act 1996 allow home-education as a form of education other than at school (EOTAS). Most of these EHE children come from rural counties which are not financially deprived and where the educational deprivation within mainstream schooling is near non-existent statistically speaking</w:t>
      </w:r>
      <w:r w:rsidR="0019446C">
        <w:rPr>
          <w:rFonts w:ascii="Arial" w:hAnsi="Arial" w:cs="Arial"/>
        </w:rPr>
        <w:t xml:space="preserve"> and above the 50</w:t>
      </w:r>
      <w:r w:rsidR="0019446C" w:rsidRPr="0019446C">
        <w:rPr>
          <w:rFonts w:ascii="Arial" w:hAnsi="Arial" w:cs="Arial"/>
          <w:vertAlign w:val="superscript"/>
        </w:rPr>
        <w:t>th</w:t>
      </w:r>
      <w:r w:rsidR="0019446C">
        <w:rPr>
          <w:rFonts w:ascii="Arial" w:hAnsi="Arial" w:cs="Arial"/>
        </w:rPr>
        <w:t xml:space="preserve"> centile</w:t>
      </w:r>
      <w:r>
        <w:rPr>
          <w:rFonts w:ascii="Arial" w:hAnsi="Arial" w:cs="Arial"/>
        </w:rPr>
        <w:t>.</w:t>
      </w:r>
      <w:r w:rsidR="0019446C">
        <w:rPr>
          <w:rFonts w:ascii="Arial" w:hAnsi="Arial" w:cs="Arial"/>
        </w:rPr>
        <w:t xml:space="preserve"> However, the scarcity of schools as well as the lack of transport and the benefits of unschooling seem to be swaying more and more parents every year since 2012 to EHE their children. This does seem as though it is a good thing, but the lack of involvement from LEA’s in the area could also put children who are out of school at risk of abuse and a bad education among other things. In 2018 the Education Secretary for Wales announced that all parent of EHE children will have to register their children on a national database to avoid any neglect to safeguarding these children</w:t>
      </w:r>
      <w:r w:rsidR="0019446C">
        <w:rPr>
          <w:rStyle w:val="FootnoteReference"/>
          <w:rFonts w:ascii="Arial" w:hAnsi="Arial" w:cs="Arial"/>
        </w:rPr>
        <w:footnoteReference w:id="33"/>
      </w:r>
      <w:r w:rsidR="0019446C">
        <w:rPr>
          <w:rFonts w:ascii="Arial" w:hAnsi="Arial" w:cs="Arial"/>
        </w:rPr>
        <w:t xml:space="preserve">. </w:t>
      </w:r>
      <w:r>
        <w:rPr>
          <w:rFonts w:ascii="Arial" w:hAnsi="Arial" w:cs="Arial"/>
        </w:rPr>
        <w:t xml:space="preserve"> </w:t>
      </w:r>
      <w:bookmarkStart w:id="0" w:name="_GoBack"/>
      <w:bookmarkEnd w:id="0"/>
    </w:p>
    <w:p w:rsidR="000131F2" w:rsidRPr="004C0F18" w:rsidRDefault="000131F2" w:rsidP="00ED645B">
      <w:pPr>
        <w:spacing w:line="480" w:lineRule="auto"/>
        <w:rPr>
          <w:rFonts w:ascii="Arial" w:hAnsi="Arial" w:cs="Arial"/>
        </w:rPr>
      </w:pPr>
    </w:p>
    <w:p w:rsidR="009034B9" w:rsidRDefault="009034B9" w:rsidP="005F5330"/>
    <w:p w:rsidR="0006494F" w:rsidRDefault="0006494F" w:rsidP="005F5330"/>
    <w:p w:rsidR="000131F2" w:rsidRDefault="000131F2" w:rsidP="005F5330"/>
    <w:p w:rsidR="000131F2" w:rsidRDefault="000131F2" w:rsidP="005F5330"/>
    <w:p w:rsidR="000131F2" w:rsidRDefault="000131F2" w:rsidP="005F5330"/>
    <w:p w:rsidR="000131F2" w:rsidRDefault="000131F2" w:rsidP="005F5330"/>
    <w:sdt>
      <w:sdtPr>
        <w:rPr>
          <w:rFonts w:asciiTheme="minorHAnsi" w:eastAsiaTheme="minorHAnsi" w:hAnsiTheme="minorHAnsi" w:cstheme="minorBidi"/>
          <w:color w:val="auto"/>
          <w:sz w:val="22"/>
          <w:szCs w:val="22"/>
          <w:lang w:val="en-GB"/>
        </w:rPr>
        <w:id w:val="-206100668"/>
        <w:docPartObj>
          <w:docPartGallery w:val="Bibliographies"/>
          <w:docPartUnique/>
        </w:docPartObj>
      </w:sdtPr>
      <w:sdtEndPr/>
      <w:sdtContent>
        <w:p w:rsidR="009227A6" w:rsidRDefault="00861303">
          <w:pPr>
            <w:pStyle w:val="Heading1"/>
          </w:pPr>
          <w:r>
            <w:t>Biblio</w:t>
          </w:r>
          <w:r w:rsidR="009227A6">
            <w:t>graphy</w:t>
          </w:r>
        </w:p>
        <w:sdt>
          <w:sdtPr>
            <w:id w:val="111145805"/>
            <w:bibliography/>
          </w:sdtPr>
          <w:sdtEndPr/>
          <w:sdtContent>
            <w:p w:rsidR="0019446C" w:rsidRDefault="009227A6" w:rsidP="0019446C">
              <w:pPr>
                <w:pStyle w:val="Bibliography"/>
                <w:ind w:left="720" w:hanging="720"/>
                <w:rPr>
                  <w:noProof/>
                  <w:sz w:val="24"/>
                  <w:szCs w:val="24"/>
                  <w:lang w:val="en-US"/>
                </w:rPr>
              </w:pPr>
              <w:r>
                <w:fldChar w:fldCharType="begin"/>
              </w:r>
              <w:r>
                <w:instrText xml:space="preserve"> BIBLIOGRAPHY </w:instrText>
              </w:r>
              <w:r>
                <w:fldChar w:fldCharType="separate"/>
              </w:r>
              <w:r w:rsidR="0019446C">
                <w:rPr>
                  <w:noProof/>
                  <w:lang w:val="en-US"/>
                </w:rPr>
                <w:t xml:space="preserve">Ceredigion, C. S. (2019, March 29). </w:t>
              </w:r>
              <w:r w:rsidR="0019446C">
                <w:rPr>
                  <w:i/>
                  <w:iCs/>
                  <w:noProof/>
                  <w:lang w:val="en-US"/>
                </w:rPr>
                <w:t>Primary Schools</w:t>
              </w:r>
              <w:r w:rsidR="0019446C">
                <w:rPr>
                  <w:noProof/>
                  <w:lang w:val="en-US"/>
                </w:rPr>
                <w:t>. Retrieved from Cyngor Sir Ceredigion/Ceredigion County Council: https://www.ceredigion.gov.uk/resident/schools-education/school-information/primary-schools/</w:t>
              </w:r>
            </w:p>
            <w:p w:rsidR="0019446C" w:rsidRDefault="0019446C" w:rsidP="0019446C">
              <w:pPr>
                <w:pStyle w:val="Bibliography"/>
                <w:ind w:left="720" w:hanging="720"/>
                <w:rPr>
                  <w:noProof/>
                  <w:lang w:val="en-US"/>
                </w:rPr>
              </w:pPr>
              <w:r>
                <w:rPr>
                  <w:noProof/>
                  <w:lang w:val="en-US"/>
                </w:rPr>
                <w:t xml:space="preserve">Council, C. C. (2019, March 29). </w:t>
              </w:r>
              <w:r>
                <w:rPr>
                  <w:i/>
                  <w:iCs/>
                  <w:noProof/>
                  <w:lang w:val="en-US"/>
                </w:rPr>
                <w:t>Cardiff schools</w:t>
              </w:r>
              <w:r>
                <w:rPr>
                  <w:noProof/>
                  <w:lang w:val="en-US"/>
                </w:rPr>
                <w:t>. Retrieved from Cardiff County Council: https://www.cardiff.gov.uk/ENG/resident/Schools-and-learning/Schools/Cardiff-schools/Pages/default.aspx</w:t>
              </w:r>
            </w:p>
            <w:p w:rsidR="0019446C" w:rsidRDefault="0019446C" w:rsidP="0019446C">
              <w:pPr>
                <w:pStyle w:val="Bibliography"/>
                <w:ind w:left="720" w:hanging="720"/>
                <w:rPr>
                  <w:noProof/>
                  <w:lang w:val="en-US"/>
                </w:rPr>
              </w:pPr>
              <w:r>
                <w:rPr>
                  <w:noProof/>
                  <w:lang w:val="en-US"/>
                </w:rPr>
                <w:t xml:space="preserve">Deprivation, W. I. (2014). </w:t>
              </w:r>
              <w:r>
                <w:rPr>
                  <w:i/>
                  <w:iCs/>
                  <w:noProof/>
                  <w:lang w:val="en-US"/>
                </w:rPr>
                <w:t>WIMD 2014</w:t>
              </w:r>
              <w:r>
                <w:rPr>
                  <w:noProof/>
                  <w:lang w:val="en-US"/>
                </w:rPr>
                <w:t>. Retrieved from Stats Wales: https://statswales.gov.wales/Catalogue/Community-Safety-and-Social-Inclusion/Welsh-Index-of-Multiple-Deprivation/wimd-maps</w:t>
              </w:r>
            </w:p>
            <w:p w:rsidR="0019446C" w:rsidRDefault="0019446C" w:rsidP="0019446C">
              <w:pPr>
                <w:pStyle w:val="Bibliography"/>
                <w:ind w:left="720" w:hanging="720"/>
                <w:rPr>
                  <w:noProof/>
                  <w:lang w:val="en-US"/>
                </w:rPr>
              </w:pPr>
              <w:r>
                <w:rPr>
                  <w:noProof/>
                  <w:lang w:val="en-US"/>
                </w:rPr>
                <w:t xml:space="preserve">Donaldson, P. G. (2015). </w:t>
              </w:r>
              <w:r>
                <w:rPr>
                  <w:i/>
                  <w:iCs/>
                  <w:noProof/>
                  <w:lang w:val="en-US"/>
                </w:rPr>
                <w:t>Successful Futures: Independent Review of Curriculum and Assessment Arrangements in Wales.</w:t>
              </w:r>
              <w:r>
                <w:rPr>
                  <w:noProof/>
                  <w:lang w:val="en-US"/>
                </w:rPr>
                <w:t xml:space="preserve"> OGL.</w:t>
              </w:r>
            </w:p>
            <w:p w:rsidR="0019446C" w:rsidRDefault="0019446C" w:rsidP="0019446C">
              <w:pPr>
                <w:pStyle w:val="Bibliography"/>
                <w:ind w:left="720" w:hanging="720"/>
                <w:rPr>
                  <w:noProof/>
                  <w:lang w:val="en-US"/>
                </w:rPr>
              </w:pPr>
              <w:r>
                <w:rPr>
                  <w:i/>
                  <w:iCs/>
                  <w:noProof/>
                  <w:lang w:val="en-US"/>
                </w:rPr>
                <w:t>Education Act 1996</w:t>
              </w:r>
              <w:r>
                <w:rPr>
                  <w:noProof/>
                  <w:lang w:val="en-US"/>
                </w:rPr>
                <w:t>. (1996). Retrieved from Legislation Gov UK: https://www.legislation.gov.uk/ukpga/1996/56/section/7</w:t>
              </w:r>
            </w:p>
            <w:p w:rsidR="0019446C" w:rsidRDefault="0019446C" w:rsidP="0019446C">
              <w:pPr>
                <w:pStyle w:val="Bibliography"/>
                <w:ind w:left="720" w:hanging="720"/>
                <w:rPr>
                  <w:noProof/>
                  <w:lang w:val="en-US"/>
                </w:rPr>
              </w:pPr>
              <w:r>
                <w:rPr>
                  <w:i/>
                  <w:iCs/>
                  <w:noProof/>
                  <w:lang w:val="en-US"/>
                </w:rPr>
                <w:t>Facts Map</w:t>
              </w:r>
              <w:r>
                <w:rPr>
                  <w:noProof/>
                  <w:lang w:val="en-US"/>
                </w:rPr>
                <w:t>. (2018). Retrieved from PISA Worldwide Ranking – average score of math, science and reading: http://factsmaps.com/pisa-worldwide-ranking-average-score-of-math-science-reading/</w:t>
              </w:r>
            </w:p>
            <w:p w:rsidR="0019446C" w:rsidRDefault="0019446C" w:rsidP="0019446C">
              <w:pPr>
                <w:pStyle w:val="Bibliography"/>
                <w:ind w:left="720" w:hanging="720"/>
                <w:rPr>
                  <w:noProof/>
                  <w:lang w:val="en-US"/>
                </w:rPr>
              </w:pPr>
              <w:r>
                <w:rPr>
                  <w:noProof/>
                  <w:lang w:val="en-US"/>
                </w:rPr>
                <w:t xml:space="preserve">Freire, P. (1996). </w:t>
              </w:r>
              <w:r>
                <w:rPr>
                  <w:i/>
                  <w:iCs/>
                  <w:noProof/>
                  <w:lang w:val="en-US"/>
                </w:rPr>
                <w:t>Pedagogy of the Oppressed.</w:t>
              </w:r>
              <w:r>
                <w:rPr>
                  <w:noProof/>
                  <w:lang w:val="en-US"/>
                </w:rPr>
                <w:t xml:space="preserve"> New York: Penguin.</w:t>
              </w:r>
            </w:p>
            <w:p w:rsidR="0019446C" w:rsidRDefault="0019446C" w:rsidP="0019446C">
              <w:pPr>
                <w:pStyle w:val="Bibliography"/>
                <w:ind w:left="720" w:hanging="720"/>
                <w:rPr>
                  <w:noProof/>
                  <w:lang w:val="en-US"/>
                </w:rPr>
              </w:pPr>
              <w:r>
                <w:rPr>
                  <w:noProof/>
                  <w:lang w:val="en-US"/>
                </w:rPr>
                <w:t xml:space="preserve">Gatto, J. T. (1992). </w:t>
              </w:r>
              <w:r>
                <w:rPr>
                  <w:i/>
                  <w:iCs/>
                  <w:noProof/>
                  <w:lang w:val="en-US"/>
                </w:rPr>
                <w:t>The Seven Lesson School Teacher.</w:t>
              </w:r>
              <w:r>
                <w:rPr>
                  <w:noProof/>
                  <w:lang w:val="en-US"/>
                </w:rPr>
                <w:t xml:space="preserve"> New Society Publishers.</w:t>
              </w:r>
            </w:p>
            <w:p w:rsidR="0019446C" w:rsidRDefault="0019446C" w:rsidP="0019446C">
              <w:pPr>
                <w:pStyle w:val="Bibliography"/>
                <w:ind w:left="720" w:hanging="720"/>
                <w:rPr>
                  <w:noProof/>
                  <w:lang w:val="en-US"/>
                </w:rPr>
              </w:pPr>
              <w:r>
                <w:rPr>
                  <w:noProof/>
                  <w:lang w:val="en-US"/>
                </w:rPr>
                <w:t xml:space="preserve">Gatto, J. T. (2001). </w:t>
              </w:r>
              <w:r>
                <w:rPr>
                  <w:i/>
                  <w:iCs/>
                  <w:noProof/>
                  <w:lang w:val="en-US"/>
                </w:rPr>
                <w:t>A Different Kind of Teacher.</w:t>
              </w:r>
              <w:r>
                <w:rPr>
                  <w:noProof/>
                  <w:lang w:val="en-US"/>
                </w:rPr>
                <w:t xml:space="preserve"> USA: Berkely Hills Books Ltd.</w:t>
              </w:r>
            </w:p>
            <w:p w:rsidR="0019446C" w:rsidRDefault="0019446C" w:rsidP="0019446C">
              <w:pPr>
                <w:pStyle w:val="Bibliography"/>
                <w:ind w:left="720" w:hanging="720"/>
                <w:rPr>
                  <w:noProof/>
                  <w:lang w:val="en-US"/>
                </w:rPr>
              </w:pPr>
              <w:r>
                <w:rPr>
                  <w:noProof/>
                  <w:lang w:val="en-US"/>
                </w:rPr>
                <w:t xml:space="preserve">Government, U. (2013). </w:t>
              </w:r>
              <w:r>
                <w:rPr>
                  <w:i/>
                  <w:iCs/>
                  <w:noProof/>
                  <w:lang w:val="en-US"/>
                </w:rPr>
                <w:t>Elective Home Education: Guidelines for Local Authorities.</w:t>
              </w:r>
              <w:r>
                <w:rPr>
                  <w:noProof/>
                  <w:lang w:val="en-US"/>
                </w:rPr>
                <w:t xml:space="preserve"> Department for Children, Schools and Families.</w:t>
              </w:r>
            </w:p>
            <w:p w:rsidR="0019446C" w:rsidRDefault="0019446C" w:rsidP="0019446C">
              <w:pPr>
                <w:pStyle w:val="Bibliography"/>
                <w:ind w:left="720" w:hanging="720"/>
                <w:rPr>
                  <w:noProof/>
                  <w:lang w:val="en-US"/>
                </w:rPr>
              </w:pPr>
              <w:r>
                <w:rPr>
                  <w:noProof/>
                  <w:lang w:val="en-US"/>
                </w:rPr>
                <w:t xml:space="preserve">Government, W. (2018, June). </w:t>
              </w:r>
              <w:r>
                <w:rPr>
                  <w:i/>
                  <w:iCs/>
                  <w:noProof/>
                  <w:lang w:val="en-US"/>
                </w:rPr>
                <w:t>Population estimates by local authority and year</w:t>
              </w:r>
              <w:r>
                <w:rPr>
                  <w:noProof/>
                  <w:lang w:val="en-US"/>
                </w:rPr>
                <w:t>. Retrieved from Stats Wales: https://statswales.gov.wales/Catalogue/Population-and-Migration/Population/Estimates/Local-Authority/populationestimates-by-localauthority-year</w:t>
              </w:r>
            </w:p>
            <w:p w:rsidR="0019446C" w:rsidRDefault="0019446C" w:rsidP="0019446C">
              <w:pPr>
                <w:pStyle w:val="Bibliography"/>
                <w:ind w:left="720" w:hanging="720"/>
                <w:rPr>
                  <w:noProof/>
                  <w:lang w:val="en-US"/>
                </w:rPr>
              </w:pPr>
              <w:r>
                <w:rPr>
                  <w:noProof/>
                  <w:lang w:val="en-US"/>
                </w:rPr>
                <w:t xml:space="preserve">Government, W. A. (2008). </w:t>
              </w:r>
              <w:r>
                <w:rPr>
                  <w:i/>
                  <w:iCs/>
                  <w:noProof/>
                  <w:lang w:val="en-US"/>
                </w:rPr>
                <w:t>Welsh Index of Multiple Deprivation.</w:t>
              </w:r>
              <w:r>
                <w:rPr>
                  <w:noProof/>
                  <w:lang w:val="en-US"/>
                </w:rPr>
                <w:t xml:space="preserve"> Cardiff: WAG.</w:t>
              </w:r>
            </w:p>
            <w:p w:rsidR="0019446C" w:rsidRDefault="0019446C" w:rsidP="0019446C">
              <w:pPr>
                <w:pStyle w:val="Bibliography"/>
                <w:ind w:left="720" w:hanging="720"/>
                <w:rPr>
                  <w:noProof/>
                  <w:lang w:val="en-US"/>
                </w:rPr>
              </w:pPr>
              <w:r>
                <w:rPr>
                  <w:noProof/>
                  <w:lang w:val="en-US"/>
                </w:rPr>
                <w:t xml:space="preserve">Heshizer, B., &amp; Knapp, D. E. (2016). Revisiting the Buffering Hypothesis: Social Support, Work Stressors, Stress Related Symptoms, and Negative Affectivity in a Sample of Public School Teachers. </w:t>
              </w:r>
              <w:r>
                <w:rPr>
                  <w:i/>
                  <w:iCs/>
                  <w:noProof/>
                  <w:lang w:val="en-US"/>
                </w:rPr>
                <w:t>Open Access Library Journal</w:t>
              </w:r>
              <w:r>
                <w:rPr>
                  <w:noProof/>
                  <w:lang w:val="en-US"/>
                </w:rPr>
                <w:t>, 1-11.</w:t>
              </w:r>
            </w:p>
            <w:p w:rsidR="0019446C" w:rsidRDefault="0019446C" w:rsidP="0019446C">
              <w:pPr>
                <w:pStyle w:val="Bibliography"/>
                <w:ind w:left="720" w:hanging="720"/>
                <w:rPr>
                  <w:noProof/>
                  <w:lang w:val="en-US"/>
                </w:rPr>
              </w:pPr>
              <w:r>
                <w:rPr>
                  <w:noProof/>
                  <w:lang w:val="en-US"/>
                </w:rPr>
                <w:t xml:space="preserve">Holt, J. (1981, Spring). </w:t>
              </w:r>
              <w:r>
                <w:rPr>
                  <w:i/>
                  <w:iCs/>
                  <w:noProof/>
                  <w:lang w:val="en-US"/>
                </w:rPr>
                <w:t>Mothering</w:t>
              </w:r>
              <w:r>
                <w:rPr>
                  <w:noProof/>
                  <w:lang w:val="en-US"/>
                </w:rPr>
                <w:t>. New York: Mothering.</w:t>
              </w:r>
            </w:p>
            <w:p w:rsidR="0019446C" w:rsidRDefault="0019446C" w:rsidP="0019446C">
              <w:pPr>
                <w:pStyle w:val="Bibliography"/>
                <w:ind w:left="720" w:hanging="720"/>
                <w:rPr>
                  <w:noProof/>
                  <w:lang w:val="en-US"/>
                </w:rPr>
              </w:pPr>
              <w:r>
                <w:rPr>
                  <w:noProof/>
                  <w:lang w:val="en-US"/>
                </w:rPr>
                <w:t xml:space="preserve">Hughes, S. (2016). </w:t>
              </w:r>
              <w:r>
                <w:rPr>
                  <w:i/>
                  <w:iCs/>
                  <w:noProof/>
                  <w:lang w:val="en-US"/>
                </w:rPr>
                <w:t>Research Briefing: Home to school transport - a guide for constituents.</w:t>
              </w:r>
              <w:r>
                <w:rPr>
                  <w:noProof/>
                  <w:lang w:val="en-US"/>
                </w:rPr>
                <w:t xml:space="preserve"> Cardiff: National Assembly for Wales.</w:t>
              </w:r>
            </w:p>
            <w:p w:rsidR="0019446C" w:rsidRDefault="0019446C" w:rsidP="0019446C">
              <w:pPr>
                <w:pStyle w:val="Bibliography"/>
                <w:ind w:left="720" w:hanging="720"/>
                <w:rPr>
                  <w:noProof/>
                  <w:lang w:val="en-US"/>
                </w:rPr>
              </w:pPr>
              <w:r>
                <w:rPr>
                  <w:noProof/>
                  <w:lang w:val="en-US"/>
                </w:rPr>
                <w:t xml:space="preserve">Johnson, A. P. (2014). An Overview of Learning, Educating and Teaching for Preservice Teachers. In A. P. Johnson, </w:t>
              </w:r>
              <w:r>
                <w:rPr>
                  <w:i/>
                  <w:iCs/>
                  <w:noProof/>
                  <w:lang w:val="en-US"/>
                </w:rPr>
                <w:t xml:space="preserve">Education Psychology: Theories of Learning and Human Development </w:t>
              </w:r>
              <w:r>
                <w:rPr>
                  <w:noProof/>
                  <w:lang w:val="en-US"/>
                </w:rPr>
                <w:t>(pp. 1-6). National Science Press.</w:t>
              </w:r>
            </w:p>
            <w:p w:rsidR="0019446C" w:rsidRDefault="0019446C" w:rsidP="0019446C">
              <w:pPr>
                <w:pStyle w:val="Bibliography"/>
                <w:ind w:left="720" w:hanging="720"/>
                <w:rPr>
                  <w:noProof/>
                  <w:lang w:val="en-US"/>
                </w:rPr>
              </w:pPr>
              <w:r>
                <w:rPr>
                  <w:i/>
                  <w:iCs/>
                  <w:noProof/>
                  <w:lang w:val="en-US"/>
                </w:rPr>
                <w:lastRenderedPageBreak/>
                <w:t>NUT Cymru Respond to Estyn Report</w:t>
              </w:r>
              <w:r>
                <w:rPr>
                  <w:noProof/>
                  <w:lang w:val="en-US"/>
                </w:rPr>
                <w:t>. (2017, January 24). Retrieved from National Education Union: https://www.teachers.org.uk/news-events/press-releases-wales/nut-cymru-respond-to-estyn-report</w:t>
              </w:r>
            </w:p>
            <w:p w:rsidR="0019446C" w:rsidRDefault="0019446C" w:rsidP="0019446C">
              <w:pPr>
                <w:pStyle w:val="Bibliography"/>
                <w:ind w:left="720" w:hanging="720"/>
                <w:rPr>
                  <w:noProof/>
                  <w:lang w:val="en-US"/>
                </w:rPr>
              </w:pPr>
              <w:r>
                <w:rPr>
                  <w:i/>
                  <w:iCs/>
                  <w:noProof/>
                  <w:lang w:val="en-US"/>
                </w:rPr>
                <w:t>Outcomes for Electively Home Educated Children.</w:t>
              </w:r>
              <w:r>
                <w:rPr>
                  <w:noProof/>
                  <w:lang w:val="en-US"/>
                </w:rPr>
                <w:t xml:space="preserve"> (n.d.). Retrieved from http://www.home-education.org.uk/articles/wc/wc-he-outcomes.pdf</w:t>
              </w:r>
            </w:p>
            <w:p w:rsidR="0019446C" w:rsidRDefault="0019446C" w:rsidP="0019446C">
              <w:pPr>
                <w:pStyle w:val="Bibliography"/>
                <w:ind w:left="720" w:hanging="720"/>
                <w:rPr>
                  <w:noProof/>
                  <w:lang w:val="en-US"/>
                </w:rPr>
              </w:pPr>
              <w:r>
                <w:rPr>
                  <w:noProof/>
                  <w:lang w:val="en-US"/>
                </w:rPr>
                <w:t xml:space="preserve">Romero, N. (2018). Toward a Critical Unschooling Pedagogy. </w:t>
              </w:r>
              <w:r>
                <w:rPr>
                  <w:i/>
                  <w:iCs/>
                  <w:noProof/>
                  <w:lang w:val="en-US"/>
                </w:rPr>
                <w:t>Journal of Unschooling and Alternative Learning</w:t>
              </w:r>
              <w:r>
                <w:rPr>
                  <w:noProof/>
                  <w:lang w:val="en-US"/>
                </w:rPr>
                <w:t>, 56-71.</w:t>
              </w:r>
            </w:p>
            <w:p w:rsidR="0019446C" w:rsidRDefault="0019446C" w:rsidP="0019446C">
              <w:pPr>
                <w:pStyle w:val="Bibliography"/>
                <w:ind w:left="720" w:hanging="720"/>
                <w:rPr>
                  <w:noProof/>
                  <w:lang w:val="en-US"/>
                </w:rPr>
              </w:pPr>
              <w:r>
                <w:rPr>
                  <w:noProof/>
                  <w:lang w:val="en-US"/>
                </w:rPr>
                <w:t xml:space="preserve">Rudgard, O. (2018, April 3). </w:t>
              </w:r>
              <w:r>
                <w:rPr>
                  <w:i/>
                  <w:iCs/>
                  <w:noProof/>
                  <w:lang w:val="en-US"/>
                </w:rPr>
                <w:t>Fears of bullying drives Muslim children to being homeschooled</w:t>
              </w:r>
              <w:r>
                <w:rPr>
                  <w:noProof/>
                  <w:lang w:val="en-US"/>
                </w:rPr>
                <w:t>. Retrieved from The Telegraph: https://www.telegraph.co.uk/news/2018/04/03/fears-bullying-drives-muslim-children-homeschooled/</w:t>
              </w:r>
            </w:p>
            <w:p w:rsidR="0019446C" w:rsidRDefault="0019446C" w:rsidP="0019446C">
              <w:pPr>
                <w:pStyle w:val="Bibliography"/>
                <w:ind w:left="720" w:hanging="720"/>
                <w:rPr>
                  <w:noProof/>
                  <w:lang w:val="en-US"/>
                </w:rPr>
              </w:pPr>
              <w:r>
                <w:rPr>
                  <w:noProof/>
                  <w:lang w:val="en-US"/>
                </w:rPr>
                <w:t xml:space="preserve">Scott, A. J., Gilbert, A., &amp; Gelan, A. (2007). The Urban-Rural Divide: Myth or Reality? </w:t>
              </w:r>
              <w:r>
                <w:rPr>
                  <w:i/>
                  <w:iCs/>
                  <w:noProof/>
                  <w:lang w:val="en-US"/>
                </w:rPr>
                <w:t>Socio-Economic Research Group</w:t>
              </w:r>
              <w:r>
                <w:rPr>
                  <w:noProof/>
                  <w:lang w:val="en-US"/>
                </w:rPr>
                <w:t>, 1-27.</w:t>
              </w:r>
            </w:p>
            <w:p w:rsidR="0019446C" w:rsidRDefault="0019446C" w:rsidP="0019446C">
              <w:pPr>
                <w:pStyle w:val="Bibliography"/>
                <w:ind w:left="720" w:hanging="720"/>
                <w:rPr>
                  <w:noProof/>
                  <w:lang w:val="en-US"/>
                </w:rPr>
              </w:pPr>
              <w:r>
                <w:rPr>
                  <w:noProof/>
                  <w:lang w:val="en-US"/>
                </w:rPr>
                <w:t xml:space="preserve">Shah, S. J. (2014). Muslim schools in secular societies: Persistence or resistance! </w:t>
              </w:r>
              <w:r>
                <w:rPr>
                  <w:i/>
                  <w:iCs/>
                  <w:noProof/>
                  <w:lang w:val="en-US"/>
                </w:rPr>
                <w:t>British Journal of Religious Education</w:t>
              </w:r>
              <w:r>
                <w:rPr>
                  <w:noProof/>
                  <w:lang w:val="en-US"/>
                </w:rPr>
                <w:t>, 51-65.</w:t>
              </w:r>
            </w:p>
            <w:p w:rsidR="0019446C" w:rsidRDefault="0019446C" w:rsidP="0019446C">
              <w:pPr>
                <w:pStyle w:val="Bibliography"/>
                <w:ind w:left="720" w:hanging="720"/>
                <w:rPr>
                  <w:noProof/>
                  <w:lang w:val="en-US"/>
                </w:rPr>
              </w:pPr>
              <w:r>
                <w:rPr>
                  <w:noProof/>
                  <w:lang w:val="en-US"/>
                </w:rPr>
                <w:t xml:space="preserve">Taylor, C. (2018). </w:t>
              </w:r>
              <w:r>
                <w:rPr>
                  <w:i/>
                  <w:iCs/>
                  <w:noProof/>
                  <w:lang w:val="en-US"/>
                </w:rPr>
                <w:t>Geography of the 'New' Education Market: Secondary school choice in England and Wales .</w:t>
              </w:r>
              <w:r>
                <w:rPr>
                  <w:noProof/>
                  <w:lang w:val="en-US"/>
                </w:rPr>
                <w:t xml:space="preserve"> Abingdon: Routledge.</w:t>
              </w:r>
            </w:p>
            <w:p w:rsidR="0019446C" w:rsidRDefault="0019446C" w:rsidP="0019446C">
              <w:pPr>
                <w:pStyle w:val="Bibliography"/>
                <w:ind w:left="720" w:hanging="720"/>
                <w:rPr>
                  <w:noProof/>
                  <w:lang w:val="en-US"/>
                </w:rPr>
              </w:pPr>
              <w:r>
                <w:rPr>
                  <w:noProof/>
                  <w:lang w:val="en-US"/>
                </w:rPr>
                <w:t xml:space="preserve">Wales, S. f. (2018). </w:t>
              </w:r>
              <w:r>
                <w:rPr>
                  <w:i/>
                  <w:iCs/>
                  <w:noProof/>
                  <w:lang w:val="en-US"/>
                </w:rPr>
                <w:t>Pupils educated other than at school, 2017/18.</w:t>
              </w:r>
              <w:r>
                <w:rPr>
                  <w:noProof/>
                  <w:lang w:val="en-US"/>
                </w:rPr>
                <w:t xml:space="preserve"> Welsh Assembly Government.</w:t>
              </w:r>
            </w:p>
            <w:p w:rsidR="0019446C" w:rsidRDefault="0019446C" w:rsidP="0019446C">
              <w:pPr>
                <w:pStyle w:val="Bibliography"/>
                <w:ind w:left="720" w:hanging="720"/>
                <w:rPr>
                  <w:noProof/>
                  <w:lang w:val="en-US"/>
                </w:rPr>
              </w:pPr>
              <w:r>
                <w:rPr>
                  <w:noProof/>
                  <w:lang w:val="en-US"/>
                </w:rPr>
                <w:t xml:space="preserve">Weldon, D. M. (2018). </w:t>
              </w:r>
              <w:r>
                <w:rPr>
                  <w:i/>
                  <w:iCs/>
                  <w:noProof/>
                  <w:lang w:val="en-US"/>
                </w:rPr>
                <w:t>Secondary School and Choice Selection: Insights from new national preferences data.</w:t>
              </w:r>
              <w:r>
                <w:rPr>
                  <w:noProof/>
                  <w:lang w:val="en-US"/>
                </w:rPr>
                <w:t xml:space="preserve"> Government Social Research.</w:t>
              </w:r>
            </w:p>
            <w:p w:rsidR="0019446C" w:rsidRDefault="0019446C" w:rsidP="0019446C">
              <w:pPr>
                <w:pStyle w:val="Bibliography"/>
                <w:ind w:left="720" w:hanging="720"/>
                <w:rPr>
                  <w:noProof/>
                  <w:lang w:val="en-US"/>
                </w:rPr>
              </w:pPr>
              <w:r>
                <w:rPr>
                  <w:noProof/>
                  <w:lang w:val="en-US"/>
                </w:rPr>
                <w:t xml:space="preserve">Wightwick, A. (2018, January 4). </w:t>
              </w:r>
              <w:r>
                <w:rPr>
                  <w:i/>
                  <w:iCs/>
                  <w:noProof/>
                  <w:lang w:val="en-US"/>
                </w:rPr>
                <w:t>Parents home educating their children in Wales will have to join a register</w:t>
              </w:r>
              <w:r>
                <w:rPr>
                  <w:noProof/>
                  <w:lang w:val="en-US"/>
                </w:rPr>
                <w:t>. Retrieved from WalesOnline: https://www.walesonline.co.uk/news/education/parents-home-educating-children-wales-14110054</w:t>
              </w:r>
            </w:p>
            <w:p w:rsidR="0019446C" w:rsidRDefault="0019446C" w:rsidP="0019446C">
              <w:pPr>
                <w:pStyle w:val="Bibliography"/>
                <w:ind w:left="720" w:hanging="720"/>
                <w:rPr>
                  <w:noProof/>
                  <w:lang w:val="en-US"/>
                </w:rPr>
              </w:pPr>
              <w:r>
                <w:rPr>
                  <w:noProof/>
                  <w:lang w:val="en-US"/>
                </w:rPr>
                <w:t xml:space="preserve">Wightwick, A. (2018, April 2). </w:t>
              </w:r>
              <w:r>
                <w:rPr>
                  <w:i/>
                  <w:iCs/>
                  <w:noProof/>
                  <w:lang w:val="en-US"/>
                </w:rPr>
                <w:t>Some teachers in Wales have been off work for years with stress</w:t>
              </w:r>
              <w:r>
                <w:rPr>
                  <w:noProof/>
                  <w:lang w:val="en-US"/>
                </w:rPr>
                <w:t>. Retrieved from Wales Online: https://www.walesonline.co.uk/news/education/teachers-wales-been-work-years-14481510</w:t>
              </w:r>
            </w:p>
            <w:p w:rsidR="0019446C" w:rsidRDefault="0019446C" w:rsidP="0019446C">
              <w:pPr>
                <w:pStyle w:val="Bibliography"/>
                <w:ind w:left="720" w:hanging="720"/>
                <w:rPr>
                  <w:noProof/>
                  <w:lang w:val="en-US"/>
                </w:rPr>
              </w:pPr>
              <w:r>
                <w:rPr>
                  <w:noProof/>
                  <w:lang w:val="en-US"/>
                </w:rPr>
                <w:t xml:space="preserve">Williams, E., &amp; Doyle, R. (2016). </w:t>
              </w:r>
              <w:r>
                <w:rPr>
                  <w:i/>
                  <w:iCs/>
                  <w:noProof/>
                  <w:lang w:val="en-US"/>
                </w:rPr>
                <w:t>Rural Poverty in Wales: Existing Research and Evidence Gaps.</w:t>
              </w:r>
              <w:r>
                <w:rPr>
                  <w:noProof/>
                  <w:lang w:val="en-US"/>
                </w:rPr>
                <w:t xml:space="preserve"> Wales: Public Policy Institute for Wales.</w:t>
              </w:r>
            </w:p>
            <w:p w:rsidR="009227A6" w:rsidRDefault="009227A6" w:rsidP="0019446C">
              <w:r>
                <w:rPr>
                  <w:b/>
                  <w:bCs/>
                  <w:noProof/>
                </w:rPr>
                <w:fldChar w:fldCharType="end"/>
              </w:r>
            </w:p>
          </w:sdtContent>
        </w:sdt>
      </w:sdtContent>
    </w:sdt>
    <w:p w:rsidR="009227A6" w:rsidRPr="0089619D" w:rsidRDefault="009227A6" w:rsidP="005F5330"/>
    <w:sectPr w:rsidR="009227A6" w:rsidRPr="008961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7D05" w:rsidRDefault="00087D05" w:rsidP="00892D1A">
      <w:pPr>
        <w:spacing w:after="0" w:line="240" w:lineRule="auto"/>
      </w:pPr>
      <w:r>
        <w:separator/>
      </w:r>
    </w:p>
  </w:endnote>
  <w:endnote w:type="continuationSeparator" w:id="0">
    <w:p w:rsidR="00087D05" w:rsidRDefault="00087D05" w:rsidP="00892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7D05" w:rsidRDefault="00087D05" w:rsidP="00892D1A">
      <w:pPr>
        <w:spacing w:after="0" w:line="240" w:lineRule="auto"/>
      </w:pPr>
      <w:r>
        <w:separator/>
      </w:r>
    </w:p>
  </w:footnote>
  <w:footnote w:type="continuationSeparator" w:id="0">
    <w:p w:rsidR="00087D05" w:rsidRDefault="00087D05" w:rsidP="00892D1A">
      <w:pPr>
        <w:spacing w:after="0" w:line="240" w:lineRule="auto"/>
      </w:pPr>
      <w:r>
        <w:continuationSeparator/>
      </w:r>
    </w:p>
  </w:footnote>
  <w:footnote w:id="1">
    <w:p w:rsidR="000445F5" w:rsidRPr="007764D1" w:rsidRDefault="000445F5" w:rsidP="000445F5">
      <w:pPr>
        <w:pStyle w:val="NoSpacing"/>
        <w:rPr>
          <w:noProof/>
          <w:sz w:val="18"/>
          <w:szCs w:val="18"/>
          <w:lang w:val="en-US"/>
        </w:rPr>
      </w:pPr>
      <w:r w:rsidRPr="007764D1">
        <w:rPr>
          <w:rStyle w:val="FootnoteReference"/>
          <w:sz w:val="18"/>
          <w:szCs w:val="18"/>
        </w:rPr>
        <w:footnoteRef/>
      </w:r>
      <w:r w:rsidRPr="007764D1">
        <w:rPr>
          <w:sz w:val="18"/>
          <w:szCs w:val="18"/>
        </w:rPr>
        <w:t xml:space="preserve"> </w:t>
      </w:r>
      <w:r w:rsidRPr="007764D1">
        <w:rPr>
          <w:i/>
          <w:iCs/>
          <w:noProof/>
          <w:sz w:val="18"/>
          <w:szCs w:val="18"/>
          <w:lang w:val="en-US"/>
        </w:rPr>
        <w:t>Education Act 1996</w:t>
      </w:r>
      <w:r w:rsidRPr="007764D1">
        <w:rPr>
          <w:noProof/>
          <w:sz w:val="18"/>
          <w:szCs w:val="18"/>
          <w:lang w:val="en-US"/>
        </w:rPr>
        <w:t xml:space="preserve">. (1996). Retrieved from Legislation Gov UK: </w:t>
      </w:r>
      <w:hyperlink r:id="rId1" w:history="1">
        <w:r w:rsidRPr="007764D1">
          <w:rPr>
            <w:rStyle w:val="Hyperlink"/>
            <w:noProof/>
            <w:sz w:val="18"/>
            <w:szCs w:val="18"/>
            <w:lang w:val="en-US"/>
          </w:rPr>
          <w:t>https://www.legislation.gov.uk/ukpga/1996/56/section/7</w:t>
        </w:r>
      </w:hyperlink>
      <w:r w:rsidRPr="007764D1">
        <w:rPr>
          <w:noProof/>
          <w:sz w:val="18"/>
          <w:szCs w:val="18"/>
          <w:lang w:val="en-US"/>
        </w:rPr>
        <w:t xml:space="preserve"> (accessed 29/03/2019)</w:t>
      </w:r>
    </w:p>
  </w:footnote>
  <w:footnote w:id="2">
    <w:p w:rsidR="008C2FCE" w:rsidRPr="007764D1" w:rsidRDefault="008C2FCE" w:rsidP="007764D1">
      <w:pPr>
        <w:pStyle w:val="NoSpacing"/>
        <w:rPr>
          <w:noProof/>
          <w:sz w:val="18"/>
          <w:szCs w:val="18"/>
          <w:lang w:val="en-US"/>
        </w:rPr>
      </w:pPr>
      <w:r w:rsidRPr="007764D1">
        <w:rPr>
          <w:rStyle w:val="FootnoteReference"/>
          <w:sz w:val="18"/>
          <w:szCs w:val="18"/>
        </w:rPr>
        <w:footnoteRef/>
      </w:r>
      <w:r w:rsidRPr="007764D1">
        <w:rPr>
          <w:sz w:val="18"/>
          <w:szCs w:val="18"/>
        </w:rPr>
        <w:t xml:space="preserve"> Statistics for </w:t>
      </w:r>
      <w:r w:rsidRPr="007764D1">
        <w:rPr>
          <w:noProof/>
          <w:sz w:val="18"/>
          <w:szCs w:val="18"/>
          <w:lang w:val="en-US"/>
        </w:rPr>
        <w:t xml:space="preserve">Wales (2018) </w:t>
      </w:r>
      <w:r w:rsidRPr="007764D1">
        <w:rPr>
          <w:i/>
          <w:iCs/>
          <w:noProof/>
          <w:sz w:val="18"/>
          <w:szCs w:val="18"/>
          <w:lang w:val="en-US"/>
        </w:rPr>
        <w:t>Pupils educated other than at school, 2017/18.</w:t>
      </w:r>
      <w:r w:rsidRPr="007764D1">
        <w:rPr>
          <w:noProof/>
          <w:sz w:val="18"/>
          <w:szCs w:val="18"/>
          <w:lang w:val="en-US"/>
        </w:rPr>
        <w:t xml:space="preserve"> Welsh Assembly Government.</w:t>
      </w:r>
      <w:r w:rsidR="007764D1" w:rsidRPr="007764D1">
        <w:rPr>
          <w:noProof/>
          <w:sz w:val="18"/>
          <w:szCs w:val="18"/>
          <w:lang w:val="en-US"/>
        </w:rPr>
        <w:t xml:space="preserve"> pp.14</w:t>
      </w:r>
    </w:p>
  </w:footnote>
  <w:footnote w:id="3">
    <w:p w:rsidR="008C2FCE" w:rsidRPr="00162B9F" w:rsidRDefault="008C2FCE" w:rsidP="007764D1">
      <w:pPr>
        <w:pStyle w:val="NoSpacing"/>
        <w:rPr>
          <w:noProof/>
          <w:lang w:val="en-US"/>
        </w:rPr>
      </w:pPr>
      <w:r w:rsidRPr="007764D1">
        <w:rPr>
          <w:rStyle w:val="FootnoteReference"/>
          <w:sz w:val="18"/>
          <w:szCs w:val="18"/>
        </w:rPr>
        <w:footnoteRef/>
      </w:r>
      <w:r w:rsidRPr="007764D1">
        <w:rPr>
          <w:sz w:val="18"/>
          <w:szCs w:val="18"/>
        </w:rPr>
        <w:t xml:space="preserve"> Paulo </w:t>
      </w:r>
      <w:r w:rsidRPr="007764D1">
        <w:rPr>
          <w:noProof/>
          <w:sz w:val="18"/>
          <w:szCs w:val="18"/>
          <w:lang w:val="en-US"/>
        </w:rPr>
        <w:t xml:space="preserve">Freire (1996) </w:t>
      </w:r>
      <w:r w:rsidRPr="007764D1">
        <w:rPr>
          <w:i/>
          <w:iCs/>
          <w:noProof/>
          <w:sz w:val="18"/>
          <w:szCs w:val="18"/>
          <w:lang w:val="en-US"/>
        </w:rPr>
        <w:t>Pedagogy of the Oppressed.</w:t>
      </w:r>
      <w:r w:rsidRPr="007764D1">
        <w:rPr>
          <w:noProof/>
          <w:sz w:val="18"/>
          <w:szCs w:val="18"/>
          <w:lang w:val="en-US"/>
        </w:rPr>
        <w:t xml:space="preserve"> pp.59</w:t>
      </w:r>
    </w:p>
  </w:footnote>
  <w:footnote w:id="4">
    <w:p w:rsidR="00162B9F" w:rsidRPr="00162B9F" w:rsidRDefault="00162B9F">
      <w:pPr>
        <w:pStyle w:val="FootnoteText"/>
        <w:rPr>
          <w:i/>
          <w:sz w:val="18"/>
          <w:szCs w:val="18"/>
        </w:rPr>
      </w:pPr>
      <w:r w:rsidRPr="00162B9F">
        <w:rPr>
          <w:rStyle w:val="FootnoteReference"/>
          <w:sz w:val="18"/>
          <w:szCs w:val="18"/>
        </w:rPr>
        <w:footnoteRef/>
      </w:r>
      <w:r w:rsidRPr="00162B9F">
        <w:rPr>
          <w:sz w:val="18"/>
          <w:szCs w:val="18"/>
        </w:rPr>
        <w:t xml:space="preserve"> Jo</w:t>
      </w:r>
      <w:r>
        <w:rPr>
          <w:sz w:val="18"/>
          <w:szCs w:val="18"/>
        </w:rPr>
        <w:t xml:space="preserve">hn Taylor </w:t>
      </w:r>
      <w:proofErr w:type="spellStart"/>
      <w:r>
        <w:rPr>
          <w:sz w:val="18"/>
          <w:szCs w:val="18"/>
        </w:rPr>
        <w:t>Gatto</w:t>
      </w:r>
      <w:proofErr w:type="spellEnd"/>
      <w:r>
        <w:rPr>
          <w:sz w:val="18"/>
          <w:szCs w:val="18"/>
        </w:rPr>
        <w:t xml:space="preserve"> (1992) </w:t>
      </w:r>
      <w:r>
        <w:rPr>
          <w:i/>
          <w:sz w:val="18"/>
          <w:szCs w:val="18"/>
        </w:rPr>
        <w:t>The Seven Lesson School Teacher</w:t>
      </w:r>
    </w:p>
  </w:footnote>
  <w:footnote w:id="5">
    <w:p w:rsidR="008C2FCE" w:rsidRPr="00162B9F" w:rsidRDefault="008C2FCE" w:rsidP="007122AA">
      <w:pPr>
        <w:pStyle w:val="NoSpacing"/>
        <w:rPr>
          <w:noProof/>
          <w:sz w:val="18"/>
          <w:szCs w:val="18"/>
          <w:lang w:val="en-US"/>
        </w:rPr>
      </w:pPr>
      <w:r w:rsidRPr="00162B9F">
        <w:rPr>
          <w:rStyle w:val="FootnoteReference"/>
          <w:sz w:val="18"/>
          <w:szCs w:val="18"/>
        </w:rPr>
        <w:footnoteRef/>
      </w:r>
      <w:r w:rsidRPr="00162B9F">
        <w:rPr>
          <w:sz w:val="18"/>
          <w:szCs w:val="18"/>
        </w:rPr>
        <w:t xml:space="preserve"> John </w:t>
      </w:r>
      <w:r w:rsidRPr="00162B9F">
        <w:rPr>
          <w:noProof/>
          <w:sz w:val="18"/>
          <w:szCs w:val="18"/>
          <w:lang w:val="en-US"/>
        </w:rPr>
        <w:t xml:space="preserve">Holt (1981) </w:t>
      </w:r>
      <w:r w:rsidRPr="00162B9F">
        <w:rPr>
          <w:i/>
          <w:iCs/>
          <w:noProof/>
          <w:sz w:val="18"/>
          <w:szCs w:val="18"/>
          <w:lang w:val="en-US"/>
        </w:rPr>
        <w:t>Mothering</w:t>
      </w:r>
    </w:p>
  </w:footnote>
  <w:footnote w:id="6">
    <w:p w:rsidR="008C2FCE" w:rsidRPr="00162B9F" w:rsidRDefault="008C2FCE" w:rsidP="007122AA">
      <w:pPr>
        <w:pStyle w:val="NoSpacing"/>
        <w:rPr>
          <w:sz w:val="18"/>
          <w:szCs w:val="18"/>
        </w:rPr>
      </w:pPr>
      <w:r w:rsidRPr="00162B9F">
        <w:rPr>
          <w:rStyle w:val="FootnoteReference"/>
          <w:sz w:val="18"/>
          <w:szCs w:val="18"/>
        </w:rPr>
        <w:footnoteRef/>
      </w:r>
      <w:r w:rsidRPr="00162B9F">
        <w:rPr>
          <w:sz w:val="18"/>
          <w:szCs w:val="18"/>
        </w:rPr>
        <w:t xml:space="preserve"> John Taylor </w:t>
      </w:r>
      <w:proofErr w:type="spellStart"/>
      <w:r w:rsidRPr="00162B9F">
        <w:rPr>
          <w:sz w:val="18"/>
          <w:szCs w:val="18"/>
        </w:rPr>
        <w:t>Gatto</w:t>
      </w:r>
      <w:proofErr w:type="spellEnd"/>
      <w:r w:rsidRPr="00162B9F">
        <w:rPr>
          <w:sz w:val="18"/>
          <w:szCs w:val="18"/>
        </w:rPr>
        <w:t xml:space="preserve"> (2001) </w:t>
      </w:r>
      <w:r w:rsidRPr="00162B9F">
        <w:rPr>
          <w:i/>
          <w:iCs/>
          <w:noProof/>
          <w:sz w:val="18"/>
          <w:szCs w:val="18"/>
          <w:lang w:val="en-US"/>
        </w:rPr>
        <w:t>A Different Kind of Teacher.</w:t>
      </w:r>
      <w:r w:rsidRPr="00162B9F">
        <w:rPr>
          <w:iCs/>
          <w:noProof/>
          <w:sz w:val="18"/>
          <w:szCs w:val="18"/>
          <w:lang w:val="en-US"/>
        </w:rPr>
        <w:t xml:space="preserve"> pp. 27</w:t>
      </w:r>
    </w:p>
  </w:footnote>
  <w:footnote w:id="7">
    <w:p w:rsidR="008C2FCE" w:rsidRPr="00162B9F" w:rsidRDefault="008C2FCE" w:rsidP="007764D1">
      <w:pPr>
        <w:pStyle w:val="NoSpacing"/>
        <w:rPr>
          <w:sz w:val="18"/>
          <w:szCs w:val="18"/>
        </w:rPr>
      </w:pPr>
      <w:r w:rsidRPr="00162B9F">
        <w:rPr>
          <w:rStyle w:val="FootnoteReference"/>
          <w:sz w:val="18"/>
          <w:szCs w:val="18"/>
        </w:rPr>
        <w:footnoteRef/>
      </w:r>
      <w:r w:rsidRPr="00162B9F">
        <w:rPr>
          <w:sz w:val="18"/>
          <w:szCs w:val="18"/>
        </w:rPr>
        <w:t xml:space="preserve"> </w:t>
      </w:r>
      <w:r w:rsidRPr="00162B9F">
        <w:rPr>
          <w:i/>
          <w:iCs/>
          <w:noProof/>
          <w:sz w:val="18"/>
          <w:szCs w:val="18"/>
          <w:lang w:val="en-US"/>
        </w:rPr>
        <w:t>Facts Map</w:t>
      </w:r>
      <w:r w:rsidRPr="00162B9F">
        <w:rPr>
          <w:noProof/>
          <w:sz w:val="18"/>
          <w:szCs w:val="18"/>
          <w:lang w:val="en-US"/>
        </w:rPr>
        <w:t xml:space="preserve"> (2018). </w:t>
      </w:r>
      <w:r w:rsidR="00585D52" w:rsidRPr="00162B9F">
        <w:rPr>
          <w:noProof/>
          <w:sz w:val="18"/>
          <w:szCs w:val="18"/>
          <w:lang w:val="en-US"/>
        </w:rPr>
        <w:t xml:space="preserve">Retrieved from PISA </w:t>
      </w:r>
      <w:hyperlink r:id="rId2" w:history="1">
        <w:r w:rsidR="00585D52" w:rsidRPr="00162B9F">
          <w:rPr>
            <w:rStyle w:val="Hyperlink"/>
            <w:i/>
            <w:noProof/>
            <w:sz w:val="18"/>
            <w:szCs w:val="18"/>
            <w:lang w:val="en-US"/>
          </w:rPr>
          <w:t>http://factsmaps.com/pisa-worldwide-ranking-average-score-of-math-science-reading/</w:t>
        </w:r>
      </w:hyperlink>
      <w:r w:rsidR="007764D1">
        <w:rPr>
          <w:rStyle w:val="Hyperlink"/>
          <w:i/>
          <w:noProof/>
          <w:sz w:val="18"/>
          <w:szCs w:val="18"/>
          <w:lang w:val="en-US"/>
        </w:rPr>
        <w:t xml:space="preserve"> </w:t>
      </w:r>
      <w:r w:rsidR="00585D52" w:rsidRPr="00162B9F">
        <w:rPr>
          <w:i/>
          <w:noProof/>
          <w:sz w:val="18"/>
          <w:szCs w:val="18"/>
          <w:lang w:val="en-US"/>
        </w:rPr>
        <w:t xml:space="preserve"> </w:t>
      </w:r>
      <w:r w:rsidR="007764D1">
        <w:rPr>
          <w:noProof/>
          <w:sz w:val="18"/>
          <w:szCs w:val="18"/>
          <w:lang w:val="en-US"/>
        </w:rPr>
        <w:t>(accessed on 30/03/2019)</w:t>
      </w:r>
    </w:p>
  </w:footnote>
  <w:footnote w:id="8">
    <w:p w:rsidR="007122AA" w:rsidRPr="00861303" w:rsidRDefault="007122AA" w:rsidP="00861303">
      <w:pPr>
        <w:pStyle w:val="Bibliography"/>
        <w:ind w:left="720" w:hanging="720"/>
        <w:rPr>
          <w:noProof/>
          <w:sz w:val="18"/>
          <w:szCs w:val="18"/>
          <w:lang w:val="en-US"/>
        </w:rPr>
      </w:pPr>
      <w:r w:rsidRPr="00162B9F">
        <w:rPr>
          <w:rStyle w:val="FootnoteReference"/>
          <w:sz w:val="18"/>
          <w:szCs w:val="18"/>
        </w:rPr>
        <w:footnoteRef/>
      </w:r>
      <w:r w:rsidRPr="00162B9F">
        <w:rPr>
          <w:sz w:val="18"/>
          <w:szCs w:val="18"/>
        </w:rPr>
        <w:t xml:space="preserve"> </w:t>
      </w:r>
      <w:r w:rsidRPr="00162B9F">
        <w:rPr>
          <w:noProof/>
          <w:sz w:val="18"/>
          <w:szCs w:val="18"/>
          <w:lang w:val="en-US"/>
        </w:rPr>
        <w:t xml:space="preserve">Donaldson, P. G. (2015). </w:t>
      </w:r>
      <w:r w:rsidRPr="00162B9F">
        <w:rPr>
          <w:i/>
          <w:iCs/>
          <w:noProof/>
          <w:sz w:val="18"/>
          <w:szCs w:val="18"/>
          <w:lang w:val="en-US"/>
        </w:rPr>
        <w:t>Successful Futures: Independent Review of Curriculum and Assessment Arrangements in Wales.</w:t>
      </w:r>
    </w:p>
  </w:footnote>
  <w:footnote w:id="9">
    <w:p w:rsidR="00D72D03" w:rsidRPr="00D72D03" w:rsidRDefault="00D72D03" w:rsidP="00D72D03">
      <w:pPr>
        <w:pStyle w:val="NoSpacing"/>
        <w:rPr>
          <w:noProof/>
          <w:sz w:val="18"/>
          <w:szCs w:val="18"/>
          <w:lang w:val="en-US"/>
        </w:rPr>
      </w:pPr>
      <w:r w:rsidRPr="00D72D03">
        <w:rPr>
          <w:rStyle w:val="FootnoteReference"/>
          <w:sz w:val="18"/>
          <w:szCs w:val="18"/>
        </w:rPr>
        <w:footnoteRef/>
      </w:r>
      <w:r w:rsidRPr="00D72D03">
        <w:rPr>
          <w:sz w:val="18"/>
          <w:szCs w:val="18"/>
        </w:rPr>
        <w:t xml:space="preserve"> </w:t>
      </w:r>
      <w:r w:rsidRPr="00D72D03">
        <w:rPr>
          <w:i/>
          <w:iCs/>
          <w:noProof/>
          <w:sz w:val="18"/>
          <w:szCs w:val="18"/>
          <w:lang w:val="en-US"/>
        </w:rPr>
        <w:t>NUT Cymru Respond to Estyn Report</w:t>
      </w:r>
      <w:r w:rsidRPr="00D72D03">
        <w:rPr>
          <w:noProof/>
          <w:sz w:val="18"/>
          <w:szCs w:val="18"/>
          <w:lang w:val="en-US"/>
        </w:rPr>
        <w:t xml:space="preserve"> (2017) Retrieved from National Education Union: </w:t>
      </w:r>
      <w:hyperlink r:id="rId3" w:history="1">
        <w:r w:rsidRPr="00D72D03">
          <w:rPr>
            <w:rStyle w:val="Hyperlink"/>
            <w:noProof/>
            <w:sz w:val="18"/>
            <w:szCs w:val="18"/>
            <w:lang w:val="en-US"/>
          </w:rPr>
          <w:t>https://www.teachers.org.uk/news-events/press-releases-wales/nut-cymru-respond-to-estyn-report</w:t>
        </w:r>
      </w:hyperlink>
      <w:r w:rsidRPr="00D72D03">
        <w:rPr>
          <w:noProof/>
          <w:sz w:val="18"/>
          <w:szCs w:val="18"/>
          <w:lang w:val="en-US"/>
        </w:rPr>
        <w:t xml:space="preserve"> (accessed 29/03/2019)</w:t>
      </w:r>
    </w:p>
  </w:footnote>
  <w:footnote w:id="10">
    <w:p w:rsidR="00246D6A" w:rsidRPr="00D72D03" w:rsidRDefault="00246D6A" w:rsidP="00D72D03">
      <w:pPr>
        <w:pStyle w:val="NoSpacing"/>
        <w:rPr>
          <w:noProof/>
          <w:sz w:val="18"/>
          <w:szCs w:val="18"/>
          <w:lang w:val="en-US"/>
        </w:rPr>
      </w:pPr>
      <w:r w:rsidRPr="00D72D03">
        <w:rPr>
          <w:rStyle w:val="FootnoteReference"/>
          <w:sz w:val="18"/>
          <w:szCs w:val="18"/>
        </w:rPr>
        <w:footnoteRef/>
      </w:r>
      <w:r w:rsidRPr="00D72D03">
        <w:rPr>
          <w:sz w:val="18"/>
          <w:szCs w:val="18"/>
        </w:rPr>
        <w:t xml:space="preserve"> Andrew P. </w:t>
      </w:r>
      <w:r w:rsidRPr="00D72D03">
        <w:rPr>
          <w:noProof/>
          <w:sz w:val="18"/>
          <w:szCs w:val="18"/>
          <w:lang w:val="en-US"/>
        </w:rPr>
        <w:t xml:space="preserve">Johnson (2014) An Overview of Learning, Educating and Teaching for Preservice Teachers. In </w:t>
      </w:r>
      <w:r w:rsidRPr="00D72D03">
        <w:rPr>
          <w:i/>
          <w:iCs/>
          <w:noProof/>
          <w:sz w:val="18"/>
          <w:szCs w:val="18"/>
          <w:lang w:val="en-US"/>
        </w:rPr>
        <w:t xml:space="preserve">Education Psychology: Theories of Learning and Human Development. </w:t>
      </w:r>
      <w:r w:rsidRPr="00D72D03">
        <w:rPr>
          <w:iCs/>
          <w:noProof/>
          <w:sz w:val="18"/>
          <w:szCs w:val="18"/>
          <w:lang w:val="en-US"/>
        </w:rPr>
        <w:t>pp.1</w:t>
      </w:r>
    </w:p>
  </w:footnote>
  <w:footnote w:id="11">
    <w:p w:rsidR="007122AA" w:rsidRPr="00D72D03" w:rsidRDefault="007122AA" w:rsidP="00D72D03">
      <w:pPr>
        <w:pStyle w:val="NoSpacing"/>
        <w:rPr>
          <w:noProof/>
          <w:sz w:val="18"/>
          <w:szCs w:val="18"/>
          <w:lang w:val="en-US"/>
        </w:rPr>
      </w:pPr>
      <w:r w:rsidRPr="00D72D03">
        <w:rPr>
          <w:rStyle w:val="FootnoteReference"/>
          <w:sz w:val="18"/>
          <w:szCs w:val="18"/>
        </w:rPr>
        <w:footnoteRef/>
      </w:r>
      <w:r w:rsidRPr="00D72D03">
        <w:rPr>
          <w:sz w:val="18"/>
          <w:szCs w:val="18"/>
        </w:rPr>
        <w:t xml:space="preserve"> </w:t>
      </w:r>
      <w:r w:rsidRPr="00D72D03">
        <w:rPr>
          <w:noProof/>
          <w:sz w:val="18"/>
          <w:szCs w:val="18"/>
          <w:lang w:val="en-US"/>
        </w:rPr>
        <w:t>Professor Graham Donaldson (2015) Successful Futures: Independent Review of Curriculum and Assessment Arrangements in Wales. pp. 39</w:t>
      </w:r>
    </w:p>
  </w:footnote>
  <w:footnote w:id="12">
    <w:p w:rsidR="00625829" w:rsidRPr="00D72D03" w:rsidRDefault="00625829" w:rsidP="00D72D03">
      <w:pPr>
        <w:pStyle w:val="NoSpacing"/>
        <w:rPr>
          <w:sz w:val="18"/>
          <w:szCs w:val="18"/>
        </w:rPr>
      </w:pPr>
      <w:r w:rsidRPr="00D72D03">
        <w:rPr>
          <w:rStyle w:val="FootnoteReference"/>
          <w:sz w:val="18"/>
          <w:szCs w:val="18"/>
        </w:rPr>
        <w:footnoteRef/>
      </w:r>
      <w:r w:rsidRPr="00D72D03">
        <w:rPr>
          <w:sz w:val="18"/>
          <w:szCs w:val="18"/>
        </w:rPr>
        <w:t xml:space="preserve"> Brian </w:t>
      </w:r>
      <w:proofErr w:type="spellStart"/>
      <w:r w:rsidRPr="00D72D03">
        <w:rPr>
          <w:sz w:val="18"/>
          <w:szCs w:val="18"/>
        </w:rPr>
        <w:t>Heshizer</w:t>
      </w:r>
      <w:proofErr w:type="spellEnd"/>
      <w:r w:rsidRPr="00D72D03">
        <w:rPr>
          <w:sz w:val="18"/>
          <w:szCs w:val="18"/>
        </w:rPr>
        <w:t xml:space="preserve"> &amp; Debra </w:t>
      </w:r>
      <w:proofErr w:type="spellStart"/>
      <w:r w:rsidRPr="00D72D03">
        <w:rPr>
          <w:sz w:val="18"/>
          <w:szCs w:val="18"/>
        </w:rPr>
        <w:t>Erdos</w:t>
      </w:r>
      <w:proofErr w:type="spellEnd"/>
      <w:r w:rsidRPr="00D72D03">
        <w:rPr>
          <w:sz w:val="18"/>
          <w:szCs w:val="18"/>
        </w:rPr>
        <w:t xml:space="preserve"> Knapp (2016)</w:t>
      </w:r>
      <w:r w:rsidRPr="00D72D03">
        <w:rPr>
          <w:noProof/>
          <w:sz w:val="18"/>
          <w:szCs w:val="18"/>
          <w:lang w:val="en-US"/>
        </w:rPr>
        <w:t xml:space="preserve"> Revisiting the Buffering Hypothesis: Social Support, Work Stressors, Stress Related Symptoms, and Negative Affectivity in a Sample of Public School Teachers, </w:t>
      </w:r>
      <w:r w:rsidRPr="00D72D03">
        <w:rPr>
          <w:i/>
          <w:noProof/>
          <w:sz w:val="18"/>
          <w:szCs w:val="18"/>
          <w:lang w:val="en-US"/>
        </w:rPr>
        <w:t>Open AccessLibrary Journal.</w:t>
      </w:r>
      <w:r w:rsidRPr="00D72D03">
        <w:rPr>
          <w:sz w:val="18"/>
          <w:szCs w:val="18"/>
        </w:rPr>
        <w:t xml:space="preserve"> pp. 3</w:t>
      </w:r>
    </w:p>
  </w:footnote>
  <w:footnote w:id="13">
    <w:p w:rsidR="00291A57" w:rsidRPr="00291A57" w:rsidRDefault="00291A57" w:rsidP="00D72D03">
      <w:pPr>
        <w:pStyle w:val="NoSpacing"/>
        <w:rPr>
          <w:noProof/>
          <w:lang w:val="en-US"/>
        </w:rPr>
      </w:pPr>
      <w:r w:rsidRPr="00D72D03">
        <w:rPr>
          <w:rStyle w:val="FootnoteReference"/>
          <w:sz w:val="18"/>
          <w:szCs w:val="18"/>
        </w:rPr>
        <w:footnoteRef/>
      </w:r>
      <w:r w:rsidRPr="00D72D03">
        <w:rPr>
          <w:sz w:val="18"/>
          <w:szCs w:val="18"/>
        </w:rPr>
        <w:t xml:space="preserve"> Alison </w:t>
      </w:r>
      <w:r w:rsidRPr="00D72D03">
        <w:rPr>
          <w:noProof/>
          <w:sz w:val="18"/>
          <w:szCs w:val="18"/>
          <w:lang w:val="en-US"/>
        </w:rPr>
        <w:t xml:space="preserve">Wightwick (2018) </w:t>
      </w:r>
      <w:r w:rsidRPr="00D72D03">
        <w:rPr>
          <w:i/>
          <w:iCs/>
          <w:noProof/>
          <w:sz w:val="18"/>
          <w:szCs w:val="18"/>
          <w:lang w:val="en-US"/>
        </w:rPr>
        <w:t>Some teachers in Wales have been off work for years with stress</w:t>
      </w:r>
      <w:r w:rsidRPr="00D72D03">
        <w:rPr>
          <w:noProof/>
          <w:sz w:val="18"/>
          <w:szCs w:val="18"/>
          <w:lang w:val="en-US"/>
        </w:rPr>
        <w:t xml:space="preserve">. Retrieved from Wales Online: </w:t>
      </w:r>
      <w:hyperlink r:id="rId4" w:history="1">
        <w:r w:rsidRPr="00D72D03">
          <w:rPr>
            <w:rStyle w:val="Hyperlink"/>
            <w:noProof/>
            <w:sz w:val="18"/>
            <w:szCs w:val="18"/>
            <w:lang w:val="en-US"/>
          </w:rPr>
          <w:t>https://www.walesonline.co.uk/news/education/teachers-wales-been-work-years-14481510</w:t>
        </w:r>
      </w:hyperlink>
      <w:r w:rsidRPr="00D72D03">
        <w:rPr>
          <w:noProof/>
          <w:sz w:val="18"/>
          <w:szCs w:val="18"/>
          <w:lang w:val="en-US"/>
        </w:rPr>
        <w:t xml:space="preserve"> (accessed 29/03/2019)</w:t>
      </w:r>
    </w:p>
  </w:footnote>
  <w:footnote w:id="14">
    <w:p w:rsidR="007122AA" w:rsidRPr="00625829" w:rsidRDefault="007122AA" w:rsidP="00291A57">
      <w:pPr>
        <w:pStyle w:val="NoSpacing"/>
        <w:rPr>
          <w:noProof/>
          <w:lang w:val="en-US"/>
        </w:rPr>
      </w:pPr>
      <w:r w:rsidRPr="00291A57">
        <w:rPr>
          <w:rStyle w:val="FootnoteReference"/>
          <w:sz w:val="18"/>
          <w:szCs w:val="18"/>
        </w:rPr>
        <w:footnoteRef/>
      </w:r>
      <w:r w:rsidRPr="00291A57">
        <w:rPr>
          <w:sz w:val="18"/>
          <w:szCs w:val="18"/>
        </w:rPr>
        <w:t xml:space="preserve"> Chris </w:t>
      </w:r>
      <w:r w:rsidRPr="00291A57">
        <w:rPr>
          <w:noProof/>
          <w:sz w:val="18"/>
          <w:szCs w:val="18"/>
          <w:lang w:val="en-US"/>
        </w:rPr>
        <w:t xml:space="preserve">Taylor (2018) </w:t>
      </w:r>
      <w:r w:rsidRPr="00291A57">
        <w:rPr>
          <w:i/>
          <w:iCs/>
          <w:noProof/>
          <w:sz w:val="18"/>
          <w:szCs w:val="18"/>
          <w:lang w:val="en-US"/>
        </w:rPr>
        <w:t>Geography of the 'New' Education Market: Secondary school choice in England and Wales.</w:t>
      </w:r>
      <w:r w:rsidRPr="00291A57">
        <w:rPr>
          <w:iCs/>
          <w:noProof/>
          <w:sz w:val="18"/>
          <w:szCs w:val="18"/>
          <w:lang w:val="en-US"/>
        </w:rPr>
        <w:t xml:space="preserve"> pp</w:t>
      </w:r>
      <w:r w:rsidRPr="00625829">
        <w:rPr>
          <w:iCs/>
          <w:noProof/>
          <w:lang w:val="en-US"/>
        </w:rPr>
        <w:t>. 1</w:t>
      </w:r>
    </w:p>
  </w:footnote>
  <w:footnote w:id="15">
    <w:p w:rsidR="007122AA" w:rsidRPr="00A12ADC" w:rsidRDefault="007122AA" w:rsidP="00A12ADC">
      <w:pPr>
        <w:pStyle w:val="NoSpacing"/>
        <w:rPr>
          <w:sz w:val="18"/>
          <w:szCs w:val="18"/>
        </w:rPr>
      </w:pPr>
      <w:r w:rsidRPr="00625829">
        <w:rPr>
          <w:rStyle w:val="FootnoteReference"/>
          <w:sz w:val="18"/>
          <w:szCs w:val="18"/>
        </w:rPr>
        <w:footnoteRef/>
      </w:r>
      <w:r w:rsidRPr="00625829">
        <w:rPr>
          <w:sz w:val="18"/>
          <w:szCs w:val="18"/>
        </w:rPr>
        <w:t xml:space="preserve"> </w:t>
      </w:r>
      <w:proofErr w:type="spellStart"/>
      <w:r w:rsidRPr="00625829">
        <w:rPr>
          <w:sz w:val="18"/>
          <w:szCs w:val="18"/>
        </w:rPr>
        <w:t>Dr.</w:t>
      </w:r>
      <w:proofErr w:type="spellEnd"/>
      <w:r w:rsidRPr="00625829">
        <w:rPr>
          <w:sz w:val="18"/>
          <w:szCs w:val="18"/>
        </w:rPr>
        <w:t xml:space="preserve"> Matthew </w:t>
      </w:r>
      <w:r w:rsidRPr="00625829">
        <w:rPr>
          <w:noProof/>
          <w:sz w:val="18"/>
          <w:szCs w:val="18"/>
          <w:lang w:val="en-US"/>
        </w:rPr>
        <w:t xml:space="preserve">Weldon (2018). </w:t>
      </w:r>
      <w:r w:rsidRPr="00625829">
        <w:rPr>
          <w:i/>
          <w:iCs/>
          <w:noProof/>
          <w:sz w:val="18"/>
          <w:szCs w:val="18"/>
          <w:lang w:val="en-US"/>
        </w:rPr>
        <w:t xml:space="preserve">Secondary School and Choice Selection: Insights from new national preferences data. </w:t>
      </w:r>
      <w:r w:rsidRPr="00625829">
        <w:rPr>
          <w:iCs/>
          <w:noProof/>
          <w:sz w:val="18"/>
          <w:szCs w:val="18"/>
          <w:lang w:val="en-US"/>
        </w:rPr>
        <w:t>pp. 6</w:t>
      </w:r>
    </w:p>
  </w:footnote>
  <w:footnote w:id="16">
    <w:p w:rsidR="00EA7BE2" w:rsidRPr="0005162F" w:rsidRDefault="00EA7BE2" w:rsidP="0005162F">
      <w:pPr>
        <w:pStyle w:val="NoSpacing"/>
        <w:rPr>
          <w:noProof/>
          <w:sz w:val="18"/>
          <w:szCs w:val="18"/>
          <w:lang w:val="en-US"/>
        </w:rPr>
      </w:pPr>
      <w:r w:rsidRPr="00A12ADC">
        <w:rPr>
          <w:rStyle w:val="FootnoteReference"/>
          <w:sz w:val="18"/>
          <w:szCs w:val="18"/>
        </w:rPr>
        <w:footnoteRef/>
      </w:r>
      <w:r w:rsidRPr="00A12ADC">
        <w:t xml:space="preserve"> </w:t>
      </w:r>
      <w:r w:rsidRPr="0005162F">
        <w:rPr>
          <w:sz w:val="18"/>
          <w:szCs w:val="18"/>
        </w:rPr>
        <w:t xml:space="preserve">Chris </w:t>
      </w:r>
      <w:r w:rsidRPr="0005162F">
        <w:rPr>
          <w:noProof/>
          <w:sz w:val="18"/>
          <w:szCs w:val="18"/>
          <w:lang w:val="en-US"/>
        </w:rPr>
        <w:t>Taylor (2018) Geography of the 'New' Education Market: Secondary school choice in England and Wales. pp. 2</w:t>
      </w:r>
    </w:p>
  </w:footnote>
  <w:footnote w:id="17">
    <w:p w:rsidR="003B669B" w:rsidRPr="00861303" w:rsidRDefault="003B669B" w:rsidP="0005162F">
      <w:pPr>
        <w:pStyle w:val="NoSpacing"/>
        <w:rPr>
          <w:sz w:val="18"/>
          <w:szCs w:val="18"/>
        </w:rPr>
      </w:pPr>
      <w:r w:rsidRPr="00861303">
        <w:rPr>
          <w:rStyle w:val="FootnoteReference"/>
          <w:sz w:val="18"/>
          <w:szCs w:val="18"/>
        </w:rPr>
        <w:footnoteRef/>
      </w:r>
      <w:r w:rsidRPr="00861303">
        <w:rPr>
          <w:sz w:val="18"/>
          <w:szCs w:val="18"/>
        </w:rPr>
        <w:t xml:space="preserve"> Emyr Williams &amp; </w:t>
      </w:r>
      <w:proofErr w:type="spellStart"/>
      <w:r w:rsidRPr="00861303">
        <w:rPr>
          <w:sz w:val="18"/>
          <w:szCs w:val="18"/>
        </w:rPr>
        <w:t>Rosaleen</w:t>
      </w:r>
      <w:proofErr w:type="spellEnd"/>
      <w:r w:rsidRPr="00861303">
        <w:rPr>
          <w:sz w:val="18"/>
          <w:szCs w:val="18"/>
        </w:rPr>
        <w:t xml:space="preserve"> Doyle (2016)</w:t>
      </w:r>
      <w:r w:rsidRPr="00861303">
        <w:rPr>
          <w:noProof/>
          <w:sz w:val="18"/>
          <w:szCs w:val="18"/>
          <w:lang w:val="en-US"/>
        </w:rPr>
        <w:t xml:space="preserve"> </w:t>
      </w:r>
      <w:r w:rsidRPr="00C40ECE">
        <w:rPr>
          <w:i/>
          <w:noProof/>
          <w:sz w:val="18"/>
          <w:szCs w:val="18"/>
          <w:lang w:val="en-US"/>
        </w:rPr>
        <w:t>Rural Poverty in Wales: Existing Research and Evidence Gaps</w:t>
      </w:r>
      <w:r w:rsidRPr="00861303">
        <w:rPr>
          <w:noProof/>
          <w:sz w:val="18"/>
          <w:szCs w:val="18"/>
          <w:lang w:val="en-US"/>
        </w:rPr>
        <w:t>.</w:t>
      </w:r>
      <w:r w:rsidRPr="00861303">
        <w:rPr>
          <w:sz w:val="18"/>
          <w:szCs w:val="18"/>
        </w:rPr>
        <w:t xml:space="preserve"> pp.11</w:t>
      </w:r>
    </w:p>
  </w:footnote>
  <w:footnote w:id="18">
    <w:p w:rsidR="00913DC7" w:rsidRPr="00861303" w:rsidRDefault="00913DC7" w:rsidP="0005162F">
      <w:pPr>
        <w:pStyle w:val="NoSpacing"/>
        <w:rPr>
          <w:sz w:val="18"/>
          <w:szCs w:val="18"/>
        </w:rPr>
      </w:pPr>
      <w:r w:rsidRPr="00861303">
        <w:rPr>
          <w:rStyle w:val="FootnoteReference"/>
          <w:sz w:val="18"/>
          <w:szCs w:val="18"/>
        </w:rPr>
        <w:footnoteRef/>
      </w:r>
      <w:r w:rsidRPr="00861303">
        <w:rPr>
          <w:sz w:val="18"/>
          <w:szCs w:val="18"/>
        </w:rPr>
        <w:t xml:space="preserve">  Emyr Williams &amp; </w:t>
      </w:r>
      <w:proofErr w:type="spellStart"/>
      <w:r w:rsidRPr="00861303">
        <w:rPr>
          <w:sz w:val="18"/>
          <w:szCs w:val="18"/>
        </w:rPr>
        <w:t>Rosaleen</w:t>
      </w:r>
      <w:proofErr w:type="spellEnd"/>
      <w:r w:rsidRPr="00861303">
        <w:rPr>
          <w:sz w:val="18"/>
          <w:szCs w:val="18"/>
        </w:rPr>
        <w:t xml:space="preserve"> Doyle (2016)</w:t>
      </w:r>
      <w:r w:rsidRPr="00861303">
        <w:rPr>
          <w:noProof/>
          <w:sz w:val="18"/>
          <w:szCs w:val="18"/>
          <w:lang w:val="en-US"/>
        </w:rPr>
        <w:t xml:space="preserve"> </w:t>
      </w:r>
      <w:r w:rsidRPr="00C40ECE">
        <w:rPr>
          <w:i/>
          <w:noProof/>
          <w:sz w:val="18"/>
          <w:szCs w:val="18"/>
          <w:lang w:val="en-US"/>
        </w:rPr>
        <w:t>Rural Poverty in Wales: Existing Research and Evidence Gaps</w:t>
      </w:r>
      <w:r w:rsidRPr="00861303">
        <w:rPr>
          <w:noProof/>
          <w:sz w:val="18"/>
          <w:szCs w:val="18"/>
          <w:lang w:val="en-US"/>
        </w:rPr>
        <w:t>.</w:t>
      </w:r>
      <w:r w:rsidRPr="00861303">
        <w:rPr>
          <w:sz w:val="18"/>
          <w:szCs w:val="18"/>
        </w:rPr>
        <w:t xml:space="preserve"> pp.7</w:t>
      </w:r>
      <w:r w:rsidR="008A69D8" w:rsidRPr="00861303">
        <w:rPr>
          <w:sz w:val="18"/>
          <w:szCs w:val="18"/>
        </w:rPr>
        <w:t>-8</w:t>
      </w:r>
    </w:p>
  </w:footnote>
  <w:footnote w:id="19">
    <w:p w:rsidR="00861303" w:rsidRPr="00861303" w:rsidRDefault="00861303" w:rsidP="00861303">
      <w:pPr>
        <w:pStyle w:val="Bibliography"/>
        <w:ind w:left="720" w:hanging="720"/>
        <w:rPr>
          <w:noProof/>
          <w:sz w:val="18"/>
          <w:szCs w:val="18"/>
          <w:lang w:val="en-US"/>
        </w:rPr>
      </w:pPr>
      <w:r w:rsidRPr="00861303">
        <w:rPr>
          <w:rStyle w:val="FootnoteReference"/>
          <w:sz w:val="18"/>
          <w:szCs w:val="18"/>
        </w:rPr>
        <w:footnoteRef/>
      </w:r>
      <w:r w:rsidRPr="00861303">
        <w:rPr>
          <w:sz w:val="18"/>
          <w:szCs w:val="18"/>
        </w:rPr>
        <w:t xml:space="preserve"> </w:t>
      </w:r>
      <w:r>
        <w:rPr>
          <w:sz w:val="18"/>
          <w:szCs w:val="18"/>
        </w:rPr>
        <w:t xml:space="preserve">Alistair James </w:t>
      </w:r>
      <w:r>
        <w:rPr>
          <w:noProof/>
          <w:sz w:val="18"/>
          <w:szCs w:val="18"/>
          <w:lang w:val="en-US"/>
        </w:rPr>
        <w:t>Scott, Alana Gilbert &amp; Ayele Gelan</w:t>
      </w:r>
      <w:r w:rsidRPr="00861303">
        <w:rPr>
          <w:noProof/>
          <w:sz w:val="18"/>
          <w:szCs w:val="18"/>
          <w:lang w:val="en-US"/>
        </w:rPr>
        <w:t xml:space="preserve"> (2007). </w:t>
      </w:r>
      <w:r w:rsidRPr="00861303">
        <w:rPr>
          <w:i/>
          <w:noProof/>
          <w:sz w:val="18"/>
          <w:szCs w:val="18"/>
          <w:lang w:val="en-US"/>
        </w:rPr>
        <w:t xml:space="preserve">The Urban-Rural Divide: Myth or Reality? </w:t>
      </w:r>
      <w:r>
        <w:rPr>
          <w:noProof/>
          <w:sz w:val="18"/>
          <w:szCs w:val="18"/>
          <w:lang w:val="en-US"/>
        </w:rPr>
        <w:t>pp.16</w:t>
      </w:r>
    </w:p>
  </w:footnote>
  <w:footnote w:id="20">
    <w:p w:rsidR="000655CE" w:rsidRPr="00861303" w:rsidRDefault="000655CE" w:rsidP="0005162F">
      <w:pPr>
        <w:pStyle w:val="NoSpacing"/>
        <w:rPr>
          <w:noProof/>
          <w:sz w:val="18"/>
          <w:szCs w:val="18"/>
          <w:lang w:val="en-US"/>
        </w:rPr>
      </w:pPr>
      <w:r w:rsidRPr="00861303">
        <w:rPr>
          <w:rStyle w:val="FootnoteReference"/>
          <w:sz w:val="18"/>
          <w:szCs w:val="18"/>
        </w:rPr>
        <w:footnoteRef/>
      </w:r>
      <w:r w:rsidRPr="00861303">
        <w:rPr>
          <w:sz w:val="18"/>
          <w:szCs w:val="18"/>
        </w:rPr>
        <w:t xml:space="preserve"> </w:t>
      </w:r>
      <w:r w:rsidR="0005162F" w:rsidRPr="00861303">
        <w:rPr>
          <w:sz w:val="18"/>
          <w:szCs w:val="18"/>
        </w:rPr>
        <w:t xml:space="preserve">UK </w:t>
      </w:r>
      <w:r w:rsidR="0005162F" w:rsidRPr="00861303">
        <w:rPr>
          <w:noProof/>
          <w:sz w:val="18"/>
          <w:szCs w:val="18"/>
          <w:lang w:val="en-US"/>
        </w:rPr>
        <w:t>Government (2013) Elective Home Education: Guidelines for Local Authorities. Department for Children, Schools and Families. pp. 4</w:t>
      </w:r>
      <w:r w:rsidR="00F51915" w:rsidRPr="00861303">
        <w:rPr>
          <w:noProof/>
          <w:sz w:val="18"/>
          <w:szCs w:val="18"/>
          <w:lang w:val="en-US"/>
        </w:rPr>
        <w:t>-5</w:t>
      </w:r>
    </w:p>
  </w:footnote>
  <w:footnote w:id="21">
    <w:p w:rsidR="00470BA4" w:rsidRPr="00861303" w:rsidRDefault="00470BA4">
      <w:pPr>
        <w:pStyle w:val="FootnoteText"/>
        <w:rPr>
          <w:sz w:val="18"/>
          <w:szCs w:val="18"/>
        </w:rPr>
      </w:pPr>
      <w:r w:rsidRPr="00861303">
        <w:rPr>
          <w:rStyle w:val="FootnoteReference"/>
          <w:sz w:val="18"/>
          <w:szCs w:val="18"/>
        </w:rPr>
        <w:footnoteRef/>
      </w:r>
      <w:r w:rsidRPr="00861303">
        <w:rPr>
          <w:sz w:val="18"/>
          <w:szCs w:val="18"/>
        </w:rPr>
        <w:t xml:space="preserve"> </w:t>
      </w:r>
    </w:p>
  </w:footnote>
  <w:footnote w:id="22">
    <w:p w:rsidR="00FF3216" w:rsidRPr="00861303" w:rsidRDefault="00FF3216" w:rsidP="00470BA4">
      <w:pPr>
        <w:pStyle w:val="NoSpacing"/>
        <w:rPr>
          <w:noProof/>
          <w:sz w:val="18"/>
          <w:szCs w:val="18"/>
          <w:lang w:val="en-US"/>
        </w:rPr>
      </w:pPr>
      <w:r w:rsidRPr="00861303">
        <w:rPr>
          <w:rStyle w:val="FootnoteReference"/>
          <w:sz w:val="18"/>
          <w:szCs w:val="18"/>
        </w:rPr>
        <w:footnoteRef/>
      </w:r>
      <w:r w:rsidRPr="00861303">
        <w:rPr>
          <w:sz w:val="18"/>
          <w:szCs w:val="18"/>
        </w:rPr>
        <w:t xml:space="preserve"> </w:t>
      </w:r>
      <w:proofErr w:type="spellStart"/>
      <w:r w:rsidRPr="00861303">
        <w:rPr>
          <w:sz w:val="18"/>
          <w:szCs w:val="18"/>
        </w:rPr>
        <w:t>Cyngor</w:t>
      </w:r>
      <w:proofErr w:type="spellEnd"/>
      <w:r w:rsidRPr="00861303">
        <w:rPr>
          <w:sz w:val="18"/>
          <w:szCs w:val="18"/>
        </w:rPr>
        <w:t xml:space="preserve"> Sir </w:t>
      </w:r>
      <w:r w:rsidRPr="00861303">
        <w:rPr>
          <w:noProof/>
          <w:sz w:val="18"/>
          <w:szCs w:val="18"/>
          <w:lang w:val="en-US"/>
        </w:rPr>
        <w:t xml:space="preserve">Ceredigion (2019). </w:t>
      </w:r>
      <w:r w:rsidRPr="00861303">
        <w:rPr>
          <w:i/>
          <w:iCs/>
          <w:noProof/>
          <w:sz w:val="18"/>
          <w:szCs w:val="18"/>
          <w:lang w:val="en-US"/>
        </w:rPr>
        <w:t>Primary Schools</w:t>
      </w:r>
      <w:r w:rsidRPr="00861303">
        <w:rPr>
          <w:noProof/>
          <w:sz w:val="18"/>
          <w:szCs w:val="18"/>
          <w:lang w:val="en-US"/>
        </w:rPr>
        <w:t xml:space="preserve">. Retrieved from Cynog Sir Ceredigion/Ceredigion County Council: </w:t>
      </w:r>
      <w:hyperlink r:id="rId5" w:history="1">
        <w:r w:rsidRPr="00861303">
          <w:rPr>
            <w:rStyle w:val="Hyperlink"/>
            <w:noProof/>
            <w:sz w:val="18"/>
            <w:szCs w:val="18"/>
            <w:lang w:val="en-US"/>
          </w:rPr>
          <w:t>https://www.ceredigion.gov.uk/resident/schools-education/school-information/primary-schools/</w:t>
        </w:r>
      </w:hyperlink>
      <w:r w:rsidRPr="00861303">
        <w:rPr>
          <w:noProof/>
          <w:sz w:val="18"/>
          <w:szCs w:val="18"/>
          <w:lang w:val="en-US"/>
        </w:rPr>
        <w:t xml:space="preserve"> (accessed 29/03/2019)</w:t>
      </w:r>
    </w:p>
  </w:footnote>
  <w:footnote w:id="23">
    <w:p w:rsidR="00FF3216" w:rsidRPr="000F2810" w:rsidRDefault="00FF3216" w:rsidP="00470BA4">
      <w:pPr>
        <w:pStyle w:val="NoSpacing"/>
        <w:rPr>
          <w:noProof/>
          <w:sz w:val="18"/>
          <w:szCs w:val="18"/>
          <w:lang w:val="en-US"/>
        </w:rPr>
      </w:pPr>
      <w:r w:rsidRPr="00861303">
        <w:rPr>
          <w:rStyle w:val="FootnoteReference"/>
          <w:sz w:val="18"/>
          <w:szCs w:val="18"/>
        </w:rPr>
        <w:footnoteRef/>
      </w:r>
      <w:r w:rsidRPr="00861303">
        <w:rPr>
          <w:sz w:val="18"/>
          <w:szCs w:val="18"/>
        </w:rPr>
        <w:t xml:space="preserve"> Cardiff County </w:t>
      </w:r>
      <w:r w:rsidRPr="00861303">
        <w:rPr>
          <w:noProof/>
          <w:sz w:val="18"/>
          <w:szCs w:val="18"/>
          <w:lang w:val="en-US"/>
        </w:rPr>
        <w:t xml:space="preserve">Council, (2019) </w:t>
      </w:r>
      <w:r w:rsidRPr="00861303">
        <w:rPr>
          <w:iCs/>
          <w:noProof/>
          <w:sz w:val="18"/>
          <w:szCs w:val="18"/>
          <w:lang w:val="en-US"/>
        </w:rPr>
        <w:t>Cardiff schools</w:t>
      </w:r>
      <w:r w:rsidRPr="00861303">
        <w:rPr>
          <w:noProof/>
          <w:sz w:val="18"/>
          <w:szCs w:val="18"/>
          <w:lang w:val="en-US"/>
        </w:rPr>
        <w:t xml:space="preserve">. Retrieved from Cardiff County Council: </w:t>
      </w:r>
      <w:hyperlink r:id="rId6" w:history="1">
        <w:r w:rsidRPr="00861303">
          <w:rPr>
            <w:rStyle w:val="Hyperlink"/>
            <w:noProof/>
            <w:sz w:val="18"/>
            <w:szCs w:val="18"/>
            <w:lang w:val="en-US"/>
          </w:rPr>
          <w:t>https://www.cardiff.gov.uk/ENG/resident/Schools-and-learning/Schools/Cardiff-schools/Pages/default.aspx</w:t>
        </w:r>
      </w:hyperlink>
      <w:r w:rsidRPr="00861303">
        <w:rPr>
          <w:noProof/>
          <w:sz w:val="18"/>
          <w:szCs w:val="18"/>
          <w:lang w:val="en-US"/>
        </w:rPr>
        <w:t xml:space="preserve"> (accessed 29/03/2019)</w:t>
      </w:r>
    </w:p>
  </w:footnote>
  <w:footnote w:id="24">
    <w:p w:rsidR="00470BA4" w:rsidRPr="000E71AD" w:rsidRDefault="00470BA4" w:rsidP="000E71AD">
      <w:pPr>
        <w:pStyle w:val="NoSpacing"/>
        <w:rPr>
          <w:noProof/>
          <w:sz w:val="18"/>
          <w:szCs w:val="18"/>
          <w:lang w:val="en-US"/>
        </w:rPr>
      </w:pPr>
      <w:r w:rsidRPr="000E71AD">
        <w:rPr>
          <w:rStyle w:val="FootnoteReference"/>
          <w:sz w:val="18"/>
          <w:szCs w:val="18"/>
        </w:rPr>
        <w:footnoteRef/>
      </w:r>
      <w:r w:rsidRPr="000E71AD">
        <w:rPr>
          <w:sz w:val="18"/>
          <w:szCs w:val="18"/>
        </w:rPr>
        <w:t xml:space="preserve"> Welsh </w:t>
      </w:r>
      <w:r w:rsidRPr="000E71AD">
        <w:rPr>
          <w:noProof/>
          <w:sz w:val="18"/>
          <w:szCs w:val="18"/>
          <w:lang w:val="en-US"/>
        </w:rPr>
        <w:t xml:space="preserve">Government (2018) </w:t>
      </w:r>
      <w:r w:rsidRPr="000E71AD">
        <w:rPr>
          <w:iCs/>
          <w:noProof/>
          <w:sz w:val="18"/>
          <w:szCs w:val="18"/>
          <w:lang w:val="en-US"/>
        </w:rPr>
        <w:t>Population estimates by local authority and year</w:t>
      </w:r>
      <w:r w:rsidRPr="000E71AD">
        <w:rPr>
          <w:noProof/>
          <w:sz w:val="18"/>
          <w:szCs w:val="18"/>
          <w:lang w:val="en-US"/>
        </w:rPr>
        <w:t xml:space="preserve">. Retrieved from Stats Wales: </w:t>
      </w:r>
      <w:hyperlink r:id="rId7" w:history="1">
        <w:r w:rsidRPr="000E71AD">
          <w:rPr>
            <w:rStyle w:val="Hyperlink"/>
            <w:noProof/>
            <w:sz w:val="18"/>
            <w:szCs w:val="18"/>
            <w:lang w:val="en-US"/>
          </w:rPr>
          <w:t>https://statswales.gov.wales/Catalogue/Population-and-Migration/Population/Estimates/Local-Authority/populationestimates-by-localauthority-year</w:t>
        </w:r>
      </w:hyperlink>
      <w:r w:rsidRPr="000E71AD">
        <w:rPr>
          <w:noProof/>
          <w:sz w:val="18"/>
          <w:szCs w:val="18"/>
          <w:lang w:val="en-US"/>
        </w:rPr>
        <w:t xml:space="preserve"> (accessed 29/03/2019)</w:t>
      </w:r>
    </w:p>
    <w:p w:rsidR="00470BA4" w:rsidRPr="000E71AD" w:rsidRDefault="00470BA4" w:rsidP="000E71AD">
      <w:pPr>
        <w:pStyle w:val="NoSpacing"/>
        <w:rPr>
          <w:sz w:val="18"/>
          <w:szCs w:val="18"/>
        </w:rPr>
      </w:pPr>
    </w:p>
  </w:footnote>
  <w:footnote w:id="25">
    <w:p w:rsidR="004A0246" w:rsidRPr="000E71AD" w:rsidRDefault="004A0246" w:rsidP="000E71AD">
      <w:pPr>
        <w:pStyle w:val="NoSpacing"/>
        <w:rPr>
          <w:sz w:val="18"/>
          <w:szCs w:val="18"/>
        </w:rPr>
      </w:pPr>
      <w:r w:rsidRPr="000E71AD">
        <w:rPr>
          <w:rStyle w:val="FootnoteReference"/>
          <w:sz w:val="18"/>
          <w:szCs w:val="18"/>
        </w:rPr>
        <w:footnoteRef/>
      </w:r>
      <w:r w:rsidRPr="000E71AD">
        <w:rPr>
          <w:sz w:val="18"/>
          <w:szCs w:val="18"/>
        </w:rPr>
        <w:t xml:space="preserve"> Welsh Assembly Government (2008) Welsh Index of Multiple Deprivation</w:t>
      </w:r>
    </w:p>
  </w:footnote>
  <w:footnote w:id="26">
    <w:p w:rsidR="000F2810" w:rsidRPr="000E71AD" w:rsidRDefault="000F2810" w:rsidP="000E71AD">
      <w:pPr>
        <w:pStyle w:val="NoSpacing"/>
        <w:rPr>
          <w:noProof/>
          <w:sz w:val="18"/>
          <w:szCs w:val="18"/>
          <w:lang w:val="en-US"/>
        </w:rPr>
      </w:pPr>
      <w:r w:rsidRPr="000E71AD">
        <w:rPr>
          <w:rStyle w:val="FootnoteReference"/>
          <w:sz w:val="18"/>
          <w:szCs w:val="18"/>
        </w:rPr>
        <w:footnoteRef/>
      </w:r>
      <w:r w:rsidRPr="000E71AD">
        <w:rPr>
          <w:sz w:val="18"/>
          <w:szCs w:val="18"/>
        </w:rPr>
        <w:t xml:space="preserve"> </w:t>
      </w:r>
      <w:proofErr w:type="spellStart"/>
      <w:r w:rsidRPr="000E71AD">
        <w:rPr>
          <w:sz w:val="18"/>
          <w:szCs w:val="18"/>
        </w:rPr>
        <w:t>Siân</w:t>
      </w:r>
      <w:proofErr w:type="spellEnd"/>
      <w:r w:rsidRPr="000E71AD">
        <w:rPr>
          <w:sz w:val="18"/>
          <w:szCs w:val="18"/>
        </w:rPr>
        <w:t xml:space="preserve"> </w:t>
      </w:r>
      <w:r w:rsidRPr="000E71AD">
        <w:rPr>
          <w:noProof/>
          <w:sz w:val="18"/>
          <w:szCs w:val="18"/>
          <w:lang w:val="en-US"/>
        </w:rPr>
        <w:t xml:space="preserve">Hughes (2016) </w:t>
      </w:r>
      <w:r w:rsidRPr="000E71AD">
        <w:rPr>
          <w:i/>
          <w:iCs/>
          <w:noProof/>
          <w:sz w:val="18"/>
          <w:szCs w:val="18"/>
          <w:lang w:val="en-US"/>
        </w:rPr>
        <w:t>Research Briefing: Home to school transport - a guide for constituents.</w:t>
      </w:r>
      <w:r w:rsidRPr="000E71AD">
        <w:rPr>
          <w:noProof/>
          <w:sz w:val="18"/>
          <w:szCs w:val="18"/>
          <w:lang w:val="en-US"/>
        </w:rPr>
        <w:t xml:space="preserve"> Cardiff: National Assembly for Wales. pp.1-2</w:t>
      </w:r>
    </w:p>
  </w:footnote>
  <w:footnote w:id="27">
    <w:p w:rsidR="009034B9" w:rsidRPr="000E71AD" w:rsidRDefault="009034B9" w:rsidP="000E71AD">
      <w:pPr>
        <w:pStyle w:val="NoSpacing"/>
        <w:rPr>
          <w:sz w:val="18"/>
          <w:szCs w:val="18"/>
        </w:rPr>
      </w:pPr>
      <w:r w:rsidRPr="000E71AD">
        <w:rPr>
          <w:rStyle w:val="FootnoteReference"/>
          <w:sz w:val="18"/>
          <w:szCs w:val="18"/>
        </w:rPr>
        <w:footnoteRef/>
      </w:r>
      <w:r w:rsidRPr="000E71AD">
        <w:rPr>
          <w:sz w:val="18"/>
          <w:szCs w:val="18"/>
        </w:rPr>
        <w:t xml:space="preserve"> WIMD (2014) </w:t>
      </w:r>
      <w:r w:rsidRPr="000E71AD">
        <w:rPr>
          <w:i/>
          <w:sz w:val="18"/>
          <w:szCs w:val="18"/>
        </w:rPr>
        <w:t>Map of Education Deprivation,</w:t>
      </w:r>
      <w:r w:rsidRPr="000E71AD">
        <w:rPr>
          <w:sz w:val="18"/>
          <w:szCs w:val="18"/>
        </w:rPr>
        <w:t xml:space="preserve"> available on </w:t>
      </w:r>
      <w:hyperlink r:id="rId8" w:history="1">
        <w:r w:rsidRPr="000E71AD">
          <w:rPr>
            <w:rStyle w:val="Hyperlink"/>
            <w:sz w:val="18"/>
            <w:szCs w:val="18"/>
          </w:rPr>
          <w:t>https://statswales.gov.wales/Catalogue/Community-Safety-and-Social-Inclusion/Welsh-Index-of-Multiple-Deprivation/wimd-maps</w:t>
        </w:r>
      </w:hyperlink>
      <w:r w:rsidRPr="000E71AD">
        <w:rPr>
          <w:sz w:val="18"/>
          <w:szCs w:val="18"/>
        </w:rPr>
        <w:t xml:space="preserve"> (accessed 31/3/2019)</w:t>
      </w:r>
    </w:p>
  </w:footnote>
  <w:footnote w:id="28">
    <w:p w:rsidR="000E71AD" w:rsidRPr="00ED645B" w:rsidRDefault="000E71AD" w:rsidP="00ED645B">
      <w:pPr>
        <w:pStyle w:val="NoSpacing"/>
        <w:rPr>
          <w:noProof/>
          <w:sz w:val="18"/>
          <w:szCs w:val="18"/>
          <w:lang w:val="en-US"/>
        </w:rPr>
      </w:pPr>
      <w:r w:rsidRPr="00ED645B">
        <w:rPr>
          <w:rStyle w:val="FootnoteReference"/>
          <w:sz w:val="18"/>
          <w:szCs w:val="18"/>
        </w:rPr>
        <w:footnoteRef/>
      </w:r>
      <w:r w:rsidRPr="00ED645B">
        <w:rPr>
          <w:sz w:val="18"/>
          <w:szCs w:val="18"/>
        </w:rPr>
        <w:t xml:space="preserve"> Noah </w:t>
      </w:r>
      <w:r w:rsidRPr="00ED645B">
        <w:rPr>
          <w:noProof/>
          <w:sz w:val="18"/>
          <w:szCs w:val="18"/>
          <w:lang w:val="en-US"/>
        </w:rPr>
        <w:t xml:space="preserve">Romero (2018) Toward a Critical Unschooling Pedagogy. </w:t>
      </w:r>
      <w:r w:rsidRPr="00ED645B">
        <w:rPr>
          <w:i/>
          <w:iCs/>
          <w:noProof/>
          <w:sz w:val="18"/>
          <w:szCs w:val="18"/>
          <w:lang w:val="en-US"/>
        </w:rPr>
        <w:t>Journal of Unschooling and Alternative Learning</w:t>
      </w:r>
      <w:r w:rsidRPr="00ED645B">
        <w:rPr>
          <w:noProof/>
          <w:sz w:val="18"/>
          <w:szCs w:val="18"/>
          <w:lang w:val="en-US"/>
        </w:rPr>
        <w:t>,</w:t>
      </w:r>
      <w:r w:rsidRPr="00ED645B">
        <w:rPr>
          <w:noProof/>
          <w:sz w:val="18"/>
          <w:szCs w:val="18"/>
          <w:lang w:val="en-US"/>
        </w:rPr>
        <w:t xml:space="preserve"> [12.23]</w:t>
      </w:r>
      <w:r w:rsidRPr="00ED645B">
        <w:rPr>
          <w:noProof/>
          <w:sz w:val="18"/>
          <w:szCs w:val="18"/>
          <w:lang w:val="en-US"/>
        </w:rPr>
        <w:t xml:space="preserve"> </w:t>
      </w:r>
      <w:r w:rsidRPr="00ED645B">
        <w:rPr>
          <w:noProof/>
          <w:sz w:val="18"/>
          <w:szCs w:val="18"/>
          <w:lang w:val="en-US"/>
        </w:rPr>
        <w:t xml:space="preserve"> pp.</w:t>
      </w:r>
      <w:r w:rsidRPr="00ED645B">
        <w:rPr>
          <w:noProof/>
          <w:sz w:val="18"/>
          <w:szCs w:val="18"/>
          <w:lang w:val="en-US"/>
        </w:rPr>
        <w:t>5</w:t>
      </w:r>
      <w:r w:rsidRPr="00ED645B">
        <w:rPr>
          <w:noProof/>
          <w:sz w:val="18"/>
          <w:szCs w:val="18"/>
          <w:lang w:val="en-US"/>
        </w:rPr>
        <w:t>7</w:t>
      </w:r>
    </w:p>
  </w:footnote>
  <w:footnote w:id="29">
    <w:p w:rsidR="009216F4" w:rsidRPr="00ED645B" w:rsidRDefault="009216F4" w:rsidP="00ED645B">
      <w:pPr>
        <w:pStyle w:val="NoSpacing"/>
        <w:rPr>
          <w:sz w:val="18"/>
          <w:szCs w:val="18"/>
        </w:rPr>
      </w:pPr>
      <w:r w:rsidRPr="00ED645B">
        <w:rPr>
          <w:rStyle w:val="FootnoteReference"/>
          <w:sz w:val="18"/>
          <w:szCs w:val="18"/>
        </w:rPr>
        <w:footnoteRef/>
      </w:r>
      <w:r w:rsidRPr="00ED645B">
        <w:rPr>
          <w:sz w:val="18"/>
          <w:szCs w:val="18"/>
        </w:rPr>
        <w:t xml:space="preserve"> </w:t>
      </w:r>
      <w:r w:rsidRPr="00ED645B">
        <w:rPr>
          <w:sz w:val="18"/>
          <w:szCs w:val="18"/>
        </w:rPr>
        <w:t xml:space="preserve">Noah </w:t>
      </w:r>
      <w:r w:rsidRPr="00ED645B">
        <w:rPr>
          <w:noProof/>
          <w:sz w:val="18"/>
          <w:szCs w:val="18"/>
          <w:lang w:val="en-US"/>
        </w:rPr>
        <w:t xml:space="preserve">Romero (2018) Toward a Critical Unschooling Pedagogy. </w:t>
      </w:r>
      <w:r w:rsidRPr="00ED645B">
        <w:rPr>
          <w:i/>
          <w:iCs/>
          <w:noProof/>
          <w:sz w:val="18"/>
          <w:szCs w:val="18"/>
          <w:lang w:val="en-US"/>
        </w:rPr>
        <w:t>Journal of Unschooling and Alternative Learning</w:t>
      </w:r>
      <w:r w:rsidRPr="00ED645B">
        <w:rPr>
          <w:noProof/>
          <w:sz w:val="18"/>
          <w:szCs w:val="18"/>
          <w:lang w:val="en-US"/>
        </w:rPr>
        <w:t>, [12.23]  pp.</w:t>
      </w:r>
      <w:r w:rsidRPr="00ED645B">
        <w:rPr>
          <w:noProof/>
          <w:sz w:val="18"/>
          <w:szCs w:val="18"/>
          <w:lang w:val="en-US"/>
        </w:rPr>
        <w:t>63</w:t>
      </w:r>
    </w:p>
  </w:footnote>
  <w:footnote w:id="30">
    <w:p w:rsidR="004D0E15" w:rsidRPr="00ED645B" w:rsidRDefault="004D0E15" w:rsidP="00ED645B">
      <w:pPr>
        <w:pStyle w:val="NoSpacing"/>
        <w:rPr>
          <w:noProof/>
          <w:sz w:val="18"/>
          <w:szCs w:val="18"/>
          <w:lang w:val="en-US"/>
        </w:rPr>
      </w:pPr>
      <w:r w:rsidRPr="00ED645B">
        <w:rPr>
          <w:rStyle w:val="FootnoteReference"/>
          <w:sz w:val="18"/>
          <w:szCs w:val="18"/>
        </w:rPr>
        <w:footnoteRef/>
      </w:r>
      <w:r w:rsidRPr="00ED645B">
        <w:rPr>
          <w:sz w:val="18"/>
          <w:szCs w:val="18"/>
        </w:rPr>
        <w:t xml:space="preserve"> </w:t>
      </w:r>
      <w:proofErr w:type="spellStart"/>
      <w:r w:rsidR="00A17F4C" w:rsidRPr="00ED645B">
        <w:rPr>
          <w:sz w:val="18"/>
          <w:szCs w:val="18"/>
        </w:rPr>
        <w:t>Saeeda</w:t>
      </w:r>
      <w:proofErr w:type="spellEnd"/>
      <w:r w:rsidR="00A17F4C" w:rsidRPr="00ED645B">
        <w:rPr>
          <w:sz w:val="18"/>
          <w:szCs w:val="18"/>
        </w:rPr>
        <w:t xml:space="preserve"> J. </w:t>
      </w:r>
      <w:r w:rsidRPr="00ED645B">
        <w:rPr>
          <w:noProof/>
          <w:sz w:val="18"/>
          <w:szCs w:val="18"/>
          <w:lang w:val="en-US"/>
        </w:rPr>
        <w:t xml:space="preserve">Shah (2014). Muslim schools in secular societies: Persistence or resistance! </w:t>
      </w:r>
      <w:r w:rsidRPr="00ED645B">
        <w:rPr>
          <w:i/>
          <w:iCs/>
          <w:noProof/>
          <w:sz w:val="18"/>
          <w:szCs w:val="18"/>
          <w:lang w:val="en-US"/>
        </w:rPr>
        <w:t>British Journal of Religious Education</w:t>
      </w:r>
      <w:r w:rsidRPr="00ED645B">
        <w:rPr>
          <w:noProof/>
          <w:sz w:val="18"/>
          <w:szCs w:val="18"/>
          <w:lang w:val="en-US"/>
        </w:rPr>
        <w:t xml:space="preserve"> pp.57</w:t>
      </w:r>
    </w:p>
  </w:footnote>
  <w:footnote w:id="31">
    <w:p w:rsidR="0006494F" w:rsidRPr="00ED645B" w:rsidRDefault="0006494F" w:rsidP="00ED645B">
      <w:pPr>
        <w:pStyle w:val="NoSpacing"/>
        <w:rPr>
          <w:noProof/>
          <w:sz w:val="18"/>
          <w:szCs w:val="18"/>
          <w:lang w:val="en-US"/>
        </w:rPr>
      </w:pPr>
      <w:r w:rsidRPr="00ED645B">
        <w:rPr>
          <w:rStyle w:val="FootnoteReference"/>
          <w:sz w:val="18"/>
          <w:szCs w:val="18"/>
        </w:rPr>
        <w:footnoteRef/>
      </w:r>
      <w:r w:rsidRPr="00ED645B">
        <w:rPr>
          <w:sz w:val="18"/>
          <w:szCs w:val="18"/>
        </w:rPr>
        <w:t xml:space="preserve"> </w:t>
      </w:r>
      <w:r w:rsidR="00A17F4C" w:rsidRPr="00ED645B">
        <w:rPr>
          <w:sz w:val="18"/>
          <w:szCs w:val="18"/>
        </w:rPr>
        <w:t xml:space="preserve">Olivia </w:t>
      </w:r>
      <w:r w:rsidR="00A17F4C" w:rsidRPr="00ED645B">
        <w:rPr>
          <w:noProof/>
          <w:sz w:val="18"/>
          <w:szCs w:val="18"/>
          <w:lang w:val="en-US"/>
        </w:rPr>
        <w:t xml:space="preserve">Rudgard (2018) </w:t>
      </w:r>
      <w:r w:rsidR="00A17F4C" w:rsidRPr="00ED645B">
        <w:rPr>
          <w:i/>
          <w:iCs/>
          <w:noProof/>
          <w:sz w:val="18"/>
          <w:szCs w:val="18"/>
          <w:lang w:val="en-US"/>
        </w:rPr>
        <w:t>Fears of bullying drives Muslim children to being homeschooled</w:t>
      </w:r>
      <w:r w:rsidR="00A17F4C" w:rsidRPr="00ED645B">
        <w:rPr>
          <w:noProof/>
          <w:sz w:val="18"/>
          <w:szCs w:val="18"/>
          <w:lang w:val="en-US"/>
        </w:rPr>
        <w:t xml:space="preserve">. Retrieved from The Telegraph: </w:t>
      </w:r>
      <w:hyperlink r:id="rId9" w:history="1">
        <w:r w:rsidR="00A17F4C" w:rsidRPr="00ED645B">
          <w:rPr>
            <w:rStyle w:val="Hyperlink"/>
            <w:noProof/>
            <w:sz w:val="18"/>
            <w:szCs w:val="18"/>
            <w:lang w:val="en-US"/>
          </w:rPr>
          <w:t>https://www.telegraph.co.uk/news/2018/04/03/fears-bullying-drives-muslim-children-homeschooled/</w:t>
        </w:r>
      </w:hyperlink>
      <w:r w:rsidR="00A17F4C" w:rsidRPr="00ED645B">
        <w:rPr>
          <w:noProof/>
          <w:sz w:val="18"/>
          <w:szCs w:val="18"/>
          <w:lang w:val="en-US"/>
        </w:rPr>
        <w:t xml:space="preserve"> (accessed 31/03/2019)</w:t>
      </w:r>
    </w:p>
  </w:footnote>
  <w:footnote w:id="32">
    <w:p w:rsidR="00ED645B" w:rsidRPr="00ED645B" w:rsidRDefault="00ED645B" w:rsidP="00ED645B">
      <w:pPr>
        <w:pStyle w:val="NoSpacing"/>
        <w:rPr>
          <w:noProof/>
          <w:lang w:val="en-US"/>
        </w:rPr>
      </w:pPr>
      <w:r w:rsidRPr="00ED645B">
        <w:rPr>
          <w:rStyle w:val="FootnoteReference"/>
          <w:sz w:val="18"/>
          <w:szCs w:val="18"/>
        </w:rPr>
        <w:footnoteRef/>
      </w:r>
      <w:r w:rsidRPr="00ED645B">
        <w:rPr>
          <w:sz w:val="18"/>
          <w:szCs w:val="18"/>
        </w:rPr>
        <w:t xml:space="preserve"> </w:t>
      </w:r>
      <w:r w:rsidRPr="00ED645B">
        <w:rPr>
          <w:i/>
          <w:iCs/>
          <w:noProof/>
          <w:sz w:val="18"/>
          <w:szCs w:val="18"/>
          <w:lang w:val="en-US"/>
        </w:rPr>
        <w:t>Outcomes for Electively Home Educated Children</w:t>
      </w:r>
      <w:r w:rsidRPr="00ED645B">
        <w:rPr>
          <w:noProof/>
          <w:sz w:val="18"/>
          <w:szCs w:val="18"/>
          <w:lang w:val="en-US"/>
        </w:rPr>
        <w:t xml:space="preserve">. Retrieved from </w:t>
      </w:r>
      <w:hyperlink r:id="rId10" w:history="1">
        <w:r w:rsidRPr="00ED645B">
          <w:rPr>
            <w:rStyle w:val="Hyperlink"/>
            <w:noProof/>
            <w:sz w:val="18"/>
            <w:szCs w:val="18"/>
            <w:lang w:val="en-US"/>
          </w:rPr>
          <w:t>http://www.home-education.org.uk/articles/wc/wc-he-outcomes.pdf</w:t>
        </w:r>
      </w:hyperlink>
      <w:r w:rsidRPr="00ED645B">
        <w:rPr>
          <w:noProof/>
          <w:sz w:val="18"/>
          <w:szCs w:val="18"/>
          <w:lang w:val="en-US"/>
        </w:rPr>
        <w:t xml:space="preserve"> (accessed 31/3/2019)</w:t>
      </w:r>
    </w:p>
  </w:footnote>
  <w:footnote w:id="33">
    <w:p w:rsidR="0019446C" w:rsidRPr="0019446C" w:rsidRDefault="0019446C" w:rsidP="0019446C">
      <w:pPr>
        <w:pStyle w:val="Bibliography"/>
        <w:ind w:left="720" w:hanging="720"/>
        <w:rPr>
          <w:noProof/>
          <w:sz w:val="18"/>
          <w:szCs w:val="18"/>
          <w:lang w:val="en-US"/>
        </w:rPr>
      </w:pPr>
      <w:r w:rsidRPr="0019446C">
        <w:rPr>
          <w:rStyle w:val="FootnoteReference"/>
          <w:sz w:val="18"/>
          <w:szCs w:val="18"/>
        </w:rPr>
        <w:footnoteRef/>
      </w:r>
      <w:r w:rsidRPr="0019446C">
        <w:rPr>
          <w:sz w:val="18"/>
          <w:szCs w:val="18"/>
        </w:rPr>
        <w:t xml:space="preserve"> </w:t>
      </w:r>
      <w:r>
        <w:rPr>
          <w:sz w:val="18"/>
          <w:szCs w:val="18"/>
        </w:rPr>
        <w:t xml:space="preserve">Abbie </w:t>
      </w:r>
      <w:r w:rsidRPr="0019446C">
        <w:rPr>
          <w:noProof/>
          <w:sz w:val="18"/>
          <w:szCs w:val="18"/>
          <w:lang w:val="en-US"/>
        </w:rPr>
        <w:t>Wightwick</w:t>
      </w:r>
      <w:r>
        <w:rPr>
          <w:noProof/>
          <w:sz w:val="18"/>
          <w:szCs w:val="18"/>
          <w:lang w:val="en-US"/>
        </w:rPr>
        <w:t xml:space="preserve"> </w:t>
      </w:r>
      <w:r w:rsidRPr="0019446C">
        <w:rPr>
          <w:noProof/>
          <w:sz w:val="18"/>
          <w:szCs w:val="18"/>
          <w:lang w:val="en-US"/>
        </w:rPr>
        <w:t xml:space="preserve">(2018) </w:t>
      </w:r>
      <w:r w:rsidRPr="0019446C">
        <w:rPr>
          <w:i/>
          <w:iCs/>
          <w:noProof/>
          <w:sz w:val="18"/>
          <w:szCs w:val="18"/>
          <w:lang w:val="en-US"/>
        </w:rPr>
        <w:t>Parents home educating their children in Wales will have to join a register</w:t>
      </w:r>
      <w:r w:rsidRPr="0019446C">
        <w:rPr>
          <w:noProof/>
          <w:sz w:val="18"/>
          <w:szCs w:val="18"/>
          <w:lang w:val="en-US"/>
        </w:rPr>
        <w:t xml:space="preserve">. Retrieved from WalesOnline: </w:t>
      </w:r>
      <w:hyperlink r:id="rId11" w:history="1">
        <w:r w:rsidRPr="00D52E0C">
          <w:rPr>
            <w:rStyle w:val="Hyperlink"/>
            <w:noProof/>
            <w:sz w:val="18"/>
            <w:szCs w:val="18"/>
            <w:lang w:val="en-US"/>
          </w:rPr>
          <w:t>https://www.walesonline.co.uk/news/education/parents-home-educating-children-wales-14110054</w:t>
        </w:r>
      </w:hyperlink>
      <w:r>
        <w:rPr>
          <w:noProof/>
          <w:sz w:val="18"/>
          <w:szCs w:val="18"/>
          <w:lang w:val="en-US"/>
        </w:rPr>
        <w:t xml:space="preserve"> (Accessed 31/3/2019)</w:t>
      </w:r>
    </w:p>
    <w:p w:rsidR="0019446C" w:rsidRDefault="0019446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C63BA"/>
    <w:multiLevelType w:val="hybridMultilevel"/>
    <w:tmpl w:val="3040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AC7150"/>
    <w:multiLevelType w:val="hybridMultilevel"/>
    <w:tmpl w:val="99385E40"/>
    <w:lvl w:ilvl="0" w:tplc="41B8ABE8">
      <w:start w:val="1"/>
      <w:numFmt w:val="bullet"/>
      <w:lvlText w:val="•"/>
      <w:lvlJc w:val="left"/>
      <w:pPr>
        <w:tabs>
          <w:tab w:val="num" w:pos="720"/>
        </w:tabs>
        <w:ind w:left="720" w:hanging="360"/>
      </w:pPr>
      <w:rPr>
        <w:rFonts w:ascii="Arial" w:hAnsi="Arial" w:hint="default"/>
      </w:rPr>
    </w:lvl>
    <w:lvl w:ilvl="1" w:tplc="4F78002A" w:tentative="1">
      <w:start w:val="1"/>
      <w:numFmt w:val="bullet"/>
      <w:lvlText w:val="•"/>
      <w:lvlJc w:val="left"/>
      <w:pPr>
        <w:tabs>
          <w:tab w:val="num" w:pos="1440"/>
        </w:tabs>
        <w:ind w:left="1440" w:hanging="360"/>
      </w:pPr>
      <w:rPr>
        <w:rFonts w:ascii="Arial" w:hAnsi="Arial" w:hint="default"/>
      </w:rPr>
    </w:lvl>
    <w:lvl w:ilvl="2" w:tplc="BF0E2EE2" w:tentative="1">
      <w:start w:val="1"/>
      <w:numFmt w:val="bullet"/>
      <w:lvlText w:val="•"/>
      <w:lvlJc w:val="left"/>
      <w:pPr>
        <w:tabs>
          <w:tab w:val="num" w:pos="2160"/>
        </w:tabs>
        <w:ind w:left="2160" w:hanging="360"/>
      </w:pPr>
      <w:rPr>
        <w:rFonts w:ascii="Arial" w:hAnsi="Arial" w:hint="default"/>
      </w:rPr>
    </w:lvl>
    <w:lvl w:ilvl="3" w:tplc="DD34B3A8" w:tentative="1">
      <w:start w:val="1"/>
      <w:numFmt w:val="bullet"/>
      <w:lvlText w:val="•"/>
      <w:lvlJc w:val="left"/>
      <w:pPr>
        <w:tabs>
          <w:tab w:val="num" w:pos="2880"/>
        </w:tabs>
        <w:ind w:left="2880" w:hanging="360"/>
      </w:pPr>
      <w:rPr>
        <w:rFonts w:ascii="Arial" w:hAnsi="Arial" w:hint="default"/>
      </w:rPr>
    </w:lvl>
    <w:lvl w:ilvl="4" w:tplc="C9460FB2" w:tentative="1">
      <w:start w:val="1"/>
      <w:numFmt w:val="bullet"/>
      <w:lvlText w:val="•"/>
      <w:lvlJc w:val="left"/>
      <w:pPr>
        <w:tabs>
          <w:tab w:val="num" w:pos="3600"/>
        </w:tabs>
        <w:ind w:left="3600" w:hanging="360"/>
      </w:pPr>
      <w:rPr>
        <w:rFonts w:ascii="Arial" w:hAnsi="Arial" w:hint="default"/>
      </w:rPr>
    </w:lvl>
    <w:lvl w:ilvl="5" w:tplc="8DD83108" w:tentative="1">
      <w:start w:val="1"/>
      <w:numFmt w:val="bullet"/>
      <w:lvlText w:val="•"/>
      <w:lvlJc w:val="left"/>
      <w:pPr>
        <w:tabs>
          <w:tab w:val="num" w:pos="4320"/>
        </w:tabs>
        <w:ind w:left="4320" w:hanging="360"/>
      </w:pPr>
      <w:rPr>
        <w:rFonts w:ascii="Arial" w:hAnsi="Arial" w:hint="default"/>
      </w:rPr>
    </w:lvl>
    <w:lvl w:ilvl="6" w:tplc="909A1138" w:tentative="1">
      <w:start w:val="1"/>
      <w:numFmt w:val="bullet"/>
      <w:lvlText w:val="•"/>
      <w:lvlJc w:val="left"/>
      <w:pPr>
        <w:tabs>
          <w:tab w:val="num" w:pos="5040"/>
        </w:tabs>
        <w:ind w:left="5040" w:hanging="360"/>
      </w:pPr>
      <w:rPr>
        <w:rFonts w:ascii="Arial" w:hAnsi="Arial" w:hint="default"/>
      </w:rPr>
    </w:lvl>
    <w:lvl w:ilvl="7" w:tplc="17406A54" w:tentative="1">
      <w:start w:val="1"/>
      <w:numFmt w:val="bullet"/>
      <w:lvlText w:val="•"/>
      <w:lvlJc w:val="left"/>
      <w:pPr>
        <w:tabs>
          <w:tab w:val="num" w:pos="5760"/>
        </w:tabs>
        <w:ind w:left="5760" w:hanging="360"/>
      </w:pPr>
      <w:rPr>
        <w:rFonts w:ascii="Arial" w:hAnsi="Arial" w:hint="default"/>
      </w:rPr>
    </w:lvl>
    <w:lvl w:ilvl="8" w:tplc="7B9C7B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C3F40EF"/>
    <w:multiLevelType w:val="hybridMultilevel"/>
    <w:tmpl w:val="9C9EE53E"/>
    <w:lvl w:ilvl="0" w:tplc="27680D1C">
      <w:start w:val="1"/>
      <w:numFmt w:val="bullet"/>
      <w:lvlText w:val="•"/>
      <w:lvlJc w:val="left"/>
      <w:pPr>
        <w:tabs>
          <w:tab w:val="num" w:pos="720"/>
        </w:tabs>
        <w:ind w:left="720" w:hanging="360"/>
      </w:pPr>
      <w:rPr>
        <w:rFonts w:ascii="Arial" w:hAnsi="Arial" w:hint="default"/>
      </w:rPr>
    </w:lvl>
    <w:lvl w:ilvl="1" w:tplc="350C66DA" w:tentative="1">
      <w:start w:val="1"/>
      <w:numFmt w:val="bullet"/>
      <w:lvlText w:val="•"/>
      <w:lvlJc w:val="left"/>
      <w:pPr>
        <w:tabs>
          <w:tab w:val="num" w:pos="1440"/>
        </w:tabs>
        <w:ind w:left="1440" w:hanging="360"/>
      </w:pPr>
      <w:rPr>
        <w:rFonts w:ascii="Arial" w:hAnsi="Arial" w:hint="default"/>
      </w:rPr>
    </w:lvl>
    <w:lvl w:ilvl="2" w:tplc="24D0812E" w:tentative="1">
      <w:start w:val="1"/>
      <w:numFmt w:val="bullet"/>
      <w:lvlText w:val="•"/>
      <w:lvlJc w:val="left"/>
      <w:pPr>
        <w:tabs>
          <w:tab w:val="num" w:pos="2160"/>
        </w:tabs>
        <w:ind w:left="2160" w:hanging="360"/>
      </w:pPr>
      <w:rPr>
        <w:rFonts w:ascii="Arial" w:hAnsi="Arial" w:hint="default"/>
      </w:rPr>
    </w:lvl>
    <w:lvl w:ilvl="3" w:tplc="640A6E50" w:tentative="1">
      <w:start w:val="1"/>
      <w:numFmt w:val="bullet"/>
      <w:lvlText w:val="•"/>
      <w:lvlJc w:val="left"/>
      <w:pPr>
        <w:tabs>
          <w:tab w:val="num" w:pos="2880"/>
        </w:tabs>
        <w:ind w:left="2880" w:hanging="360"/>
      </w:pPr>
      <w:rPr>
        <w:rFonts w:ascii="Arial" w:hAnsi="Arial" w:hint="default"/>
      </w:rPr>
    </w:lvl>
    <w:lvl w:ilvl="4" w:tplc="76CE5E88" w:tentative="1">
      <w:start w:val="1"/>
      <w:numFmt w:val="bullet"/>
      <w:lvlText w:val="•"/>
      <w:lvlJc w:val="left"/>
      <w:pPr>
        <w:tabs>
          <w:tab w:val="num" w:pos="3600"/>
        </w:tabs>
        <w:ind w:left="3600" w:hanging="360"/>
      </w:pPr>
      <w:rPr>
        <w:rFonts w:ascii="Arial" w:hAnsi="Arial" w:hint="default"/>
      </w:rPr>
    </w:lvl>
    <w:lvl w:ilvl="5" w:tplc="00B69E3E" w:tentative="1">
      <w:start w:val="1"/>
      <w:numFmt w:val="bullet"/>
      <w:lvlText w:val="•"/>
      <w:lvlJc w:val="left"/>
      <w:pPr>
        <w:tabs>
          <w:tab w:val="num" w:pos="4320"/>
        </w:tabs>
        <w:ind w:left="4320" w:hanging="360"/>
      </w:pPr>
      <w:rPr>
        <w:rFonts w:ascii="Arial" w:hAnsi="Arial" w:hint="default"/>
      </w:rPr>
    </w:lvl>
    <w:lvl w:ilvl="6" w:tplc="43822066" w:tentative="1">
      <w:start w:val="1"/>
      <w:numFmt w:val="bullet"/>
      <w:lvlText w:val="•"/>
      <w:lvlJc w:val="left"/>
      <w:pPr>
        <w:tabs>
          <w:tab w:val="num" w:pos="5040"/>
        </w:tabs>
        <w:ind w:left="5040" w:hanging="360"/>
      </w:pPr>
      <w:rPr>
        <w:rFonts w:ascii="Arial" w:hAnsi="Arial" w:hint="default"/>
      </w:rPr>
    </w:lvl>
    <w:lvl w:ilvl="7" w:tplc="63C26816" w:tentative="1">
      <w:start w:val="1"/>
      <w:numFmt w:val="bullet"/>
      <w:lvlText w:val="•"/>
      <w:lvlJc w:val="left"/>
      <w:pPr>
        <w:tabs>
          <w:tab w:val="num" w:pos="5760"/>
        </w:tabs>
        <w:ind w:left="5760" w:hanging="360"/>
      </w:pPr>
      <w:rPr>
        <w:rFonts w:ascii="Arial" w:hAnsi="Arial" w:hint="default"/>
      </w:rPr>
    </w:lvl>
    <w:lvl w:ilvl="8" w:tplc="7904261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19D"/>
    <w:rsid w:val="000131F2"/>
    <w:rsid w:val="00016484"/>
    <w:rsid w:val="000445F5"/>
    <w:rsid w:val="0005162F"/>
    <w:rsid w:val="0006494F"/>
    <w:rsid w:val="000655CE"/>
    <w:rsid w:val="000712AA"/>
    <w:rsid w:val="000856C6"/>
    <w:rsid w:val="00087D05"/>
    <w:rsid w:val="000B0250"/>
    <w:rsid w:val="000E71AD"/>
    <w:rsid w:val="000F2810"/>
    <w:rsid w:val="001063B6"/>
    <w:rsid w:val="00107332"/>
    <w:rsid w:val="00112B0B"/>
    <w:rsid w:val="00162B9F"/>
    <w:rsid w:val="001719E0"/>
    <w:rsid w:val="0019446C"/>
    <w:rsid w:val="001B2DE2"/>
    <w:rsid w:val="0024328C"/>
    <w:rsid w:val="00246D6A"/>
    <w:rsid w:val="00257BAD"/>
    <w:rsid w:val="00291A57"/>
    <w:rsid w:val="003521F0"/>
    <w:rsid w:val="003773E1"/>
    <w:rsid w:val="003B669B"/>
    <w:rsid w:val="003C3350"/>
    <w:rsid w:val="003D1FA0"/>
    <w:rsid w:val="003E4936"/>
    <w:rsid w:val="004516D5"/>
    <w:rsid w:val="0046103E"/>
    <w:rsid w:val="00470BA4"/>
    <w:rsid w:val="004A0246"/>
    <w:rsid w:val="004A49F6"/>
    <w:rsid w:val="004A701F"/>
    <w:rsid w:val="004B4499"/>
    <w:rsid w:val="004C0F18"/>
    <w:rsid w:val="004D0156"/>
    <w:rsid w:val="004D0E15"/>
    <w:rsid w:val="004D3606"/>
    <w:rsid w:val="00541AC7"/>
    <w:rsid w:val="00585D52"/>
    <w:rsid w:val="005E58BF"/>
    <w:rsid w:val="005F5330"/>
    <w:rsid w:val="00625829"/>
    <w:rsid w:val="00672FF5"/>
    <w:rsid w:val="007122AA"/>
    <w:rsid w:val="00713F93"/>
    <w:rsid w:val="00741C23"/>
    <w:rsid w:val="007465FD"/>
    <w:rsid w:val="00760110"/>
    <w:rsid w:val="007640AB"/>
    <w:rsid w:val="007764D1"/>
    <w:rsid w:val="007855B6"/>
    <w:rsid w:val="00787E5B"/>
    <w:rsid w:val="00861303"/>
    <w:rsid w:val="008863AE"/>
    <w:rsid w:val="00892D1A"/>
    <w:rsid w:val="0089619D"/>
    <w:rsid w:val="008A69D8"/>
    <w:rsid w:val="008C2FCE"/>
    <w:rsid w:val="009034B9"/>
    <w:rsid w:val="00904E72"/>
    <w:rsid w:val="009057F6"/>
    <w:rsid w:val="00913DC7"/>
    <w:rsid w:val="009216F4"/>
    <w:rsid w:val="009227A6"/>
    <w:rsid w:val="0092389D"/>
    <w:rsid w:val="00940C62"/>
    <w:rsid w:val="00987BC8"/>
    <w:rsid w:val="00A10B3B"/>
    <w:rsid w:val="00A12ADC"/>
    <w:rsid w:val="00A1674B"/>
    <w:rsid w:val="00A17F4C"/>
    <w:rsid w:val="00A23CBD"/>
    <w:rsid w:val="00A35E21"/>
    <w:rsid w:val="00A539FC"/>
    <w:rsid w:val="00A96B2D"/>
    <w:rsid w:val="00B265F8"/>
    <w:rsid w:val="00B66345"/>
    <w:rsid w:val="00BB0386"/>
    <w:rsid w:val="00BB5ACD"/>
    <w:rsid w:val="00BD1C51"/>
    <w:rsid w:val="00C40ECE"/>
    <w:rsid w:val="00C62EE6"/>
    <w:rsid w:val="00C82CC9"/>
    <w:rsid w:val="00C85D02"/>
    <w:rsid w:val="00D270C2"/>
    <w:rsid w:val="00D524AC"/>
    <w:rsid w:val="00D56E6D"/>
    <w:rsid w:val="00D679DE"/>
    <w:rsid w:val="00D72D03"/>
    <w:rsid w:val="00D779E4"/>
    <w:rsid w:val="00D96203"/>
    <w:rsid w:val="00E3209F"/>
    <w:rsid w:val="00E82EB1"/>
    <w:rsid w:val="00E90A88"/>
    <w:rsid w:val="00EA7BE2"/>
    <w:rsid w:val="00EB1613"/>
    <w:rsid w:val="00ED645B"/>
    <w:rsid w:val="00F11251"/>
    <w:rsid w:val="00F45895"/>
    <w:rsid w:val="00F51915"/>
    <w:rsid w:val="00F54C09"/>
    <w:rsid w:val="00F91590"/>
    <w:rsid w:val="00FF3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306E7"/>
  <w15:chartTrackingRefBased/>
  <w15:docId w15:val="{F1E703C8-FF43-4C44-A72C-BF700CA7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619D"/>
  </w:style>
  <w:style w:type="paragraph" w:styleId="Heading1">
    <w:name w:val="heading 1"/>
    <w:basedOn w:val="Normal"/>
    <w:next w:val="Normal"/>
    <w:link w:val="Heading1Char"/>
    <w:uiPriority w:val="9"/>
    <w:qFormat/>
    <w:rsid w:val="009227A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5">
    <w:name w:val="heading 5"/>
    <w:basedOn w:val="Normal"/>
    <w:link w:val="Heading5Char"/>
    <w:uiPriority w:val="9"/>
    <w:qFormat/>
    <w:rsid w:val="009227A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19D"/>
    <w:pPr>
      <w:ind w:left="720"/>
      <w:contextualSpacing/>
    </w:pPr>
  </w:style>
  <w:style w:type="character" w:styleId="Hyperlink">
    <w:name w:val="Hyperlink"/>
    <w:basedOn w:val="DefaultParagraphFont"/>
    <w:uiPriority w:val="99"/>
    <w:unhideWhenUsed/>
    <w:rsid w:val="009227A6"/>
    <w:rPr>
      <w:color w:val="0000FF"/>
      <w:u w:val="single"/>
    </w:rPr>
  </w:style>
  <w:style w:type="character" w:customStyle="1" w:styleId="Heading5Char">
    <w:name w:val="Heading 5 Char"/>
    <w:basedOn w:val="DefaultParagraphFont"/>
    <w:link w:val="Heading5"/>
    <w:uiPriority w:val="9"/>
    <w:rsid w:val="009227A6"/>
    <w:rPr>
      <w:rFonts w:ascii="Times New Roman" w:eastAsia="Times New Roman" w:hAnsi="Times New Roman" w:cs="Times New Roman"/>
      <w:b/>
      <w:bCs/>
      <w:sz w:val="20"/>
      <w:szCs w:val="20"/>
      <w:lang w:eastAsia="en-GB"/>
    </w:rPr>
  </w:style>
  <w:style w:type="character" w:customStyle="1" w:styleId="legds">
    <w:name w:val="legds"/>
    <w:basedOn w:val="DefaultParagraphFont"/>
    <w:rsid w:val="009227A6"/>
  </w:style>
  <w:style w:type="paragraph" w:customStyle="1" w:styleId="legrhs">
    <w:name w:val="legrhs"/>
    <w:basedOn w:val="Normal"/>
    <w:rsid w:val="00922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922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2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227A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227A6"/>
  </w:style>
  <w:style w:type="paragraph" w:styleId="FootnoteText">
    <w:name w:val="footnote text"/>
    <w:basedOn w:val="Normal"/>
    <w:link w:val="FootnoteTextChar"/>
    <w:uiPriority w:val="99"/>
    <w:unhideWhenUsed/>
    <w:rsid w:val="00892D1A"/>
    <w:pPr>
      <w:spacing w:after="0" w:line="240" w:lineRule="auto"/>
    </w:pPr>
    <w:rPr>
      <w:sz w:val="20"/>
      <w:szCs w:val="20"/>
    </w:rPr>
  </w:style>
  <w:style w:type="character" w:customStyle="1" w:styleId="FootnoteTextChar">
    <w:name w:val="Footnote Text Char"/>
    <w:basedOn w:val="DefaultParagraphFont"/>
    <w:link w:val="FootnoteText"/>
    <w:uiPriority w:val="99"/>
    <w:rsid w:val="00892D1A"/>
    <w:rPr>
      <w:sz w:val="20"/>
      <w:szCs w:val="20"/>
    </w:rPr>
  </w:style>
  <w:style w:type="character" w:styleId="FootnoteReference">
    <w:name w:val="footnote reference"/>
    <w:basedOn w:val="DefaultParagraphFont"/>
    <w:uiPriority w:val="99"/>
    <w:semiHidden/>
    <w:unhideWhenUsed/>
    <w:rsid w:val="00892D1A"/>
    <w:rPr>
      <w:vertAlign w:val="superscript"/>
    </w:rPr>
  </w:style>
  <w:style w:type="paragraph" w:styleId="NoSpacing">
    <w:name w:val="No Spacing"/>
    <w:uiPriority w:val="1"/>
    <w:qFormat/>
    <w:rsid w:val="007122AA"/>
    <w:pPr>
      <w:spacing w:after="0" w:line="240" w:lineRule="auto"/>
    </w:pPr>
  </w:style>
  <w:style w:type="character" w:styleId="FollowedHyperlink">
    <w:name w:val="FollowedHyperlink"/>
    <w:basedOn w:val="DefaultParagraphFont"/>
    <w:uiPriority w:val="99"/>
    <w:semiHidden/>
    <w:unhideWhenUsed/>
    <w:rsid w:val="00162B9F"/>
    <w:rPr>
      <w:color w:val="954F72" w:themeColor="followedHyperlink"/>
      <w:u w:val="single"/>
    </w:rPr>
  </w:style>
  <w:style w:type="table" w:styleId="TableGrid">
    <w:name w:val="Table Grid"/>
    <w:basedOn w:val="TableNormal"/>
    <w:uiPriority w:val="39"/>
    <w:rsid w:val="003B6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3B669B"/>
    <w:pPr>
      <w:tabs>
        <w:tab w:val="decimal" w:pos="360"/>
      </w:tabs>
      <w:spacing w:after="200" w:line="276" w:lineRule="auto"/>
    </w:pPr>
    <w:rPr>
      <w:rFonts w:eastAsiaTheme="minorEastAsia" w:cs="Times New Roman"/>
      <w:lang w:val="en-US"/>
    </w:rPr>
  </w:style>
  <w:style w:type="character" w:styleId="SubtleEmphasis">
    <w:name w:val="Subtle Emphasis"/>
    <w:basedOn w:val="DefaultParagraphFont"/>
    <w:uiPriority w:val="19"/>
    <w:qFormat/>
    <w:rsid w:val="003B669B"/>
    <w:rPr>
      <w:i/>
      <w:iCs/>
    </w:rPr>
  </w:style>
  <w:style w:type="table" w:styleId="LightShading-Accent1">
    <w:name w:val="Light Shading Accent 1"/>
    <w:basedOn w:val="TableNormal"/>
    <w:uiPriority w:val="60"/>
    <w:rsid w:val="003B669B"/>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UnresolvedMention">
    <w:name w:val="Unresolved Mention"/>
    <w:basedOn w:val="DefaultParagraphFont"/>
    <w:uiPriority w:val="99"/>
    <w:semiHidden/>
    <w:unhideWhenUsed/>
    <w:rsid w:val="00903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9438">
      <w:bodyDiv w:val="1"/>
      <w:marLeft w:val="0"/>
      <w:marRight w:val="0"/>
      <w:marTop w:val="0"/>
      <w:marBottom w:val="0"/>
      <w:divBdr>
        <w:top w:val="none" w:sz="0" w:space="0" w:color="auto"/>
        <w:left w:val="none" w:sz="0" w:space="0" w:color="auto"/>
        <w:bottom w:val="none" w:sz="0" w:space="0" w:color="auto"/>
        <w:right w:val="none" w:sz="0" w:space="0" w:color="auto"/>
      </w:divBdr>
    </w:div>
    <w:div w:id="26293990">
      <w:bodyDiv w:val="1"/>
      <w:marLeft w:val="0"/>
      <w:marRight w:val="0"/>
      <w:marTop w:val="0"/>
      <w:marBottom w:val="0"/>
      <w:divBdr>
        <w:top w:val="none" w:sz="0" w:space="0" w:color="auto"/>
        <w:left w:val="none" w:sz="0" w:space="0" w:color="auto"/>
        <w:bottom w:val="none" w:sz="0" w:space="0" w:color="auto"/>
        <w:right w:val="none" w:sz="0" w:space="0" w:color="auto"/>
      </w:divBdr>
    </w:div>
    <w:div w:id="29456941">
      <w:bodyDiv w:val="1"/>
      <w:marLeft w:val="0"/>
      <w:marRight w:val="0"/>
      <w:marTop w:val="0"/>
      <w:marBottom w:val="0"/>
      <w:divBdr>
        <w:top w:val="none" w:sz="0" w:space="0" w:color="auto"/>
        <w:left w:val="none" w:sz="0" w:space="0" w:color="auto"/>
        <w:bottom w:val="none" w:sz="0" w:space="0" w:color="auto"/>
        <w:right w:val="none" w:sz="0" w:space="0" w:color="auto"/>
      </w:divBdr>
      <w:divsChild>
        <w:div w:id="820274884">
          <w:marLeft w:val="274"/>
          <w:marRight w:val="0"/>
          <w:marTop w:val="150"/>
          <w:marBottom w:val="0"/>
          <w:divBdr>
            <w:top w:val="none" w:sz="0" w:space="0" w:color="auto"/>
            <w:left w:val="none" w:sz="0" w:space="0" w:color="auto"/>
            <w:bottom w:val="none" w:sz="0" w:space="0" w:color="auto"/>
            <w:right w:val="none" w:sz="0" w:space="0" w:color="auto"/>
          </w:divBdr>
        </w:div>
      </w:divsChild>
    </w:div>
    <w:div w:id="54663558">
      <w:bodyDiv w:val="1"/>
      <w:marLeft w:val="0"/>
      <w:marRight w:val="0"/>
      <w:marTop w:val="0"/>
      <w:marBottom w:val="0"/>
      <w:divBdr>
        <w:top w:val="none" w:sz="0" w:space="0" w:color="auto"/>
        <w:left w:val="none" w:sz="0" w:space="0" w:color="auto"/>
        <w:bottom w:val="none" w:sz="0" w:space="0" w:color="auto"/>
        <w:right w:val="none" w:sz="0" w:space="0" w:color="auto"/>
      </w:divBdr>
    </w:div>
    <w:div w:id="64686806">
      <w:bodyDiv w:val="1"/>
      <w:marLeft w:val="0"/>
      <w:marRight w:val="0"/>
      <w:marTop w:val="0"/>
      <w:marBottom w:val="0"/>
      <w:divBdr>
        <w:top w:val="none" w:sz="0" w:space="0" w:color="auto"/>
        <w:left w:val="none" w:sz="0" w:space="0" w:color="auto"/>
        <w:bottom w:val="none" w:sz="0" w:space="0" w:color="auto"/>
        <w:right w:val="none" w:sz="0" w:space="0" w:color="auto"/>
      </w:divBdr>
    </w:div>
    <w:div w:id="75175685">
      <w:bodyDiv w:val="1"/>
      <w:marLeft w:val="0"/>
      <w:marRight w:val="0"/>
      <w:marTop w:val="0"/>
      <w:marBottom w:val="0"/>
      <w:divBdr>
        <w:top w:val="none" w:sz="0" w:space="0" w:color="auto"/>
        <w:left w:val="none" w:sz="0" w:space="0" w:color="auto"/>
        <w:bottom w:val="none" w:sz="0" w:space="0" w:color="auto"/>
        <w:right w:val="none" w:sz="0" w:space="0" w:color="auto"/>
      </w:divBdr>
    </w:div>
    <w:div w:id="94182141">
      <w:bodyDiv w:val="1"/>
      <w:marLeft w:val="0"/>
      <w:marRight w:val="0"/>
      <w:marTop w:val="0"/>
      <w:marBottom w:val="0"/>
      <w:divBdr>
        <w:top w:val="none" w:sz="0" w:space="0" w:color="auto"/>
        <w:left w:val="none" w:sz="0" w:space="0" w:color="auto"/>
        <w:bottom w:val="none" w:sz="0" w:space="0" w:color="auto"/>
        <w:right w:val="none" w:sz="0" w:space="0" w:color="auto"/>
      </w:divBdr>
    </w:div>
    <w:div w:id="94251891">
      <w:bodyDiv w:val="1"/>
      <w:marLeft w:val="0"/>
      <w:marRight w:val="0"/>
      <w:marTop w:val="0"/>
      <w:marBottom w:val="0"/>
      <w:divBdr>
        <w:top w:val="none" w:sz="0" w:space="0" w:color="auto"/>
        <w:left w:val="none" w:sz="0" w:space="0" w:color="auto"/>
        <w:bottom w:val="none" w:sz="0" w:space="0" w:color="auto"/>
        <w:right w:val="none" w:sz="0" w:space="0" w:color="auto"/>
      </w:divBdr>
    </w:div>
    <w:div w:id="96870317">
      <w:bodyDiv w:val="1"/>
      <w:marLeft w:val="0"/>
      <w:marRight w:val="0"/>
      <w:marTop w:val="0"/>
      <w:marBottom w:val="0"/>
      <w:divBdr>
        <w:top w:val="none" w:sz="0" w:space="0" w:color="auto"/>
        <w:left w:val="none" w:sz="0" w:space="0" w:color="auto"/>
        <w:bottom w:val="none" w:sz="0" w:space="0" w:color="auto"/>
        <w:right w:val="none" w:sz="0" w:space="0" w:color="auto"/>
      </w:divBdr>
    </w:div>
    <w:div w:id="100683551">
      <w:bodyDiv w:val="1"/>
      <w:marLeft w:val="0"/>
      <w:marRight w:val="0"/>
      <w:marTop w:val="0"/>
      <w:marBottom w:val="0"/>
      <w:divBdr>
        <w:top w:val="none" w:sz="0" w:space="0" w:color="auto"/>
        <w:left w:val="none" w:sz="0" w:space="0" w:color="auto"/>
        <w:bottom w:val="none" w:sz="0" w:space="0" w:color="auto"/>
        <w:right w:val="none" w:sz="0" w:space="0" w:color="auto"/>
      </w:divBdr>
    </w:div>
    <w:div w:id="104546324">
      <w:bodyDiv w:val="1"/>
      <w:marLeft w:val="0"/>
      <w:marRight w:val="0"/>
      <w:marTop w:val="0"/>
      <w:marBottom w:val="0"/>
      <w:divBdr>
        <w:top w:val="none" w:sz="0" w:space="0" w:color="auto"/>
        <w:left w:val="none" w:sz="0" w:space="0" w:color="auto"/>
        <w:bottom w:val="none" w:sz="0" w:space="0" w:color="auto"/>
        <w:right w:val="none" w:sz="0" w:space="0" w:color="auto"/>
      </w:divBdr>
    </w:div>
    <w:div w:id="120342998">
      <w:bodyDiv w:val="1"/>
      <w:marLeft w:val="0"/>
      <w:marRight w:val="0"/>
      <w:marTop w:val="0"/>
      <w:marBottom w:val="0"/>
      <w:divBdr>
        <w:top w:val="none" w:sz="0" w:space="0" w:color="auto"/>
        <w:left w:val="none" w:sz="0" w:space="0" w:color="auto"/>
        <w:bottom w:val="none" w:sz="0" w:space="0" w:color="auto"/>
        <w:right w:val="none" w:sz="0" w:space="0" w:color="auto"/>
      </w:divBdr>
    </w:div>
    <w:div w:id="134611588">
      <w:bodyDiv w:val="1"/>
      <w:marLeft w:val="0"/>
      <w:marRight w:val="0"/>
      <w:marTop w:val="0"/>
      <w:marBottom w:val="0"/>
      <w:divBdr>
        <w:top w:val="none" w:sz="0" w:space="0" w:color="auto"/>
        <w:left w:val="none" w:sz="0" w:space="0" w:color="auto"/>
        <w:bottom w:val="none" w:sz="0" w:space="0" w:color="auto"/>
        <w:right w:val="none" w:sz="0" w:space="0" w:color="auto"/>
      </w:divBdr>
    </w:div>
    <w:div w:id="185336583">
      <w:bodyDiv w:val="1"/>
      <w:marLeft w:val="0"/>
      <w:marRight w:val="0"/>
      <w:marTop w:val="0"/>
      <w:marBottom w:val="0"/>
      <w:divBdr>
        <w:top w:val="none" w:sz="0" w:space="0" w:color="auto"/>
        <w:left w:val="none" w:sz="0" w:space="0" w:color="auto"/>
        <w:bottom w:val="none" w:sz="0" w:space="0" w:color="auto"/>
        <w:right w:val="none" w:sz="0" w:space="0" w:color="auto"/>
      </w:divBdr>
    </w:div>
    <w:div w:id="188492726">
      <w:bodyDiv w:val="1"/>
      <w:marLeft w:val="0"/>
      <w:marRight w:val="0"/>
      <w:marTop w:val="0"/>
      <w:marBottom w:val="0"/>
      <w:divBdr>
        <w:top w:val="none" w:sz="0" w:space="0" w:color="auto"/>
        <w:left w:val="none" w:sz="0" w:space="0" w:color="auto"/>
        <w:bottom w:val="none" w:sz="0" w:space="0" w:color="auto"/>
        <w:right w:val="none" w:sz="0" w:space="0" w:color="auto"/>
      </w:divBdr>
    </w:div>
    <w:div w:id="192689543">
      <w:bodyDiv w:val="1"/>
      <w:marLeft w:val="0"/>
      <w:marRight w:val="0"/>
      <w:marTop w:val="0"/>
      <w:marBottom w:val="0"/>
      <w:divBdr>
        <w:top w:val="none" w:sz="0" w:space="0" w:color="auto"/>
        <w:left w:val="none" w:sz="0" w:space="0" w:color="auto"/>
        <w:bottom w:val="none" w:sz="0" w:space="0" w:color="auto"/>
        <w:right w:val="none" w:sz="0" w:space="0" w:color="auto"/>
      </w:divBdr>
    </w:div>
    <w:div w:id="212546059">
      <w:bodyDiv w:val="1"/>
      <w:marLeft w:val="0"/>
      <w:marRight w:val="0"/>
      <w:marTop w:val="0"/>
      <w:marBottom w:val="0"/>
      <w:divBdr>
        <w:top w:val="none" w:sz="0" w:space="0" w:color="auto"/>
        <w:left w:val="none" w:sz="0" w:space="0" w:color="auto"/>
        <w:bottom w:val="none" w:sz="0" w:space="0" w:color="auto"/>
        <w:right w:val="none" w:sz="0" w:space="0" w:color="auto"/>
      </w:divBdr>
    </w:div>
    <w:div w:id="227619450">
      <w:bodyDiv w:val="1"/>
      <w:marLeft w:val="0"/>
      <w:marRight w:val="0"/>
      <w:marTop w:val="0"/>
      <w:marBottom w:val="0"/>
      <w:divBdr>
        <w:top w:val="none" w:sz="0" w:space="0" w:color="auto"/>
        <w:left w:val="none" w:sz="0" w:space="0" w:color="auto"/>
        <w:bottom w:val="none" w:sz="0" w:space="0" w:color="auto"/>
        <w:right w:val="none" w:sz="0" w:space="0" w:color="auto"/>
      </w:divBdr>
    </w:div>
    <w:div w:id="233048373">
      <w:bodyDiv w:val="1"/>
      <w:marLeft w:val="0"/>
      <w:marRight w:val="0"/>
      <w:marTop w:val="0"/>
      <w:marBottom w:val="0"/>
      <w:divBdr>
        <w:top w:val="none" w:sz="0" w:space="0" w:color="auto"/>
        <w:left w:val="none" w:sz="0" w:space="0" w:color="auto"/>
        <w:bottom w:val="none" w:sz="0" w:space="0" w:color="auto"/>
        <w:right w:val="none" w:sz="0" w:space="0" w:color="auto"/>
      </w:divBdr>
    </w:div>
    <w:div w:id="236944723">
      <w:bodyDiv w:val="1"/>
      <w:marLeft w:val="0"/>
      <w:marRight w:val="0"/>
      <w:marTop w:val="0"/>
      <w:marBottom w:val="0"/>
      <w:divBdr>
        <w:top w:val="none" w:sz="0" w:space="0" w:color="auto"/>
        <w:left w:val="none" w:sz="0" w:space="0" w:color="auto"/>
        <w:bottom w:val="none" w:sz="0" w:space="0" w:color="auto"/>
        <w:right w:val="none" w:sz="0" w:space="0" w:color="auto"/>
      </w:divBdr>
    </w:div>
    <w:div w:id="244531395">
      <w:bodyDiv w:val="1"/>
      <w:marLeft w:val="0"/>
      <w:marRight w:val="0"/>
      <w:marTop w:val="0"/>
      <w:marBottom w:val="0"/>
      <w:divBdr>
        <w:top w:val="none" w:sz="0" w:space="0" w:color="auto"/>
        <w:left w:val="none" w:sz="0" w:space="0" w:color="auto"/>
        <w:bottom w:val="none" w:sz="0" w:space="0" w:color="auto"/>
        <w:right w:val="none" w:sz="0" w:space="0" w:color="auto"/>
      </w:divBdr>
    </w:div>
    <w:div w:id="246422458">
      <w:bodyDiv w:val="1"/>
      <w:marLeft w:val="0"/>
      <w:marRight w:val="0"/>
      <w:marTop w:val="0"/>
      <w:marBottom w:val="0"/>
      <w:divBdr>
        <w:top w:val="none" w:sz="0" w:space="0" w:color="auto"/>
        <w:left w:val="none" w:sz="0" w:space="0" w:color="auto"/>
        <w:bottom w:val="none" w:sz="0" w:space="0" w:color="auto"/>
        <w:right w:val="none" w:sz="0" w:space="0" w:color="auto"/>
      </w:divBdr>
    </w:div>
    <w:div w:id="257562038">
      <w:bodyDiv w:val="1"/>
      <w:marLeft w:val="0"/>
      <w:marRight w:val="0"/>
      <w:marTop w:val="0"/>
      <w:marBottom w:val="0"/>
      <w:divBdr>
        <w:top w:val="none" w:sz="0" w:space="0" w:color="auto"/>
        <w:left w:val="none" w:sz="0" w:space="0" w:color="auto"/>
        <w:bottom w:val="none" w:sz="0" w:space="0" w:color="auto"/>
        <w:right w:val="none" w:sz="0" w:space="0" w:color="auto"/>
      </w:divBdr>
    </w:div>
    <w:div w:id="291597915">
      <w:bodyDiv w:val="1"/>
      <w:marLeft w:val="0"/>
      <w:marRight w:val="0"/>
      <w:marTop w:val="0"/>
      <w:marBottom w:val="0"/>
      <w:divBdr>
        <w:top w:val="none" w:sz="0" w:space="0" w:color="auto"/>
        <w:left w:val="none" w:sz="0" w:space="0" w:color="auto"/>
        <w:bottom w:val="none" w:sz="0" w:space="0" w:color="auto"/>
        <w:right w:val="none" w:sz="0" w:space="0" w:color="auto"/>
      </w:divBdr>
    </w:div>
    <w:div w:id="299965586">
      <w:bodyDiv w:val="1"/>
      <w:marLeft w:val="0"/>
      <w:marRight w:val="0"/>
      <w:marTop w:val="0"/>
      <w:marBottom w:val="0"/>
      <w:divBdr>
        <w:top w:val="none" w:sz="0" w:space="0" w:color="auto"/>
        <w:left w:val="none" w:sz="0" w:space="0" w:color="auto"/>
        <w:bottom w:val="none" w:sz="0" w:space="0" w:color="auto"/>
        <w:right w:val="none" w:sz="0" w:space="0" w:color="auto"/>
      </w:divBdr>
    </w:div>
    <w:div w:id="301229801">
      <w:bodyDiv w:val="1"/>
      <w:marLeft w:val="0"/>
      <w:marRight w:val="0"/>
      <w:marTop w:val="0"/>
      <w:marBottom w:val="0"/>
      <w:divBdr>
        <w:top w:val="none" w:sz="0" w:space="0" w:color="auto"/>
        <w:left w:val="none" w:sz="0" w:space="0" w:color="auto"/>
        <w:bottom w:val="none" w:sz="0" w:space="0" w:color="auto"/>
        <w:right w:val="none" w:sz="0" w:space="0" w:color="auto"/>
      </w:divBdr>
    </w:div>
    <w:div w:id="311760856">
      <w:bodyDiv w:val="1"/>
      <w:marLeft w:val="0"/>
      <w:marRight w:val="0"/>
      <w:marTop w:val="0"/>
      <w:marBottom w:val="0"/>
      <w:divBdr>
        <w:top w:val="none" w:sz="0" w:space="0" w:color="auto"/>
        <w:left w:val="none" w:sz="0" w:space="0" w:color="auto"/>
        <w:bottom w:val="none" w:sz="0" w:space="0" w:color="auto"/>
        <w:right w:val="none" w:sz="0" w:space="0" w:color="auto"/>
      </w:divBdr>
    </w:div>
    <w:div w:id="360715057">
      <w:bodyDiv w:val="1"/>
      <w:marLeft w:val="0"/>
      <w:marRight w:val="0"/>
      <w:marTop w:val="0"/>
      <w:marBottom w:val="0"/>
      <w:divBdr>
        <w:top w:val="none" w:sz="0" w:space="0" w:color="auto"/>
        <w:left w:val="none" w:sz="0" w:space="0" w:color="auto"/>
        <w:bottom w:val="none" w:sz="0" w:space="0" w:color="auto"/>
        <w:right w:val="none" w:sz="0" w:space="0" w:color="auto"/>
      </w:divBdr>
    </w:div>
    <w:div w:id="364018420">
      <w:bodyDiv w:val="1"/>
      <w:marLeft w:val="0"/>
      <w:marRight w:val="0"/>
      <w:marTop w:val="0"/>
      <w:marBottom w:val="0"/>
      <w:divBdr>
        <w:top w:val="none" w:sz="0" w:space="0" w:color="auto"/>
        <w:left w:val="none" w:sz="0" w:space="0" w:color="auto"/>
        <w:bottom w:val="none" w:sz="0" w:space="0" w:color="auto"/>
        <w:right w:val="none" w:sz="0" w:space="0" w:color="auto"/>
      </w:divBdr>
    </w:div>
    <w:div w:id="401754473">
      <w:bodyDiv w:val="1"/>
      <w:marLeft w:val="0"/>
      <w:marRight w:val="0"/>
      <w:marTop w:val="0"/>
      <w:marBottom w:val="0"/>
      <w:divBdr>
        <w:top w:val="none" w:sz="0" w:space="0" w:color="auto"/>
        <w:left w:val="none" w:sz="0" w:space="0" w:color="auto"/>
        <w:bottom w:val="none" w:sz="0" w:space="0" w:color="auto"/>
        <w:right w:val="none" w:sz="0" w:space="0" w:color="auto"/>
      </w:divBdr>
    </w:div>
    <w:div w:id="401945837">
      <w:bodyDiv w:val="1"/>
      <w:marLeft w:val="0"/>
      <w:marRight w:val="0"/>
      <w:marTop w:val="0"/>
      <w:marBottom w:val="0"/>
      <w:divBdr>
        <w:top w:val="none" w:sz="0" w:space="0" w:color="auto"/>
        <w:left w:val="none" w:sz="0" w:space="0" w:color="auto"/>
        <w:bottom w:val="none" w:sz="0" w:space="0" w:color="auto"/>
        <w:right w:val="none" w:sz="0" w:space="0" w:color="auto"/>
      </w:divBdr>
    </w:div>
    <w:div w:id="422340427">
      <w:bodyDiv w:val="1"/>
      <w:marLeft w:val="0"/>
      <w:marRight w:val="0"/>
      <w:marTop w:val="0"/>
      <w:marBottom w:val="0"/>
      <w:divBdr>
        <w:top w:val="none" w:sz="0" w:space="0" w:color="auto"/>
        <w:left w:val="none" w:sz="0" w:space="0" w:color="auto"/>
        <w:bottom w:val="none" w:sz="0" w:space="0" w:color="auto"/>
        <w:right w:val="none" w:sz="0" w:space="0" w:color="auto"/>
      </w:divBdr>
    </w:div>
    <w:div w:id="426316908">
      <w:bodyDiv w:val="1"/>
      <w:marLeft w:val="0"/>
      <w:marRight w:val="0"/>
      <w:marTop w:val="0"/>
      <w:marBottom w:val="0"/>
      <w:divBdr>
        <w:top w:val="none" w:sz="0" w:space="0" w:color="auto"/>
        <w:left w:val="none" w:sz="0" w:space="0" w:color="auto"/>
        <w:bottom w:val="none" w:sz="0" w:space="0" w:color="auto"/>
        <w:right w:val="none" w:sz="0" w:space="0" w:color="auto"/>
      </w:divBdr>
    </w:div>
    <w:div w:id="446126652">
      <w:bodyDiv w:val="1"/>
      <w:marLeft w:val="0"/>
      <w:marRight w:val="0"/>
      <w:marTop w:val="0"/>
      <w:marBottom w:val="0"/>
      <w:divBdr>
        <w:top w:val="none" w:sz="0" w:space="0" w:color="auto"/>
        <w:left w:val="none" w:sz="0" w:space="0" w:color="auto"/>
        <w:bottom w:val="none" w:sz="0" w:space="0" w:color="auto"/>
        <w:right w:val="none" w:sz="0" w:space="0" w:color="auto"/>
      </w:divBdr>
    </w:div>
    <w:div w:id="491918556">
      <w:bodyDiv w:val="1"/>
      <w:marLeft w:val="0"/>
      <w:marRight w:val="0"/>
      <w:marTop w:val="0"/>
      <w:marBottom w:val="0"/>
      <w:divBdr>
        <w:top w:val="none" w:sz="0" w:space="0" w:color="auto"/>
        <w:left w:val="none" w:sz="0" w:space="0" w:color="auto"/>
        <w:bottom w:val="none" w:sz="0" w:space="0" w:color="auto"/>
        <w:right w:val="none" w:sz="0" w:space="0" w:color="auto"/>
      </w:divBdr>
    </w:div>
    <w:div w:id="543718778">
      <w:bodyDiv w:val="1"/>
      <w:marLeft w:val="0"/>
      <w:marRight w:val="0"/>
      <w:marTop w:val="0"/>
      <w:marBottom w:val="0"/>
      <w:divBdr>
        <w:top w:val="none" w:sz="0" w:space="0" w:color="auto"/>
        <w:left w:val="none" w:sz="0" w:space="0" w:color="auto"/>
        <w:bottom w:val="none" w:sz="0" w:space="0" w:color="auto"/>
        <w:right w:val="none" w:sz="0" w:space="0" w:color="auto"/>
      </w:divBdr>
    </w:div>
    <w:div w:id="548999223">
      <w:bodyDiv w:val="1"/>
      <w:marLeft w:val="0"/>
      <w:marRight w:val="0"/>
      <w:marTop w:val="0"/>
      <w:marBottom w:val="0"/>
      <w:divBdr>
        <w:top w:val="none" w:sz="0" w:space="0" w:color="auto"/>
        <w:left w:val="none" w:sz="0" w:space="0" w:color="auto"/>
        <w:bottom w:val="none" w:sz="0" w:space="0" w:color="auto"/>
        <w:right w:val="none" w:sz="0" w:space="0" w:color="auto"/>
      </w:divBdr>
    </w:div>
    <w:div w:id="600341169">
      <w:bodyDiv w:val="1"/>
      <w:marLeft w:val="0"/>
      <w:marRight w:val="0"/>
      <w:marTop w:val="0"/>
      <w:marBottom w:val="0"/>
      <w:divBdr>
        <w:top w:val="none" w:sz="0" w:space="0" w:color="auto"/>
        <w:left w:val="none" w:sz="0" w:space="0" w:color="auto"/>
        <w:bottom w:val="none" w:sz="0" w:space="0" w:color="auto"/>
        <w:right w:val="none" w:sz="0" w:space="0" w:color="auto"/>
      </w:divBdr>
    </w:div>
    <w:div w:id="625896692">
      <w:bodyDiv w:val="1"/>
      <w:marLeft w:val="0"/>
      <w:marRight w:val="0"/>
      <w:marTop w:val="0"/>
      <w:marBottom w:val="0"/>
      <w:divBdr>
        <w:top w:val="none" w:sz="0" w:space="0" w:color="auto"/>
        <w:left w:val="none" w:sz="0" w:space="0" w:color="auto"/>
        <w:bottom w:val="none" w:sz="0" w:space="0" w:color="auto"/>
        <w:right w:val="none" w:sz="0" w:space="0" w:color="auto"/>
      </w:divBdr>
    </w:div>
    <w:div w:id="674764597">
      <w:bodyDiv w:val="1"/>
      <w:marLeft w:val="0"/>
      <w:marRight w:val="0"/>
      <w:marTop w:val="0"/>
      <w:marBottom w:val="0"/>
      <w:divBdr>
        <w:top w:val="none" w:sz="0" w:space="0" w:color="auto"/>
        <w:left w:val="none" w:sz="0" w:space="0" w:color="auto"/>
        <w:bottom w:val="none" w:sz="0" w:space="0" w:color="auto"/>
        <w:right w:val="none" w:sz="0" w:space="0" w:color="auto"/>
      </w:divBdr>
    </w:div>
    <w:div w:id="677386098">
      <w:bodyDiv w:val="1"/>
      <w:marLeft w:val="0"/>
      <w:marRight w:val="0"/>
      <w:marTop w:val="0"/>
      <w:marBottom w:val="0"/>
      <w:divBdr>
        <w:top w:val="none" w:sz="0" w:space="0" w:color="auto"/>
        <w:left w:val="none" w:sz="0" w:space="0" w:color="auto"/>
        <w:bottom w:val="none" w:sz="0" w:space="0" w:color="auto"/>
        <w:right w:val="none" w:sz="0" w:space="0" w:color="auto"/>
      </w:divBdr>
    </w:div>
    <w:div w:id="685446734">
      <w:bodyDiv w:val="1"/>
      <w:marLeft w:val="0"/>
      <w:marRight w:val="0"/>
      <w:marTop w:val="0"/>
      <w:marBottom w:val="0"/>
      <w:divBdr>
        <w:top w:val="none" w:sz="0" w:space="0" w:color="auto"/>
        <w:left w:val="none" w:sz="0" w:space="0" w:color="auto"/>
        <w:bottom w:val="none" w:sz="0" w:space="0" w:color="auto"/>
        <w:right w:val="none" w:sz="0" w:space="0" w:color="auto"/>
      </w:divBdr>
    </w:div>
    <w:div w:id="708838056">
      <w:bodyDiv w:val="1"/>
      <w:marLeft w:val="0"/>
      <w:marRight w:val="0"/>
      <w:marTop w:val="0"/>
      <w:marBottom w:val="0"/>
      <w:divBdr>
        <w:top w:val="none" w:sz="0" w:space="0" w:color="auto"/>
        <w:left w:val="none" w:sz="0" w:space="0" w:color="auto"/>
        <w:bottom w:val="none" w:sz="0" w:space="0" w:color="auto"/>
        <w:right w:val="none" w:sz="0" w:space="0" w:color="auto"/>
      </w:divBdr>
      <w:divsChild>
        <w:div w:id="1851404509">
          <w:marLeft w:val="360"/>
          <w:marRight w:val="0"/>
          <w:marTop w:val="200"/>
          <w:marBottom w:val="0"/>
          <w:divBdr>
            <w:top w:val="none" w:sz="0" w:space="0" w:color="auto"/>
            <w:left w:val="none" w:sz="0" w:space="0" w:color="auto"/>
            <w:bottom w:val="none" w:sz="0" w:space="0" w:color="auto"/>
            <w:right w:val="none" w:sz="0" w:space="0" w:color="auto"/>
          </w:divBdr>
        </w:div>
      </w:divsChild>
    </w:div>
    <w:div w:id="742608766">
      <w:bodyDiv w:val="1"/>
      <w:marLeft w:val="0"/>
      <w:marRight w:val="0"/>
      <w:marTop w:val="0"/>
      <w:marBottom w:val="0"/>
      <w:divBdr>
        <w:top w:val="none" w:sz="0" w:space="0" w:color="auto"/>
        <w:left w:val="none" w:sz="0" w:space="0" w:color="auto"/>
        <w:bottom w:val="none" w:sz="0" w:space="0" w:color="auto"/>
        <w:right w:val="none" w:sz="0" w:space="0" w:color="auto"/>
      </w:divBdr>
    </w:div>
    <w:div w:id="755710903">
      <w:bodyDiv w:val="1"/>
      <w:marLeft w:val="0"/>
      <w:marRight w:val="0"/>
      <w:marTop w:val="0"/>
      <w:marBottom w:val="0"/>
      <w:divBdr>
        <w:top w:val="none" w:sz="0" w:space="0" w:color="auto"/>
        <w:left w:val="none" w:sz="0" w:space="0" w:color="auto"/>
        <w:bottom w:val="none" w:sz="0" w:space="0" w:color="auto"/>
        <w:right w:val="none" w:sz="0" w:space="0" w:color="auto"/>
      </w:divBdr>
    </w:div>
    <w:div w:id="758984495">
      <w:bodyDiv w:val="1"/>
      <w:marLeft w:val="0"/>
      <w:marRight w:val="0"/>
      <w:marTop w:val="0"/>
      <w:marBottom w:val="0"/>
      <w:divBdr>
        <w:top w:val="none" w:sz="0" w:space="0" w:color="auto"/>
        <w:left w:val="none" w:sz="0" w:space="0" w:color="auto"/>
        <w:bottom w:val="none" w:sz="0" w:space="0" w:color="auto"/>
        <w:right w:val="none" w:sz="0" w:space="0" w:color="auto"/>
      </w:divBdr>
    </w:div>
    <w:div w:id="763300468">
      <w:bodyDiv w:val="1"/>
      <w:marLeft w:val="0"/>
      <w:marRight w:val="0"/>
      <w:marTop w:val="0"/>
      <w:marBottom w:val="0"/>
      <w:divBdr>
        <w:top w:val="none" w:sz="0" w:space="0" w:color="auto"/>
        <w:left w:val="none" w:sz="0" w:space="0" w:color="auto"/>
        <w:bottom w:val="none" w:sz="0" w:space="0" w:color="auto"/>
        <w:right w:val="none" w:sz="0" w:space="0" w:color="auto"/>
      </w:divBdr>
    </w:div>
    <w:div w:id="779449127">
      <w:bodyDiv w:val="1"/>
      <w:marLeft w:val="0"/>
      <w:marRight w:val="0"/>
      <w:marTop w:val="0"/>
      <w:marBottom w:val="0"/>
      <w:divBdr>
        <w:top w:val="none" w:sz="0" w:space="0" w:color="auto"/>
        <w:left w:val="none" w:sz="0" w:space="0" w:color="auto"/>
        <w:bottom w:val="none" w:sz="0" w:space="0" w:color="auto"/>
        <w:right w:val="none" w:sz="0" w:space="0" w:color="auto"/>
      </w:divBdr>
    </w:div>
    <w:div w:id="787284136">
      <w:bodyDiv w:val="1"/>
      <w:marLeft w:val="0"/>
      <w:marRight w:val="0"/>
      <w:marTop w:val="0"/>
      <w:marBottom w:val="0"/>
      <w:divBdr>
        <w:top w:val="none" w:sz="0" w:space="0" w:color="auto"/>
        <w:left w:val="none" w:sz="0" w:space="0" w:color="auto"/>
        <w:bottom w:val="none" w:sz="0" w:space="0" w:color="auto"/>
        <w:right w:val="none" w:sz="0" w:space="0" w:color="auto"/>
      </w:divBdr>
    </w:div>
    <w:div w:id="794256154">
      <w:bodyDiv w:val="1"/>
      <w:marLeft w:val="0"/>
      <w:marRight w:val="0"/>
      <w:marTop w:val="0"/>
      <w:marBottom w:val="0"/>
      <w:divBdr>
        <w:top w:val="none" w:sz="0" w:space="0" w:color="auto"/>
        <w:left w:val="none" w:sz="0" w:space="0" w:color="auto"/>
        <w:bottom w:val="none" w:sz="0" w:space="0" w:color="auto"/>
        <w:right w:val="none" w:sz="0" w:space="0" w:color="auto"/>
      </w:divBdr>
    </w:div>
    <w:div w:id="801072644">
      <w:bodyDiv w:val="1"/>
      <w:marLeft w:val="0"/>
      <w:marRight w:val="0"/>
      <w:marTop w:val="0"/>
      <w:marBottom w:val="0"/>
      <w:divBdr>
        <w:top w:val="none" w:sz="0" w:space="0" w:color="auto"/>
        <w:left w:val="none" w:sz="0" w:space="0" w:color="auto"/>
        <w:bottom w:val="none" w:sz="0" w:space="0" w:color="auto"/>
        <w:right w:val="none" w:sz="0" w:space="0" w:color="auto"/>
      </w:divBdr>
    </w:div>
    <w:div w:id="801339272">
      <w:bodyDiv w:val="1"/>
      <w:marLeft w:val="0"/>
      <w:marRight w:val="0"/>
      <w:marTop w:val="0"/>
      <w:marBottom w:val="0"/>
      <w:divBdr>
        <w:top w:val="none" w:sz="0" w:space="0" w:color="auto"/>
        <w:left w:val="none" w:sz="0" w:space="0" w:color="auto"/>
        <w:bottom w:val="none" w:sz="0" w:space="0" w:color="auto"/>
        <w:right w:val="none" w:sz="0" w:space="0" w:color="auto"/>
      </w:divBdr>
    </w:div>
    <w:div w:id="807279284">
      <w:bodyDiv w:val="1"/>
      <w:marLeft w:val="0"/>
      <w:marRight w:val="0"/>
      <w:marTop w:val="0"/>
      <w:marBottom w:val="0"/>
      <w:divBdr>
        <w:top w:val="none" w:sz="0" w:space="0" w:color="auto"/>
        <w:left w:val="none" w:sz="0" w:space="0" w:color="auto"/>
        <w:bottom w:val="none" w:sz="0" w:space="0" w:color="auto"/>
        <w:right w:val="none" w:sz="0" w:space="0" w:color="auto"/>
      </w:divBdr>
    </w:div>
    <w:div w:id="859978381">
      <w:bodyDiv w:val="1"/>
      <w:marLeft w:val="0"/>
      <w:marRight w:val="0"/>
      <w:marTop w:val="0"/>
      <w:marBottom w:val="0"/>
      <w:divBdr>
        <w:top w:val="none" w:sz="0" w:space="0" w:color="auto"/>
        <w:left w:val="none" w:sz="0" w:space="0" w:color="auto"/>
        <w:bottom w:val="none" w:sz="0" w:space="0" w:color="auto"/>
        <w:right w:val="none" w:sz="0" w:space="0" w:color="auto"/>
      </w:divBdr>
    </w:div>
    <w:div w:id="860555501">
      <w:bodyDiv w:val="1"/>
      <w:marLeft w:val="0"/>
      <w:marRight w:val="0"/>
      <w:marTop w:val="0"/>
      <w:marBottom w:val="0"/>
      <w:divBdr>
        <w:top w:val="none" w:sz="0" w:space="0" w:color="auto"/>
        <w:left w:val="none" w:sz="0" w:space="0" w:color="auto"/>
        <w:bottom w:val="none" w:sz="0" w:space="0" w:color="auto"/>
        <w:right w:val="none" w:sz="0" w:space="0" w:color="auto"/>
      </w:divBdr>
    </w:div>
    <w:div w:id="862013470">
      <w:bodyDiv w:val="1"/>
      <w:marLeft w:val="0"/>
      <w:marRight w:val="0"/>
      <w:marTop w:val="0"/>
      <w:marBottom w:val="0"/>
      <w:divBdr>
        <w:top w:val="none" w:sz="0" w:space="0" w:color="auto"/>
        <w:left w:val="none" w:sz="0" w:space="0" w:color="auto"/>
        <w:bottom w:val="none" w:sz="0" w:space="0" w:color="auto"/>
        <w:right w:val="none" w:sz="0" w:space="0" w:color="auto"/>
      </w:divBdr>
    </w:div>
    <w:div w:id="862090064">
      <w:bodyDiv w:val="1"/>
      <w:marLeft w:val="0"/>
      <w:marRight w:val="0"/>
      <w:marTop w:val="0"/>
      <w:marBottom w:val="0"/>
      <w:divBdr>
        <w:top w:val="none" w:sz="0" w:space="0" w:color="auto"/>
        <w:left w:val="none" w:sz="0" w:space="0" w:color="auto"/>
        <w:bottom w:val="none" w:sz="0" w:space="0" w:color="auto"/>
        <w:right w:val="none" w:sz="0" w:space="0" w:color="auto"/>
      </w:divBdr>
    </w:div>
    <w:div w:id="900554476">
      <w:bodyDiv w:val="1"/>
      <w:marLeft w:val="0"/>
      <w:marRight w:val="0"/>
      <w:marTop w:val="0"/>
      <w:marBottom w:val="0"/>
      <w:divBdr>
        <w:top w:val="none" w:sz="0" w:space="0" w:color="auto"/>
        <w:left w:val="none" w:sz="0" w:space="0" w:color="auto"/>
        <w:bottom w:val="none" w:sz="0" w:space="0" w:color="auto"/>
        <w:right w:val="none" w:sz="0" w:space="0" w:color="auto"/>
      </w:divBdr>
    </w:div>
    <w:div w:id="904411488">
      <w:bodyDiv w:val="1"/>
      <w:marLeft w:val="0"/>
      <w:marRight w:val="0"/>
      <w:marTop w:val="0"/>
      <w:marBottom w:val="0"/>
      <w:divBdr>
        <w:top w:val="none" w:sz="0" w:space="0" w:color="auto"/>
        <w:left w:val="none" w:sz="0" w:space="0" w:color="auto"/>
        <w:bottom w:val="none" w:sz="0" w:space="0" w:color="auto"/>
        <w:right w:val="none" w:sz="0" w:space="0" w:color="auto"/>
      </w:divBdr>
    </w:div>
    <w:div w:id="906574019">
      <w:bodyDiv w:val="1"/>
      <w:marLeft w:val="0"/>
      <w:marRight w:val="0"/>
      <w:marTop w:val="0"/>
      <w:marBottom w:val="0"/>
      <w:divBdr>
        <w:top w:val="none" w:sz="0" w:space="0" w:color="auto"/>
        <w:left w:val="none" w:sz="0" w:space="0" w:color="auto"/>
        <w:bottom w:val="none" w:sz="0" w:space="0" w:color="auto"/>
        <w:right w:val="none" w:sz="0" w:space="0" w:color="auto"/>
      </w:divBdr>
    </w:div>
    <w:div w:id="910966193">
      <w:bodyDiv w:val="1"/>
      <w:marLeft w:val="0"/>
      <w:marRight w:val="0"/>
      <w:marTop w:val="0"/>
      <w:marBottom w:val="0"/>
      <w:divBdr>
        <w:top w:val="none" w:sz="0" w:space="0" w:color="auto"/>
        <w:left w:val="none" w:sz="0" w:space="0" w:color="auto"/>
        <w:bottom w:val="none" w:sz="0" w:space="0" w:color="auto"/>
        <w:right w:val="none" w:sz="0" w:space="0" w:color="auto"/>
      </w:divBdr>
    </w:div>
    <w:div w:id="932856454">
      <w:bodyDiv w:val="1"/>
      <w:marLeft w:val="0"/>
      <w:marRight w:val="0"/>
      <w:marTop w:val="0"/>
      <w:marBottom w:val="0"/>
      <w:divBdr>
        <w:top w:val="none" w:sz="0" w:space="0" w:color="auto"/>
        <w:left w:val="none" w:sz="0" w:space="0" w:color="auto"/>
        <w:bottom w:val="none" w:sz="0" w:space="0" w:color="auto"/>
        <w:right w:val="none" w:sz="0" w:space="0" w:color="auto"/>
      </w:divBdr>
    </w:div>
    <w:div w:id="937441479">
      <w:bodyDiv w:val="1"/>
      <w:marLeft w:val="0"/>
      <w:marRight w:val="0"/>
      <w:marTop w:val="0"/>
      <w:marBottom w:val="0"/>
      <w:divBdr>
        <w:top w:val="none" w:sz="0" w:space="0" w:color="auto"/>
        <w:left w:val="none" w:sz="0" w:space="0" w:color="auto"/>
        <w:bottom w:val="none" w:sz="0" w:space="0" w:color="auto"/>
        <w:right w:val="none" w:sz="0" w:space="0" w:color="auto"/>
      </w:divBdr>
    </w:div>
    <w:div w:id="948780290">
      <w:bodyDiv w:val="1"/>
      <w:marLeft w:val="0"/>
      <w:marRight w:val="0"/>
      <w:marTop w:val="0"/>
      <w:marBottom w:val="0"/>
      <w:divBdr>
        <w:top w:val="none" w:sz="0" w:space="0" w:color="auto"/>
        <w:left w:val="none" w:sz="0" w:space="0" w:color="auto"/>
        <w:bottom w:val="none" w:sz="0" w:space="0" w:color="auto"/>
        <w:right w:val="none" w:sz="0" w:space="0" w:color="auto"/>
      </w:divBdr>
    </w:div>
    <w:div w:id="951479668">
      <w:bodyDiv w:val="1"/>
      <w:marLeft w:val="0"/>
      <w:marRight w:val="0"/>
      <w:marTop w:val="0"/>
      <w:marBottom w:val="0"/>
      <w:divBdr>
        <w:top w:val="none" w:sz="0" w:space="0" w:color="auto"/>
        <w:left w:val="none" w:sz="0" w:space="0" w:color="auto"/>
        <w:bottom w:val="none" w:sz="0" w:space="0" w:color="auto"/>
        <w:right w:val="none" w:sz="0" w:space="0" w:color="auto"/>
      </w:divBdr>
    </w:div>
    <w:div w:id="953367532">
      <w:bodyDiv w:val="1"/>
      <w:marLeft w:val="0"/>
      <w:marRight w:val="0"/>
      <w:marTop w:val="0"/>
      <w:marBottom w:val="0"/>
      <w:divBdr>
        <w:top w:val="none" w:sz="0" w:space="0" w:color="auto"/>
        <w:left w:val="none" w:sz="0" w:space="0" w:color="auto"/>
        <w:bottom w:val="none" w:sz="0" w:space="0" w:color="auto"/>
        <w:right w:val="none" w:sz="0" w:space="0" w:color="auto"/>
      </w:divBdr>
    </w:div>
    <w:div w:id="990863268">
      <w:bodyDiv w:val="1"/>
      <w:marLeft w:val="0"/>
      <w:marRight w:val="0"/>
      <w:marTop w:val="0"/>
      <w:marBottom w:val="0"/>
      <w:divBdr>
        <w:top w:val="none" w:sz="0" w:space="0" w:color="auto"/>
        <w:left w:val="none" w:sz="0" w:space="0" w:color="auto"/>
        <w:bottom w:val="none" w:sz="0" w:space="0" w:color="auto"/>
        <w:right w:val="none" w:sz="0" w:space="0" w:color="auto"/>
      </w:divBdr>
    </w:div>
    <w:div w:id="1028409840">
      <w:bodyDiv w:val="1"/>
      <w:marLeft w:val="0"/>
      <w:marRight w:val="0"/>
      <w:marTop w:val="0"/>
      <w:marBottom w:val="0"/>
      <w:divBdr>
        <w:top w:val="none" w:sz="0" w:space="0" w:color="auto"/>
        <w:left w:val="none" w:sz="0" w:space="0" w:color="auto"/>
        <w:bottom w:val="none" w:sz="0" w:space="0" w:color="auto"/>
        <w:right w:val="none" w:sz="0" w:space="0" w:color="auto"/>
      </w:divBdr>
    </w:div>
    <w:div w:id="1038550761">
      <w:bodyDiv w:val="1"/>
      <w:marLeft w:val="0"/>
      <w:marRight w:val="0"/>
      <w:marTop w:val="0"/>
      <w:marBottom w:val="0"/>
      <w:divBdr>
        <w:top w:val="none" w:sz="0" w:space="0" w:color="auto"/>
        <w:left w:val="none" w:sz="0" w:space="0" w:color="auto"/>
        <w:bottom w:val="none" w:sz="0" w:space="0" w:color="auto"/>
        <w:right w:val="none" w:sz="0" w:space="0" w:color="auto"/>
      </w:divBdr>
    </w:div>
    <w:div w:id="1049500282">
      <w:bodyDiv w:val="1"/>
      <w:marLeft w:val="0"/>
      <w:marRight w:val="0"/>
      <w:marTop w:val="0"/>
      <w:marBottom w:val="0"/>
      <w:divBdr>
        <w:top w:val="none" w:sz="0" w:space="0" w:color="auto"/>
        <w:left w:val="none" w:sz="0" w:space="0" w:color="auto"/>
        <w:bottom w:val="none" w:sz="0" w:space="0" w:color="auto"/>
        <w:right w:val="none" w:sz="0" w:space="0" w:color="auto"/>
      </w:divBdr>
    </w:div>
    <w:div w:id="1058286405">
      <w:bodyDiv w:val="1"/>
      <w:marLeft w:val="0"/>
      <w:marRight w:val="0"/>
      <w:marTop w:val="0"/>
      <w:marBottom w:val="0"/>
      <w:divBdr>
        <w:top w:val="none" w:sz="0" w:space="0" w:color="auto"/>
        <w:left w:val="none" w:sz="0" w:space="0" w:color="auto"/>
        <w:bottom w:val="none" w:sz="0" w:space="0" w:color="auto"/>
        <w:right w:val="none" w:sz="0" w:space="0" w:color="auto"/>
      </w:divBdr>
    </w:div>
    <w:div w:id="1081029942">
      <w:bodyDiv w:val="1"/>
      <w:marLeft w:val="0"/>
      <w:marRight w:val="0"/>
      <w:marTop w:val="0"/>
      <w:marBottom w:val="0"/>
      <w:divBdr>
        <w:top w:val="none" w:sz="0" w:space="0" w:color="auto"/>
        <w:left w:val="none" w:sz="0" w:space="0" w:color="auto"/>
        <w:bottom w:val="none" w:sz="0" w:space="0" w:color="auto"/>
        <w:right w:val="none" w:sz="0" w:space="0" w:color="auto"/>
      </w:divBdr>
    </w:div>
    <w:div w:id="1110124537">
      <w:bodyDiv w:val="1"/>
      <w:marLeft w:val="0"/>
      <w:marRight w:val="0"/>
      <w:marTop w:val="0"/>
      <w:marBottom w:val="0"/>
      <w:divBdr>
        <w:top w:val="none" w:sz="0" w:space="0" w:color="auto"/>
        <w:left w:val="none" w:sz="0" w:space="0" w:color="auto"/>
        <w:bottom w:val="none" w:sz="0" w:space="0" w:color="auto"/>
        <w:right w:val="none" w:sz="0" w:space="0" w:color="auto"/>
      </w:divBdr>
    </w:div>
    <w:div w:id="1124302241">
      <w:bodyDiv w:val="1"/>
      <w:marLeft w:val="0"/>
      <w:marRight w:val="0"/>
      <w:marTop w:val="0"/>
      <w:marBottom w:val="0"/>
      <w:divBdr>
        <w:top w:val="none" w:sz="0" w:space="0" w:color="auto"/>
        <w:left w:val="none" w:sz="0" w:space="0" w:color="auto"/>
        <w:bottom w:val="none" w:sz="0" w:space="0" w:color="auto"/>
        <w:right w:val="none" w:sz="0" w:space="0" w:color="auto"/>
      </w:divBdr>
    </w:div>
    <w:div w:id="1176770475">
      <w:bodyDiv w:val="1"/>
      <w:marLeft w:val="0"/>
      <w:marRight w:val="0"/>
      <w:marTop w:val="0"/>
      <w:marBottom w:val="0"/>
      <w:divBdr>
        <w:top w:val="none" w:sz="0" w:space="0" w:color="auto"/>
        <w:left w:val="none" w:sz="0" w:space="0" w:color="auto"/>
        <w:bottom w:val="none" w:sz="0" w:space="0" w:color="auto"/>
        <w:right w:val="none" w:sz="0" w:space="0" w:color="auto"/>
      </w:divBdr>
    </w:div>
    <w:div w:id="1185485026">
      <w:bodyDiv w:val="1"/>
      <w:marLeft w:val="0"/>
      <w:marRight w:val="0"/>
      <w:marTop w:val="0"/>
      <w:marBottom w:val="0"/>
      <w:divBdr>
        <w:top w:val="none" w:sz="0" w:space="0" w:color="auto"/>
        <w:left w:val="none" w:sz="0" w:space="0" w:color="auto"/>
        <w:bottom w:val="none" w:sz="0" w:space="0" w:color="auto"/>
        <w:right w:val="none" w:sz="0" w:space="0" w:color="auto"/>
      </w:divBdr>
    </w:div>
    <w:div w:id="1193226814">
      <w:bodyDiv w:val="1"/>
      <w:marLeft w:val="0"/>
      <w:marRight w:val="0"/>
      <w:marTop w:val="0"/>
      <w:marBottom w:val="0"/>
      <w:divBdr>
        <w:top w:val="none" w:sz="0" w:space="0" w:color="auto"/>
        <w:left w:val="none" w:sz="0" w:space="0" w:color="auto"/>
        <w:bottom w:val="none" w:sz="0" w:space="0" w:color="auto"/>
        <w:right w:val="none" w:sz="0" w:space="0" w:color="auto"/>
      </w:divBdr>
    </w:div>
    <w:div w:id="1215700799">
      <w:bodyDiv w:val="1"/>
      <w:marLeft w:val="0"/>
      <w:marRight w:val="0"/>
      <w:marTop w:val="0"/>
      <w:marBottom w:val="0"/>
      <w:divBdr>
        <w:top w:val="none" w:sz="0" w:space="0" w:color="auto"/>
        <w:left w:val="none" w:sz="0" w:space="0" w:color="auto"/>
        <w:bottom w:val="none" w:sz="0" w:space="0" w:color="auto"/>
        <w:right w:val="none" w:sz="0" w:space="0" w:color="auto"/>
      </w:divBdr>
    </w:div>
    <w:div w:id="1221941636">
      <w:bodyDiv w:val="1"/>
      <w:marLeft w:val="0"/>
      <w:marRight w:val="0"/>
      <w:marTop w:val="0"/>
      <w:marBottom w:val="0"/>
      <w:divBdr>
        <w:top w:val="none" w:sz="0" w:space="0" w:color="auto"/>
        <w:left w:val="none" w:sz="0" w:space="0" w:color="auto"/>
        <w:bottom w:val="none" w:sz="0" w:space="0" w:color="auto"/>
        <w:right w:val="none" w:sz="0" w:space="0" w:color="auto"/>
      </w:divBdr>
    </w:div>
    <w:div w:id="1229881002">
      <w:bodyDiv w:val="1"/>
      <w:marLeft w:val="0"/>
      <w:marRight w:val="0"/>
      <w:marTop w:val="0"/>
      <w:marBottom w:val="0"/>
      <w:divBdr>
        <w:top w:val="none" w:sz="0" w:space="0" w:color="auto"/>
        <w:left w:val="none" w:sz="0" w:space="0" w:color="auto"/>
        <w:bottom w:val="none" w:sz="0" w:space="0" w:color="auto"/>
        <w:right w:val="none" w:sz="0" w:space="0" w:color="auto"/>
      </w:divBdr>
    </w:div>
    <w:div w:id="1237593050">
      <w:bodyDiv w:val="1"/>
      <w:marLeft w:val="0"/>
      <w:marRight w:val="0"/>
      <w:marTop w:val="0"/>
      <w:marBottom w:val="0"/>
      <w:divBdr>
        <w:top w:val="none" w:sz="0" w:space="0" w:color="auto"/>
        <w:left w:val="none" w:sz="0" w:space="0" w:color="auto"/>
        <w:bottom w:val="none" w:sz="0" w:space="0" w:color="auto"/>
        <w:right w:val="none" w:sz="0" w:space="0" w:color="auto"/>
      </w:divBdr>
    </w:div>
    <w:div w:id="1252280854">
      <w:bodyDiv w:val="1"/>
      <w:marLeft w:val="0"/>
      <w:marRight w:val="0"/>
      <w:marTop w:val="0"/>
      <w:marBottom w:val="0"/>
      <w:divBdr>
        <w:top w:val="none" w:sz="0" w:space="0" w:color="auto"/>
        <w:left w:val="none" w:sz="0" w:space="0" w:color="auto"/>
        <w:bottom w:val="none" w:sz="0" w:space="0" w:color="auto"/>
        <w:right w:val="none" w:sz="0" w:space="0" w:color="auto"/>
      </w:divBdr>
    </w:div>
    <w:div w:id="1261060187">
      <w:bodyDiv w:val="1"/>
      <w:marLeft w:val="0"/>
      <w:marRight w:val="0"/>
      <w:marTop w:val="0"/>
      <w:marBottom w:val="0"/>
      <w:divBdr>
        <w:top w:val="none" w:sz="0" w:space="0" w:color="auto"/>
        <w:left w:val="none" w:sz="0" w:space="0" w:color="auto"/>
        <w:bottom w:val="none" w:sz="0" w:space="0" w:color="auto"/>
        <w:right w:val="none" w:sz="0" w:space="0" w:color="auto"/>
      </w:divBdr>
    </w:div>
    <w:div w:id="1275359095">
      <w:bodyDiv w:val="1"/>
      <w:marLeft w:val="0"/>
      <w:marRight w:val="0"/>
      <w:marTop w:val="0"/>
      <w:marBottom w:val="0"/>
      <w:divBdr>
        <w:top w:val="none" w:sz="0" w:space="0" w:color="auto"/>
        <w:left w:val="none" w:sz="0" w:space="0" w:color="auto"/>
        <w:bottom w:val="none" w:sz="0" w:space="0" w:color="auto"/>
        <w:right w:val="none" w:sz="0" w:space="0" w:color="auto"/>
      </w:divBdr>
    </w:div>
    <w:div w:id="1297375346">
      <w:bodyDiv w:val="1"/>
      <w:marLeft w:val="0"/>
      <w:marRight w:val="0"/>
      <w:marTop w:val="0"/>
      <w:marBottom w:val="0"/>
      <w:divBdr>
        <w:top w:val="none" w:sz="0" w:space="0" w:color="auto"/>
        <w:left w:val="none" w:sz="0" w:space="0" w:color="auto"/>
        <w:bottom w:val="none" w:sz="0" w:space="0" w:color="auto"/>
        <w:right w:val="none" w:sz="0" w:space="0" w:color="auto"/>
      </w:divBdr>
    </w:div>
    <w:div w:id="1331324760">
      <w:bodyDiv w:val="1"/>
      <w:marLeft w:val="0"/>
      <w:marRight w:val="0"/>
      <w:marTop w:val="0"/>
      <w:marBottom w:val="0"/>
      <w:divBdr>
        <w:top w:val="none" w:sz="0" w:space="0" w:color="auto"/>
        <w:left w:val="none" w:sz="0" w:space="0" w:color="auto"/>
        <w:bottom w:val="none" w:sz="0" w:space="0" w:color="auto"/>
        <w:right w:val="none" w:sz="0" w:space="0" w:color="auto"/>
      </w:divBdr>
    </w:div>
    <w:div w:id="1343702811">
      <w:bodyDiv w:val="1"/>
      <w:marLeft w:val="0"/>
      <w:marRight w:val="0"/>
      <w:marTop w:val="0"/>
      <w:marBottom w:val="0"/>
      <w:divBdr>
        <w:top w:val="none" w:sz="0" w:space="0" w:color="auto"/>
        <w:left w:val="none" w:sz="0" w:space="0" w:color="auto"/>
        <w:bottom w:val="none" w:sz="0" w:space="0" w:color="auto"/>
        <w:right w:val="none" w:sz="0" w:space="0" w:color="auto"/>
      </w:divBdr>
    </w:div>
    <w:div w:id="1345093358">
      <w:bodyDiv w:val="1"/>
      <w:marLeft w:val="0"/>
      <w:marRight w:val="0"/>
      <w:marTop w:val="0"/>
      <w:marBottom w:val="0"/>
      <w:divBdr>
        <w:top w:val="none" w:sz="0" w:space="0" w:color="auto"/>
        <w:left w:val="none" w:sz="0" w:space="0" w:color="auto"/>
        <w:bottom w:val="none" w:sz="0" w:space="0" w:color="auto"/>
        <w:right w:val="none" w:sz="0" w:space="0" w:color="auto"/>
      </w:divBdr>
    </w:div>
    <w:div w:id="1370030563">
      <w:bodyDiv w:val="1"/>
      <w:marLeft w:val="0"/>
      <w:marRight w:val="0"/>
      <w:marTop w:val="0"/>
      <w:marBottom w:val="0"/>
      <w:divBdr>
        <w:top w:val="none" w:sz="0" w:space="0" w:color="auto"/>
        <w:left w:val="none" w:sz="0" w:space="0" w:color="auto"/>
        <w:bottom w:val="none" w:sz="0" w:space="0" w:color="auto"/>
        <w:right w:val="none" w:sz="0" w:space="0" w:color="auto"/>
      </w:divBdr>
    </w:div>
    <w:div w:id="1396704457">
      <w:bodyDiv w:val="1"/>
      <w:marLeft w:val="0"/>
      <w:marRight w:val="0"/>
      <w:marTop w:val="0"/>
      <w:marBottom w:val="0"/>
      <w:divBdr>
        <w:top w:val="none" w:sz="0" w:space="0" w:color="auto"/>
        <w:left w:val="none" w:sz="0" w:space="0" w:color="auto"/>
        <w:bottom w:val="none" w:sz="0" w:space="0" w:color="auto"/>
        <w:right w:val="none" w:sz="0" w:space="0" w:color="auto"/>
      </w:divBdr>
    </w:div>
    <w:div w:id="1398045813">
      <w:bodyDiv w:val="1"/>
      <w:marLeft w:val="0"/>
      <w:marRight w:val="0"/>
      <w:marTop w:val="0"/>
      <w:marBottom w:val="0"/>
      <w:divBdr>
        <w:top w:val="none" w:sz="0" w:space="0" w:color="auto"/>
        <w:left w:val="none" w:sz="0" w:space="0" w:color="auto"/>
        <w:bottom w:val="none" w:sz="0" w:space="0" w:color="auto"/>
        <w:right w:val="none" w:sz="0" w:space="0" w:color="auto"/>
      </w:divBdr>
    </w:div>
    <w:div w:id="1413700326">
      <w:bodyDiv w:val="1"/>
      <w:marLeft w:val="0"/>
      <w:marRight w:val="0"/>
      <w:marTop w:val="0"/>
      <w:marBottom w:val="0"/>
      <w:divBdr>
        <w:top w:val="none" w:sz="0" w:space="0" w:color="auto"/>
        <w:left w:val="none" w:sz="0" w:space="0" w:color="auto"/>
        <w:bottom w:val="none" w:sz="0" w:space="0" w:color="auto"/>
        <w:right w:val="none" w:sz="0" w:space="0" w:color="auto"/>
      </w:divBdr>
    </w:div>
    <w:div w:id="1440222852">
      <w:bodyDiv w:val="1"/>
      <w:marLeft w:val="0"/>
      <w:marRight w:val="0"/>
      <w:marTop w:val="0"/>
      <w:marBottom w:val="0"/>
      <w:divBdr>
        <w:top w:val="none" w:sz="0" w:space="0" w:color="auto"/>
        <w:left w:val="none" w:sz="0" w:space="0" w:color="auto"/>
        <w:bottom w:val="none" w:sz="0" w:space="0" w:color="auto"/>
        <w:right w:val="none" w:sz="0" w:space="0" w:color="auto"/>
      </w:divBdr>
    </w:div>
    <w:div w:id="1440956272">
      <w:bodyDiv w:val="1"/>
      <w:marLeft w:val="0"/>
      <w:marRight w:val="0"/>
      <w:marTop w:val="0"/>
      <w:marBottom w:val="0"/>
      <w:divBdr>
        <w:top w:val="none" w:sz="0" w:space="0" w:color="auto"/>
        <w:left w:val="none" w:sz="0" w:space="0" w:color="auto"/>
        <w:bottom w:val="none" w:sz="0" w:space="0" w:color="auto"/>
        <w:right w:val="none" w:sz="0" w:space="0" w:color="auto"/>
      </w:divBdr>
    </w:div>
    <w:div w:id="1447847083">
      <w:bodyDiv w:val="1"/>
      <w:marLeft w:val="0"/>
      <w:marRight w:val="0"/>
      <w:marTop w:val="0"/>
      <w:marBottom w:val="0"/>
      <w:divBdr>
        <w:top w:val="none" w:sz="0" w:space="0" w:color="auto"/>
        <w:left w:val="none" w:sz="0" w:space="0" w:color="auto"/>
        <w:bottom w:val="none" w:sz="0" w:space="0" w:color="auto"/>
        <w:right w:val="none" w:sz="0" w:space="0" w:color="auto"/>
      </w:divBdr>
    </w:div>
    <w:div w:id="1448891252">
      <w:bodyDiv w:val="1"/>
      <w:marLeft w:val="0"/>
      <w:marRight w:val="0"/>
      <w:marTop w:val="0"/>
      <w:marBottom w:val="0"/>
      <w:divBdr>
        <w:top w:val="none" w:sz="0" w:space="0" w:color="auto"/>
        <w:left w:val="none" w:sz="0" w:space="0" w:color="auto"/>
        <w:bottom w:val="none" w:sz="0" w:space="0" w:color="auto"/>
        <w:right w:val="none" w:sz="0" w:space="0" w:color="auto"/>
      </w:divBdr>
    </w:div>
    <w:div w:id="1450735456">
      <w:bodyDiv w:val="1"/>
      <w:marLeft w:val="0"/>
      <w:marRight w:val="0"/>
      <w:marTop w:val="0"/>
      <w:marBottom w:val="0"/>
      <w:divBdr>
        <w:top w:val="none" w:sz="0" w:space="0" w:color="auto"/>
        <w:left w:val="none" w:sz="0" w:space="0" w:color="auto"/>
        <w:bottom w:val="none" w:sz="0" w:space="0" w:color="auto"/>
        <w:right w:val="none" w:sz="0" w:space="0" w:color="auto"/>
      </w:divBdr>
    </w:div>
    <w:div w:id="1468887870">
      <w:bodyDiv w:val="1"/>
      <w:marLeft w:val="0"/>
      <w:marRight w:val="0"/>
      <w:marTop w:val="0"/>
      <w:marBottom w:val="0"/>
      <w:divBdr>
        <w:top w:val="none" w:sz="0" w:space="0" w:color="auto"/>
        <w:left w:val="none" w:sz="0" w:space="0" w:color="auto"/>
        <w:bottom w:val="none" w:sz="0" w:space="0" w:color="auto"/>
        <w:right w:val="none" w:sz="0" w:space="0" w:color="auto"/>
      </w:divBdr>
    </w:div>
    <w:div w:id="1492795562">
      <w:bodyDiv w:val="1"/>
      <w:marLeft w:val="0"/>
      <w:marRight w:val="0"/>
      <w:marTop w:val="0"/>
      <w:marBottom w:val="0"/>
      <w:divBdr>
        <w:top w:val="none" w:sz="0" w:space="0" w:color="auto"/>
        <w:left w:val="none" w:sz="0" w:space="0" w:color="auto"/>
        <w:bottom w:val="none" w:sz="0" w:space="0" w:color="auto"/>
        <w:right w:val="none" w:sz="0" w:space="0" w:color="auto"/>
      </w:divBdr>
    </w:div>
    <w:div w:id="1509754134">
      <w:bodyDiv w:val="1"/>
      <w:marLeft w:val="0"/>
      <w:marRight w:val="0"/>
      <w:marTop w:val="0"/>
      <w:marBottom w:val="0"/>
      <w:divBdr>
        <w:top w:val="none" w:sz="0" w:space="0" w:color="auto"/>
        <w:left w:val="none" w:sz="0" w:space="0" w:color="auto"/>
        <w:bottom w:val="none" w:sz="0" w:space="0" w:color="auto"/>
        <w:right w:val="none" w:sz="0" w:space="0" w:color="auto"/>
      </w:divBdr>
    </w:div>
    <w:div w:id="1529029439">
      <w:bodyDiv w:val="1"/>
      <w:marLeft w:val="0"/>
      <w:marRight w:val="0"/>
      <w:marTop w:val="0"/>
      <w:marBottom w:val="0"/>
      <w:divBdr>
        <w:top w:val="none" w:sz="0" w:space="0" w:color="auto"/>
        <w:left w:val="none" w:sz="0" w:space="0" w:color="auto"/>
        <w:bottom w:val="none" w:sz="0" w:space="0" w:color="auto"/>
        <w:right w:val="none" w:sz="0" w:space="0" w:color="auto"/>
      </w:divBdr>
    </w:div>
    <w:div w:id="1530334114">
      <w:bodyDiv w:val="1"/>
      <w:marLeft w:val="0"/>
      <w:marRight w:val="0"/>
      <w:marTop w:val="0"/>
      <w:marBottom w:val="0"/>
      <w:divBdr>
        <w:top w:val="none" w:sz="0" w:space="0" w:color="auto"/>
        <w:left w:val="none" w:sz="0" w:space="0" w:color="auto"/>
        <w:bottom w:val="none" w:sz="0" w:space="0" w:color="auto"/>
        <w:right w:val="none" w:sz="0" w:space="0" w:color="auto"/>
      </w:divBdr>
    </w:div>
    <w:div w:id="1544708950">
      <w:bodyDiv w:val="1"/>
      <w:marLeft w:val="0"/>
      <w:marRight w:val="0"/>
      <w:marTop w:val="0"/>
      <w:marBottom w:val="0"/>
      <w:divBdr>
        <w:top w:val="none" w:sz="0" w:space="0" w:color="auto"/>
        <w:left w:val="none" w:sz="0" w:space="0" w:color="auto"/>
        <w:bottom w:val="none" w:sz="0" w:space="0" w:color="auto"/>
        <w:right w:val="none" w:sz="0" w:space="0" w:color="auto"/>
      </w:divBdr>
    </w:div>
    <w:div w:id="1548643960">
      <w:bodyDiv w:val="1"/>
      <w:marLeft w:val="0"/>
      <w:marRight w:val="0"/>
      <w:marTop w:val="0"/>
      <w:marBottom w:val="0"/>
      <w:divBdr>
        <w:top w:val="none" w:sz="0" w:space="0" w:color="auto"/>
        <w:left w:val="none" w:sz="0" w:space="0" w:color="auto"/>
        <w:bottom w:val="none" w:sz="0" w:space="0" w:color="auto"/>
        <w:right w:val="none" w:sz="0" w:space="0" w:color="auto"/>
      </w:divBdr>
    </w:div>
    <w:div w:id="1555316843">
      <w:bodyDiv w:val="1"/>
      <w:marLeft w:val="0"/>
      <w:marRight w:val="0"/>
      <w:marTop w:val="0"/>
      <w:marBottom w:val="0"/>
      <w:divBdr>
        <w:top w:val="none" w:sz="0" w:space="0" w:color="auto"/>
        <w:left w:val="none" w:sz="0" w:space="0" w:color="auto"/>
        <w:bottom w:val="none" w:sz="0" w:space="0" w:color="auto"/>
        <w:right w:val="none" w:sz="0" w:space="0" w:color="auto"/>
      </w:divBdr>
    </w:div>
    <w:div w:id="1556351805">
      <w:bodyDiv w:val="1"/>
      <w:marLeft w:val="0"/>
      <w:marRight w:val="0"/>
      <w:marTop w:val="0"/>
      <w:marBottom w:val="0"/>
      <w:divBdr>
        <w:top w:val="none" w:sz="0" w:space="0" w:color="auto"/>
        <w:left w:val="none" w:sz="0" w:space="0" w:color="auto"/>
        <w:bottom w:val="none" w:sz="0" w:space="0" w:color="auto"/>
        <w:right w:val="none" w:sz="0" w:space="0" w:color="auto"/>
      </w:divBdr>
    </w:div>
    <w:div w:id="1565947016">
      <w:bodyDiv w:val="1"/>
      <w:marLeft w:val="0"/>
      <w:marRight w:val="0"/>
      <w:marTop w:val="0"/>
      <w:marBottom w:val="0"/>
      <w:divBdr>
        <w:top w:val="none" w:sz="0" w:space="0" w:color="auto"/>
        <w:left w:val="none" w:sz="0" w:space="0" w:color="auto"/>
        <w:bottom w:val="none" w:sz="0" w:space="0" w:color="auto"/>
        <w:right w:val="none" w:sz="0" w:space="0" w:color="auto"/>
      </w:divBdr>
    </w:div>
    <w:div w:id="1577394404">
      <w:bodyDiv w:val="1"/>
      <w:marLeft w:val="0"/>
      <w:marRight w:val="0"/>
      <w:marTop w:val="0"/>
      <w:marBottom w:val="0"/>
      <w:divBdr>
        <w:top w:val="none" w:sz="0" w:space="0" w:color="auto"/>
        <w:left w:val="none" w:sz="0" w:space="0" w:color="auto"/>
        <w:bottom w:val="none" w:sz="0" w:space="0" w:color="auto"/>
        <w:right w:val="none" w:sz="0" w:space="0" w:color="auto"/>
      </w:divBdr>
    </w:div>
    <w:div w:id="1584877515">
      <w:bodyDiv w:val="1"/>
      <w:marLeft w:val="0"/>
      <w:marRight w:val="0"/>
      <w:marTop w:val="0"/>
      <w:marBottom w:val="0"/>
      <w:divBdr>
        <w:top w:val="none" w:sz="0" w:space="0" w:color="auto"/>
        <w:left w:val="none" w:sz="0" w:space="0" w:color="auto"/>
        <w:bottom w:val="none" w:sz="0" w:space="0" w:color="auto"/>
        <w:right w:val="none" w:sz="0" w:space="0" w:color="auto"/>
      </w:divBdr>
    </w:div>
    <w:div w:id="1594582185">
      <w:bodyDiv w:val="1"/>
      <w:marLeft w:val="0"/>
      <w:marRight w:val="0"/>
      <w:marTop w:val="0"/>
      <w:marBottom w:val="0"/>
      <w:divBdr>
        <w:top w:val="none" w:sz="0" w:space="0" w:color="auto"/>
        <w:left w:val="none" w:sz="0" w:space="0" w:color="auto"/>
        <w:bottom w:val="none" w:sz="0" w:space="0" w:color="auto"/>
        <w:right w:val="none" w:sz="0" w:space="0" w:color="auto"/>
      </w:divBdr>
    </w:div>
    <w:div w:id="1600603504">
      <w:bodyDiv w:val="1"/>
      <w:marLeft w:val="0"/>
      <w:marRight w:val="0"/>
      <w:marTop w:val="0"/>
      <w:marBottom w:val="0"/>
      <w:divBdr>
        <w:top w:val="none" w:sz="0" w:space="0" w:color="auto"/>
        <w:left w:val="none" w:sz="0" w:space="0" w:color="auto"/>
        <w:bottom w:val="none" w:sz="0" w:space="0" w:color="auto"/>
        <w:right w:val="none" w:sz="0" w:space="0" w:color="auto"/>
      </w:divBdr>
    </w:div>
    <w:div w:id="1610313748">
      <w:bodyDiv w:val="1"/>
      <w:marLeft w:val="0"/>
      <w:marRight w:val="0"/>
      <w:marTop w:val="0"/>
      <w:marBottom w:val="0"/>
      <w:divBdr>
        <w:top w:val="none" w:sz="0" w:space="0" w:color="auto"/>
        <w:left w:val="none" w:sz="0" w:space="0" w:color="auto"/>
        <w:bottom w:val="none" w:sz="0" w:space="0" w:color="auto"/>
        <w:right w:val="none" w:sz="0" w:space="0" w:color="auto"/>
      </w:divBdr>
    </w:div>
    <w:div w:id="1615290718">
      <w:bodyDiv w:val="1"/>
      <w:marLeft w:val="0"/>
      <w:marRight w:val="0"/>
      <w:marTop w:val="0"/>
      <w:marBottom w:val="0"/>
      <w:divBdr>
        <w:top w:val="none" w:sz="0" w:space="0" w:color="auto"/>
        <w:left w:val="none" w:sz="0" w:space="0" w:color="auto"/>
        <w:bottom w:val="none" w:sz="0" w:space="0" w:color="auto"/>
        <w:right w:val="none" w:sz="0" w:space="0" w:color="auto"/>
      </w:divBdr>
    </w:div>
    <w:div w:id="1645550664">
      <w:bodyDiv w:val="1"/>
      <w:marLeft w:val="0"/>
      <w:marRight w:val="0"/>
      <w:marTop w:val="0"/>
      <w:marBottom w:val="0"/>
      <w:divBdr>
        <w:top w:val="none" w:sz="0" w:space="0" w:color="auto"/>
        <w:left w:val="none" w:sz="0" w:space="0" w:color="auto"/>
        <w:bottom w:val="none" w:sz="0" w:space="0" w:color="auto"/>
        <w:right w:val="none" w:sz="0" w:space="0" w:color="auto"/>
      </w:divBdr>
    </w:div>
    <w:div w:id="1658144818">
      <w:bodyDiv w:val="1"/>
      <w:marLeft w:val="0"/>
      <w:marRight w:val="0"/>
      <w:marTop w:val="0"/>
      <w:marBottom w:val="0"/>
      <w:divBdr>
        <w:top w:val="none" w:sz="0" w:space="0" w:color="auto"/>
        <w:left w:val="none" w:sz="0" w:space="0" w:color="auto"/>
        <w:bottom w:val="none" w:sz="0" w:space="0" w:color="auto"/>
        <w:right w:val="none" w:sz="0" w:space="0" w:color="auto"/>
      </w:divBdr>
    </w:div>
    <w:div w:id="1661736897">
      <w:bodyDiv w:val="1"/>
      <w:marLeft w:val="0"/>
      <w:marRight w:val="0"/>
      <w:marTop w:val="0"/>
      <w:marBottom w:val="0"/>
      <w:divBdr>
        <w:top w:val="none" w:sz="0" w:space="0" w:color="auto"/>
        <w:left w:val="none" w:sz="0" w:space="0" w:color="auto"/>
        <w:bottom w:val="none" w:sz="0" w:space="0" w:color="auto"/>
        <w:right w:val="none" w:sz="0" w:space="0" w:color="auto"/>
      </w:divBdr>
    </w:div>
    <w:div w:id="1664355637">
      <w:bodyDiv w:val="1"/>
      <w:marLeft w:val="0"/>
      <w:marRight w:val="0"/>
      <w:marTop w:val="0"/>
      <w:marBottom w:val="0"/>
      <w:divBdr>
        <w:top w:val="none" w:sz="0" w:space="0" w:color="auto"/>
        <w:left w:val="none" w:sz="0" w:space="0" w:color="auto"/>
        <w:bottom w:val="none" w:sz="0" w:space="0" w:color="auto"/>
        <w:right w:val="none" w:sz="0" w:space="0" w:color="auto"/>
      </w:divBdr>
    </w:div>
    <w:div w:id="1669211576">
      <w:bodyDiv w:val="1"/>
      <w:marLeft w:val="0"/>
      <w:marRight w:val="0"/>
      <w:marTop w:val="0"/>
      <w:marBottom w:val="0"/>
      <w:divBdr>
        <w:top w:val="none" w:sz="0" w:space="0" w:color="auto"/>
        <w:left w:val="none" w:sz="0" w:space="0" w:color="auto"/>
        <w:bottom w:val="none" w:sz="0" w:space="0" w:color="auto"/>
        <w:right w:val="none" w:sz="0" w:space="0" w:color="auto"/>
      </w:divBdr>
    </w:div>
    <w:div w:id="1678262973">
      <w:bodyDiv w:val="1"/>
      <w:marLeft w:val="0"/>
      <w:marRight w:val="0"/>
      <w:marTop w:val="0"/>
      <w:marBottom w:val="0"/>
      <w:divBdr>
        <w:top w:val="none" w:sz="0" w:space="0" w:color="auto"/>
        <w:left w:val="none" w:sz="0" w:space="0" w:color="auto"/>
        <w:bottom w:val="none" w:sz="0" w:space="0" w:color="auto"/>
        <w:right w:val="none" w:sz="0" w:space="0" w:color="auto"/>
      </w:divBdr>
    </w:div>
    <w:div w:id="1679505842">
      <w:bodyDiv w:val="1"/>
      <w:marLeft w:val="0"/>
      <w:marRight w:val="0"/>
      <w:marTop w:val="0"/>
      <w:marBottom w:val="0"/>
      <w:divBdr>
        <w:top w:val="none" w:sz="0" w:space="0" w:color="auto"/>
        <w:left w:val="none" w:sz="0" w:space="0" w:color="auto"/>
        <w:bottom w:val="none" w:sz="0" w:space="0" w:color="auto"/>
        <w:right w:val="none" w:sz="0" w:space="0" w:color="auto"/>
      </w:divBdr>
    </w:div>
    <w:div w:id="1693459435">
      <w:bodyDiv w:val="1"/>
      <w:marLeft w:val="0"/>
      <w:marRight w:val="0"/>
      <w:marTop w:val="0"/>
      <w:marBottom w:val="0"/>
      <w:divBdr>
        <w:top w:val="none" w:sz="0" w:space="0" w:color="auto"/>
        <w:left w:val="none" w:sz="0" w:space="0" w:color="auto"/>
        <w:bottom w:val="none" w:sz="0" w:space="0" w:color="auto"/>
        <w:right w:val="none" w:sz="0" w:space="0" w:color="auto"/>
      </w:divBdr>
    </w:div>
    <w:div w:id="1696037801">
      <w:bodyDiv w:val="1"/>
      <w:marLeft w:val="0"/>
      <w:marRight w:val="0"/>
      <w:marTop w:val="0"/>
      <w:marBottom w:val="0"/>
      <w:divBdr>
        <w:top w:val="none" w:sz="0" w:space="0" w:color="auto"/>
        <w:left w:val="none" w:sz="0" w:space="0" w:color="auto"/>
        <w:bottom w:val="none" w:sz="0" w:space="0" w:color="auto"/>
        <w:right w:val="none" w:sz="0" w:space="0" w:color="auto"/>
      </w:divBdr>
    </w:div>
    <w:div w:id="1719163927">
      <w:bodyDiv w:val="1"/>
      <w:marLeft w:val="0"/>
      <w:marRight w:val="0"/>
      <w:marTop w:val="0"/>
      <w:marBottom w:val="0"/>
      <w:divBdr>
        <w:top w:val="none" w:sz="0" w:space="0" w:color="auto"/>
        <w:left w:val="none" w:sz="0" w:space="0" w:color="auto"/>
        <w:bottom w:val="none" w:sz="0" w:space="0" w:color="auto"/>
        <w:right w:val="none" w:sz="0" w:space="0" w:color="auto"/>
      </w:divBdr>
    </w:div>
    <w:div w:id="1729527629">
      <w:bodyDiv w:val="1"/>
      <w:marLeft w:val="0"/>
      <w:marRight w:val="0"/>
      <w:marTop w:val="0"/>
      <w:marBottom w:val="0"/>
      <w:divBdr>
        <w:top w:val="none" w:sz="0" w:space="0" w:color="auto"/>
        <w:left w:val="none" w:sz="0" w:space="0" w:color="auto"/>
        <w:bottom w:val="none" w:sz="0" w:space="0" w:color="auto"/>
        <w:right w:val="none" w:sz="0" w:space="0" w:color="auto"/>
      </w:divBdr>
    </w:div>
    <w:div w:id="1768963729">
      <w:bodyDiv w:val="1"/>
      <w:marLeft w:val="0"/>
      <w:marRight w:val="0"/>
      <w:marTop w:val="0"/>
      <w:marBottom w:val="0"/>
      <w:divBdr>
        <w:top w:val="none" w:sz="0" w:space="0" w:color="auto"/>
        <w:left w:val="none" w:sz="0" w:space="0" w:color="auto"/>
        <w:bottom w:val="none" w:sz="0" w:space="0" w:color="auto"/>
        <w:right w:val="none" w:sz="0" w:space="0" w:color="auto"/>
      </w:divBdr>
    </w:div>
    <w:div w:id="1828941051">
      <w:bodyDiv w:val="1"/>
      <w:marLeft w:val="0"/>
      <w:marRight w:val="0"/>
      <w:marTop w:val="0"/>
      <w:marBottom w:val="0"/>
      <w:divBdr>
        <w:top w:val="none" w:sz="0" w:space="0" w:color="auto"/>
        <w:left w:val="none" w:sz="0" w:space="0" w:color="auto"/>
        <w:bottom w:val="none" w:sz="0" w:space="0" w:color="auto"/>
        <w:right w:val="none" w:sz="0" w:space="0" w:color="auto"/>
      </w:divBdr>
    </w:div>
    <w:div w:id="1846750464">
      <w:bodyDiv w:val="1"/>
      <w:marLeft w:val="0"/>
      <w:marRight w:val="0"/>
      <w:marTop w:val="0"/>
      <w:marBottom w:val="0"/>
      <w:divBdr>
        <w:top w:val="none" w:sz="0" w:space="0" w:color="auto"/>
        <w:left w:val="none" w:sz="0" w:space="0" w:color="auto"/>
        <w:bottom w:val="none" w:sz="0" w:space="0" w:color="auto"/>
        <w:right w:val="none" w:sz="0" w:space="0" w:color="auto"/>
      </w:divBdr>
    </w:div>
    <w:div w:id="1884050926">
      <w:bodyDiv w:val="1"/>
      <w:marLeft w:val="0"/>
      <w:marRight w:val="0"/>
      <w:marTop w:val="0"/>
      <w:marBottom w:val="0"/>
      <w:divBdr>
        <w:top w:val="none" w:sz="0" w:space="0" w:color="auto"/>
        <w:left w:val="none" w:sz="0" w:space="0" w:color="auto"/>
        <w:bottom w:val="none" w:sz="0" w:space="0" w:color="auto"/>
        <w:right w:val="none" w:sz="0" w:space="0" w:color="auto"/>
      </w:divBdr>
    </w:div>
    <w:div w:id="1888444116">
      <w:bodyDiv w:val="1"/>
      <w:marLeft w:val="0"/>
      <w:marRight w:val="0"/>
      <w:marTop w:val="0"/>
      <w:marBottom w:val="0"/>
      <w:divBdr>
        <w:top w:val="none" w:sz="0" w:space="0" w:color="auto"/>
        <w:left w:val="none" w:sz="0" w:space="0" w:color="auto"/>
        <w:bottom w:val="none" w:sz="0" w:space="0" w:color="auto"/>
        <w:right w:val="none" w:sz="0" w:space="0" w:color="auto"/>
      </w:divBdr>
    </w:div>
    <w:div w:id="1916276834">
      <w:bodyDiv w:val="1"/>
      <w:marLeft w:val="0"/>
      <w:marRight w:val="0"/>
      <w:marTop w:val="0"/>
      <w:marBottom w:val="0"/>
      <w:divBdr>
        <w:top w:val="none" w:sz="0" w:space="0" w:color="auto"/>
        <w:left w:val="none" w:sz="0" w:space="0" w:color="auto"/>
        <w:bottom w:val="none" w:sz="0" w:space="0" w:color="auto"/>
        <w:right w:val="none" w:sz="0" w:space="0" w:color="auto"/>
      </w:divBdr>
    </w:div>
    <w:div w:id="1916472052">
      <w:bodyDiv w:val="1"/>
      <w:marLeft w:val="0"/>
      <w:marRight w:val="0"/>
      <w:marTop w:val="0"/>
      <w:marBottom w:val="0"/>
      <w:divBdr>
        <w:top w:val="none" w:sz="0" w:space="0" w:color="auto"/>
        <w:left w:val="none" w:sz="0" w:space="0" w:color="auto"/>
        <w:bottom w:val="none" w:sz="0" w:space="0" w:color="auto"/>
        <w:right w:val="none" w:sz="0" w:space="0" w:color="auto"/>
      </w:divBdr>
    </w:div>
    <w:div w:id="1930500051">
      <w:bodyDiv w:val="1"/>
      <w:marLeft w:val="0"/>
      <w:marRight w:val="0"/>
      <w:marTop w:val="0"/>
      <w:marBottom w:val="0"/>
      <w:divBdr>
        <w:top w:val="none" w:sz="0" w:space="0" w:color="auto"/>
        <w:left w:val="none" w:sz="0" w:space="0" w:color="auto"/>
        <w:bottom w:val="none" w:sz="0" w:space="0" w:color="auto"/>
        <w:right w:val="none" w:sz="0" w:space="0" w:color="auto"/>
      </w:divBdr>
    </w:div>
    <w:div w:id="2011447218">
      <w:bodyDiv w:val="1"/>
      <w:marLeft w:val="0"/>
      <w:marRight w:val="0"/>
      <w:marTop w:val="0"/>
      <w:marBottom w:val="0"/>
      <w:divBdr>
        <w:top w:val="none" w:sz="0" w:space="0" w:color="auto"/>
        <w:left w:val="none" w:sz="0" w:space="0" w:color="auto"/>
        <w:bottom w:val="none" w:sz="0" w:space="0" w:color="auto"/>
        <w:right w:val="none" w:sz="0" w:space="0" w:color="auto"/>
      </w:divBdr>
    </w:div>
    <w:div w:id="2073651983">
      <w:bodyDiv w:val="1"/>
      <w:marLeft w:val="0"/>
      <w:marRight w:val="0"/>
      <w:marTop w:val="0"/>
      <w:marBottom w:val="0"/>
      <w:divBdr>
        <w:top w:val="none" w:sz="0" w:space="0" w:color="auto"/>
        <w:left w:val="none" w:sz="0" w:space="0" w:color="auto"/>
        <w:bottom w:val="none" w:sz="0" w:space="0" w:color="auto"/>
        <w:right w:val="none" w:sz="0" w:space="0" w:color="auto"/>
      </w:divBdr>
    </w:div>
    <w:div w:id="2078162699">
      <w:bodyDiv w:val="1"/>
      <w:marLeft w:val="0"/>
      <w:marRight w:val="0"/>
      <w:marTop w:val="0"/>
      <w:marBottom w:val="0"/>
      <w:divBdr>
        <w:top w:val="none" w:sz="0" w:space="0" w:color="auto"/>
        <w:left w:val="none" w:sz="0" w:space="0" w:color="auto"/>
        <w:bottom w:val="none" w:sz="0" w:space="0" w:color="auto"/>
        <w:right w:val="none" w:sz="0" w:space="0" w:color="auto"/>
      </w:divBdr>
    </w:div>
    <w:div w:id="2079282076">
      <w:bodyDiv w:val="1"/>
      <w:marLeft w:val="0"/>
      <w:marRight w:val="0"/>
      <w:marTop w:val="0"/>
      <w:marBottom w:val="0"/>
      <w:divBdr>
        <w:top w:val="none" w:sz="0" w:space="0" w:color="auto"/>
        <w:left w:val="none" w:sz="0" w:space="0" w:color="auto"/>
        <w:bottom w:val="none" w:sz="0" w:space="0" w:color="auto"/>
        <w:right w:val="none" w:sz="0" w:space="0" w:color="auto"/>
      </w:divBdr>
    </w:div>
    <w:div w:id="2087222033">
      <w:bodyDiv w:val="1"/>
      <w:marLeft w:val="0"/>
      <w:marRight w:val="0"/>
      <w:marTop w:val="0"/>
      <w:marBottom w:val="0"/>
      <w:divBdr>
        <w:top w:val="none" w:sz="0" w:space="0" w:color="auto"/>
        <w:left w:val="none" w:sz="0" w:space="0" w:color="auto"/>
        <w:bottom w:val="none" w:sz="0" w:space="0" w:color="auto"/>
        <w:right w:val="none" w:sz="0" w:space="0" w:color="auto"/>
      </w:divBdr>
    </w:div>
    <w:div w:id="2107075132">
      <w:bodyDiv w:val="1"/>
      <w:marLeft w:val="0"/>
      <w:marRight w:val="0"/>
      <w:marTop w:val="0"/>
      <w:marBottom w:val="0"/>
      <w:divBdr>
        <w:top w:val="none" w:sz="0" w:space="0" w:color="auto"/>
        <w:left w:val="none" w:sz="0" w:space="0" w:color="auto"/>
        <w:bottom w:val="none" w:sz="0" w:space="0" w:color="auto"/>
        <w:right w:val="none" w:sz="0" w:space="0" w:color="auto"/>
      </w:divBdr>
    </w:div>
    <w:div w:id="2111270069">
      <w:bodyDiv w:val="1"/>
      <w:marLeft w:val="0"/>
      <w:marRight w:val="0"/>
      <w:marTop w:val="0"/>
      <w:marBottom w:val="0"/>
      <w:divBdr>
        <w:top w:val="none" w:sz="0" w:space="0" w:color="auto"/>
        <w:left w:val="none" w:sz="0" w:space="0" w:color="auto"/>
        <w:bottom w:val="none" w:sz="0" w:space="0" w:color="auto"/>
        <w:right w:val="none" w:sz="0" w:space="0" w:color="auto"/>
      </w:divBdr>
    </w:div>
    <w:div w:id="211447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ontheworldmap.com/uk/wales/administrative-divisions-map-of-wales.html" TargetMode="External"/><Relationship Id="rId4" Type="http://schemas.openxmlformats.org/officeDocument/2006/relationships/settings" Target="settings.xml"/><Relationship Id="rId9" Type="http://schemas.openxmlformats.org/officeDocument/2006/relationships/hyperlink" Target="http://ontheworldmap.com/uk/wales/administrative-divisions-map-of-wales.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tatswales.gov.wales/Catalogue/Community-Safety-and-Social-Inclusion/Welsh-Index-of-Multiple-Deprivation/wimd-maps" TargetMode="External"/><Relationship Id="rId3" Type="http://schemas.openxmlformats.org/officeDocument/2006/relationships/hyperlink" Target="https://www.teachers.org.uk/news-events/press-releases-wales/nut-cymru-respond-to-estyn-report" TargetMode="External"/><Relationship Id="rId7" Type="http://schemas.openxmlformats.org/officeDocument/2006/relationships/hyperlink" Target="https://statswales.gov.wales/Catalogue/Population-and-Migration/Population/Estimates/Local-Authority/populationestimates-by-localauthority-year" TargetMode="External"/><Relationship Id="rId2" Type="http://schemas.openxmlformats.org/officeDocument/2006/relationships/hyperlink" Target="http://factsmaps.com/pisa-worldwide-ranking-average-score-of-math-science-reading/" TargetMode="External"/><Relationship Id="rId1" Type="http://schemas.openxmlformats.org/officeDocument/2006/relationships/hyperlink" Target="https://www.legislation.gov.uk/ukpga/1996/56/section/7" TargetMode="External"/><Relationship Id="rId6" Type="http://schemas.openxmlformats.org/officeDocument/2006/relationships/hyperlink" Target="https://www.cardiff.gov.uk/ENG/resident/Schools-and-learning/Schools/Cardiff-schools/Pages/default.aspx" TargetMode="External"/><Relationship Id="rId11" Type="http://schemas.openxmlformats.org/officeDocument/2006/relationships/hyperlink" Target="https://www.walesonline.co.uk/news/education/parents-home-educating-children-wales-14110054" TargetMode="External"/><Relationship Id="rId5" Type="http://schemas.openxmlformats.org/officeDocument/2006/relationships/hyperlink" Target="https://www.ceredigion.gov.uk/resident/schools-education/school-information/primary-schools/" TargetMode="External"/><Relationship Id="rId10" Type="http://schemas.openxmlformats.org/officeDocument/2006/relationships/hyperlink" Target="http://www.home-education.org.uk/articles/wc/wc-he-outcomes.pdf" TargetMode="External"/><Relationship Id="rId4" Type="http://schemas.openxmlformats.org/officeDocument/2006/relationships/hyperlink" Target="https://www.walesonline.co.uk/news/education/teachers-wales-been-work-years-14481510" TargetMode="External"/><Relationship Id="rId9" Type="http://schemas.openxmlformats.org/officeDocument/2006/relationships/hyperlink" Target="https://www.telegraph.co.uk/news/2018/04/03/fears-bullying-drives-muslim-children-homeschool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Sta18</b:Tag>
    <b:SourceType>Report</b:SourceType>
    <b:Guid>{FD385B80-F990-489A-B691-800BA7D43858}</b:Guid>
    <b:Title>Pupils educated other than at school, 2017/18</b:Title>
    <b:Year>2018</b:Year>
    <b:Publisher>Welsh Assembly Government</b:Publisher>
    <b:Author>
      <b:Author>
        <b:NameList>
          <b:Person>
            <b:Last>Wales</b:Last>
            <b:First>Statistics</b:First>
            <b:Middle>for</b:Middle>
          </b:Person>
        </b:NameList>
      </b:Author>
    </b:Author>
    <b:RefOrder>1</b:RefOrder>
  </b:Source>
  <b:Source>
    <b:Tag>Fac18</b:Tag>
    <b:SourceType>InternetSite</b:SourceType>
    <b:Guid>{83333B7E-712C-48D5-8852-1419E7E2E95B}</b:Guid>
    <b:Title>Facts Map</b:Title>
    <b:Year>2018</b:Year>
    <b:InternetSiteTitle>PISA Worldwide Ranking – average score of math, science and reading</b:InternetSiteTitle>
    <b:URL>http://factsmaps.com/pisa-worldwide-ranking-average-score-of-math-science-reading/</b:URL>
    <b:RefOrder>2</b:RefOrder>
  </b:Source>
  <b:Source>
    <b:Tag>Pro15</b:Tag>
    <b:SourceType>Report</b:SourceType>
    <b:Guid>{EEA5F590-5911-4228-AA3F-F6553394B80D}</b:Guid>
    <b:Title>Successful Futures: Independent Review of Curriculum and Assessment Arrangements in Wales</b:Title>
    <b:Year>2015</b:Year>
    <b:Author>
      <b:Author>
        <b:NameList>
          <b:Person>
            <b:Last>Donaldson</b:Last>
            <b:First>Professor</b:First>
            <b:Middle>Graham</b:Middle>
          </b:Person>
        </b:NameList>
      </b:Author>
    </b:Author>
    <b:Publisher>OGL</b:Publisher>
    <b:RefOrder>3</b:RefOrder>
  </b:Source>
  <b:Source>
    <b:Tag>Chr18</b:Tag>
    <b:SourceType>Book</b:SourceType>
    <b:Guid>{1DA62D21-1AB0-4295-8820-50A7C566AB4B}</b:Guid>
    <b:Title>Geography of the 'New' Education Market: Secondary school choice in England and Wales </b:Title>
    <b:Year>2018</b:Year>
    <b:Publisher>Routledge</b:Publisher>
    <b:City>Abingdon</b:City>
    <b:Author>
      <b:Author>
        <b:NameList>
          <b:Person>
            <b:Last>Taylor</b:Last>
            <b:First>Chris</b:First>
          </b:Person>
        </b:NameList>
      </b:Author>
    </b:Author>
    <b:RefOrder>4</b:RefOrder>
  </b:Source>
  <b:Source>
    <b:Tag>Pau96</b:Tag>
    <b:SourceType>Book</b:SourceType>
    <b:Guid>{A41DCE8A-B85C-4993-ABAF-D182C2622CEE}</b:Guid>
    <b:Author>
      <b:Author>
        <b:NameList>
          <b:Person>
            <b:Last>Freire</b:Last>
            <b:First>Paulo</b:First>
          </b:Person>
        </b:NameList>
      </b:Author>
    </b:Author>
    <b:Title>Pedagogy of the Oppressed</b:Title>
    <b:Year>1996</b:Year>
    <b:City>New York</b:City>
    <b:Publisher>Penguin</b:Publisher>
    <b:RefOrder>5</b:RefOrder>
  </b:Source>
  <b:Source>
    <b:Tag>Hol81</b:Tag>
    <b:SourceType>Misc</b:SourceType>
    <b:Guid>{F1850B29-E924-46F4-8A2F-005A013B55EA}</b:Guid>
    <b:Year>1981</b:Year>
    <b:City>New York</b:City>
    <b:Publisher>Mothering</b:Publisher>
    <b:Author>
      <b:Author>
        <b:NameList>
          <b:Person>
            <b:Last>Holt</b:Last>
            <b:First>John</b:First>
          </b:Person>
        </b:NameList>
      </b:Author>
    </b:Author>
    <b:Month>Spring</b:Month>
    <b:JournalName>Mothering</b:JournalName>
    <b:PublicationTitle>Mothering</b:PublicationTitle>
    <b:RefOrder>6</b:RefOrder>
  </b:Source>
  <b:Source>
    <b:Tag>DrM18</b:Tag>
    <b:SourceType>Report</b:SourceType>
    <b:Guid>{FBF430F5-FC3C-455A-81D9-34573A2941B4}</b:Guid>
    <b:Title>Secondary School and Choice Selection: Insights from new national preferences data</b:Title>
    <b:Year>2018</b:Year>
    <b:Publisher>Government Social Research</b:Publisher>
    <b:Author>
      <b:Author>
        <b:NameList>
          <b:Person>
            <b:Last>Weldon</b:Last>
            <b:First>Dr</b:First>
            <b:Middle>Matthew</b:Middle>
          </b:Person>
        </b:NameList>
      </b:Author>
    </b:Author>
    <b:RefOrder>7</b:RefOrder>
  </b:Source>
  <b:Source>
    <b:Tag>Joh01</b:Tag>
    <b:SourceType>Book</b:SourceType>
    <b:Guid>{EBDE5346-93F3-4041-B4E1-25FAD6121EC1}</b:Guid>
    <b:Title>A Different Kind of Teacher</b:Title>
    <b:Year>2001</b:Year>
    <b:City>USA</b:City>
    <b:Publisher>Berkely Hills Books Ltd.</b:Publisher>
    <b:Author>
      <b:Author>
        <b:NameList>
          <b:Person>
            <b:Last>Gatto</b:Last>
            <b:First>John</b:First>
            <b:Middle>Taylor</b:Middle>
          </b:Person>
        </b:NameList>
      </b:Author>
    </b:Author>
    <b:RefOrder>8</b:RefOrder>
  </b:Source>
  <b:Source>
    <b:Tag>Joh92</b:Tag>
    <b:SourceType>Book</b:SourceType>
    <b:Guid>{5FDCD3AB-4CAC-479C-8E3C-C68810025412}</b:Guid>
    <b:Author>
      <b:Author>
        <b:NameList>
          <b:Person>
            <b:Last>Gatto</b:Last>
            <b:First>John</b:First>
            <b:Middle>Taylor</b:Middle>
          </b:Person>
        </b:NameList>
      </b:Author>
    </b:Author>
    <b:Title>The Seven Lesson School Teacher</b:Title>
    <b:Year>1992</b:Year>
    <b:Publisher>New Society Publishers</b:Publisher>
    <b:RefOrder>9</b:RefOrder>
  </b:Source>
  <b:Source>
    <b:Tag>And14</b:Tag>
    <b:SourceType>BookSection</b:SourceType>
    <b:Guid>{FF64DBA2-5491-497D-8EE9-28627B111568}</b:Guid>
    <b:Title>An Overview of Learning, Educating and Teaching for Preservice Teachers</b:Title>
    <b:Year>2014</b:Year>
    <b:Publisher>National Science Press</b:Publisher>
    <b:Pages>1-6</b:Pages>
    <b:Author>
      <b:Author>
        <b:NameList>
          <b:Person>
            <b:Last>Johnson</b:Last>
            <b:First>Andrew</b:First>
            <b:Middle>P.</b:Middle>
          </b:Person>
        </b:NameList>
      </b:Author>
      <b:BookAuthor>
        <b:NameList>
          <b:Person>
            <b:Last>Johnson</b:Last>
            <b:First>Andrew</b:First>
            <b:Middle>P.</b:Middle>
          </b:Person>
        </b:NameList>
      </b:BookAuthor>
    </b:Author>
    <b:BookTitle>Education Psychology: Theories of Learning and Human Development </b:BookTitle>
    <b:RefOrder>10</b:RefOrder>
  </b:Source>
  <b:Source>
    <b:Tag>Emy16</b:Tag>
    <b:SourceType>Report</b:SourceType>
    <b:Guid>{8614358D-17D1-4B67-810A-9A5F2FAC7E36}</b:Guid>
    <b:Title>Rural Poverty in Wales: Existing Research and Evidence Gaps</b:Title>
    <b:Year>2016</b:Year>
    <b:City>Wales</b:City>
    <b:Publisher>Public Policy Institute for Wales</b:Publisher>
    <b:Author>
      <b:Author>
        <b:NameList>
          <b:Person>
            <b:Last>Williams</b:Last>
            <b:First>Emyr</b:First>
          </b:Person>
          <b:Person>
            <b:Last>Doyle</b:Last>
            <b:First>Rosaleen</b:First>
          </b:Person>
        </b:NameList>
      </b:Author>
    </b:Author>
    <b:RefOrder>11</b:RefOrder>
  </b:Source>
  <b:Source>
    <b:Tag>Bri</b:Tag>
    <b:SourceType>JournalArticle</b:SourceType>
    <b:Guid>{38A35D6A-71DC-4964-BDDD-25AFEEF7CA22}</b:Guid>
    <b:Title>Revisiting the Buffering Hypothesis: Social Support, Work Stressors, Stress Related Symptoms, and Negative Affectivity in a Sample of Public School Teachers</b:Title>
    <b:Author>
      <b:Author>
        <b:NameList>
          <b:Person>
            <b:Last>Heshizer</b:Last>
            <b:First>Brian</b:First>
          </b:Person>
          <b:Person>
            <b:Last>Knapp</b:Last>
            <b:First>Debra</b:First>
            <b:Middle>Erdos</b:Middle>
          </b:Person>
        </b:NameList>
      </b:Author>
    </b:Author>
    <b:JournalName>Open Access Library Journal</b:JournalName>
    <b:Year>2016</b:Year>
    <b:Pages>1-11</b:Pages>
    <b:RefOrder>12</b:RefOrder>
  </b:Source>
  <b:Source>
    <b:Tag>Abb18</b:Tag>
    <b:SourceType>InternetSite</b:SourceType>
    <b:Guid>{623BB42F-0B1E-48B7-8544-296E1227B9D5}</b:Guid>
    <b:Title>Some teachers in Wales have been off work for years with stress</b:Title>
    <b:Year>2018</b:Year>
    <b:Author>
      <b:Author>
        <b:NameList>
          <b:Person>
            <b:Last>Wightwick</b:Last>
            <b:First>Abbie</b:First>
          </b:Person>
        </b:NameList>
      </b:Author>
    </b:Author>
    <b:InternetSiteTitle>Wales Online</b:InternetSiteTitle>
    <b:Month>April</b:Month>
    <b:Day>2</b:Day>
    <b:URL>https://www.walesonline.co.uk/news/education/teachers-wales-been-work-years-14481510</b:URL>
    <b:RefOrder>13</b:RefOrder>
  </b:Source>
  <b:Source>
    <b:Tag>NUT17</b:Tag>
    <b:SourceType>InternetSite</b:SourceType>
    <b:Guid>{A5B06C48-4617-4954-8827-F75B623F84A8}</b:Guid>
    <b:Title>NUT Cymru Respond to Estyn Report</b:Title>
    <b:InternetSiteTitle>National Education Union</b:InternetSiteTitle>
    <b:Year>2017</b:Year>
    <b:Month>January</b:Month>
    <b:Day>24</b:Day>
    <b:URL>https://www.teachers.org.uk/news-events/press-releases-wales/nut-cymru-respond-to-estyn-report</b:URL>
    <b:RefOrder>14</b:RefOrder>
  </b:Source>
  <b:Source>
    <b:Tag>UKG13</b:Tag>
    <b:SourceType>Report</b:SourceType>
    <b:Guid>{BE5BF9BD-87DE-4871-BAE8-0656C361FC33}</b:Guid>
    <b:Title>Elective Home Education: Guidelines for Local Authorities</b:Title>
    <b:Year>2013</b:Year>
    <b:Author>
      <b:Author>
        <b:NameList>
          <b:Person>
            <b:Last>Government</b:Last>
            <b:First>UK</b:First>
          </b:Person>
        </b:NameList>
      </b:Author>
    </b:Author>
    <b:Publisher>Department for Children, Schools and Families</b:Publisher>
    <b:RefOrder>15</b:RefOrder>
  </b:Source>
  <b:Source>
    <b:Tag>Cyn19</b:Tag>
    <b:SourceType>InternetSite</b:SourceType>
    <b:Guid>{A9615D25-8577-4848-BF06-05A2D811F397}</b:Guid>
    <b:Title>Primary Schools</b:Title>
    <b:Year>2019</b:Year>
    <b:Author>
      <b:Author>
        <b:NameList>
          <b:Person>
            <b:Last>Ceredigion</b:Last>
            <b:First>Cynog</b:First>
            <b:Middle>Sir</b:Middle>
          </b:Person>
        </b:NameList>
      </b:Author>
    </b:Author>
    <b:InternetSiteTitle>Cyngor Sir Ceredigion/Ceredigion County Council</b:InternetSiteTitle>
    <b:Month>March</b:Month>
    <b:Day>29</b:Day>
    <b:URL>https://www.ceredigion.gov.uk/resident/schools-education/school-information/primary-schools/</b:URL>
    <b:RefOrder>16</b:RefOrder>
  </b:Source>
  <b:Source>
    <b:Tag>Car19</b:Tag>
    <b:SourceType>InternetSite</b:SourceType>
    <b:Guid>{F4D8C94A-1D7A-4813-88BE-D60219935B2E}</b:Guid>
    <b:Author>
      <b:Author>
        <b:NameList>
          <b:Person>
            <b:Last>Council</b:Last>
            <b:First>Cardiff</b:First>
            <b:Middle>County</b:Middle>
          </b:Person>
        </b:NameList>
      </b:Author>
    </b:Author>
    <b:Title>Cardiff schools</b:Title>
    <b:InternetSiteTitle>Cardiff County Council</b:InternetSiteTitle>
    <b:Year>2019</b:Year>
    <b:Month>March</b:Month>
    <b:Day>29</b:Day>
    <b:URL>https://www.cardiff.gov.uk/ENG/resident/Schools-and-learning/Schools/Cardiff-schools/Pages/default.aspx</b:URL>
    <b:RefOrder>17</b:RefOrder>
  </b:Source>
  <b:Source>
    <b:Tag>Wel18</b:Tag>
    <b:SourceType>InternetSite</b:SourceType>
    <b:Guid>{A698583D-E8B1-4FA9-B72E-36944147B57A}</b:Guid>
    <b:Author>
      <b:Author>
        <b:NameList>
          <b:Person>
            <b:Last>Government</b:Last>
            <b:First>Welsh</b:First>
          </b:Person>
        </b:NameList>
      </b:Author>
    </b:Author>
    <b:Title>Population estimates by local authority and year</b:Title>
    <b:InternetSiteTitle>Stats Wales</b:InternetSiteTitle>
    <b:Year>2018</b:Year>
    <b:Month>June</b:Month>
    <b:URL>https://statswales.gov.wales/Catalogue/Population-and-Migration/Population/Estimates/Local-Authority/populationestimates-by-localauthority-year</b:URL>
    <b:RefOrder>18</b:RefOrder>
  </b:Source>
  <b:Source>
    <b:Tag>Siâ16</b:Tag>
    <b:SourceType>Report</b:SourceType>
    <b:Guid>{8C6E54B5-FBB2-4C70-906E-E782C0DDDDAA}</b:Guid>
    <b:Title>Research Briefing: Home to school transport - a guide for constituents</b:Title>
    <b:Year>2016</b:Year>
    <b:Author>
      <b:Author>
        <b:NameList>
          <b:Person>
            <b:Last>Hughes</b:Last>
            <b:First>Siân</b:First>
          </b:Person>
        </b:NameList>
      </b:Author>
    </b:Author>
    <b:Publisher>National Assembly for Wales</b:Publisher>
    <b:City>Cardiff</b:City>
    <b:RefOrder>19</b:RefOrder>
  </b:Source>
  <b:Source>
    <b:Tag>Wel08</b:Tag>
    <b:SourceType>Report</b:SourceType>
    <b:Guid>{C7CC33E2-D66F-4048-9A44-A27B063018C8}</b:Guid>
    <b:Author>
      <b:Author>
        <b:NameList>
          <b:Person>
            <b:Last>Government</b:Last>
            <b:First>Welsh</b:First>
            <b:Middle>Assembly</b:Middle>
          </b:Person>
        </b:NameList>
      </b:Author>
    </b:Author>
    <b:Title>Welsh Index of Multiple Deprivation</b:Title>
    <b:Year>2008</b:Year>
    <b:Publisher>WAG</b:Publisher>
    <b:City>Cardiff</b:City>
    <b:RefOrder>20</b:RefOrder>
  </b:Source>
  <b:Source>
    <b:Tag>Sco07</b:Tag>
    <b:SourceType>JournalArticle</b:SourceType>
    <b:Guid>{29BA4972-9125-4189-92EA-5CD258940AAC}</b:Guid>
    <b:Title>The Urban-Rural Divide: Myth or Reality?</b:Title>
    <b:Year>2007</b:Year>
    <b:Author>
      <b:Author>
        <b:NameList>
          <b:Person>
            <b:Last>Scott</b:Last>
            <b:First>Alister</b:First>
            <b:Middle>James</b:Middle>
          </b:Person>
          <b:Person>
            <b:Last>Gilbert</b:Last>
            <b:First>Alana</b:First>
          </b:Person>
          <b:Person>
            <b:Last>Gelan</b:Last>
            <b:First>Ayele</b:First>
          </b:Person>
        </b:NameList>
      </b:Author>
    </b:Author>
    <b:JournalName>Socio-Economic Research Group</b:JournalName>
    <b:Pages>1-27</b:Pages>
    <b:RefOrder>21</b:RefOrder>
  </b:Source>
  <b:Source>
    <b:Tag>Edu96</b:Tag>
    <b:SourceType>InternetSite</b:SourceType>
    <b:Guid>{75923BB1-AC34-4957-AFC9-0D72E55C3DEF}</b:Guid>
    <b:Title>Education Act 1996</b:Title>
    <b:Year>1996</b:Year>
    <b:InternetSiteTitle>Legislation Gov UK</b:InternetSiteTitle>
    <b:URL>https://www.legislation.gov.uk/ukpga/1996/56/section/7</b:URL>
    <b:RefOrder>22</b:RefOrder>
  </b:Source>
  <b:Source>
    <b:Tag>Wel14</b:Tag>
    <b:SourceType>InternetSite</b:SourceType>
    <b:Guid>{FAE6576B-F6A3-4951-A657-1E737AC02720}</b:Guid>
    <b:Title>WIMD 2014</b:Title>
    <b:Year>2014</b:Year>
    <b:InternetSiteTitle>Stats Wales</b:InternetSiteTitle>
    <b:URL>https://statswales.gov.wales/Catalogue/Community-Safety-and-Social-Inclusion/Welsh-Index-of-Multiple-Deprivation/wimd-maps</b:URL>
    <b:Author>
      <b:Author>
        <b:NameList>
          <b:Person>
            <b:Last>Deprivation</b:Last>
            <b:First>Welsh</b:First>
            <b:Middle>Index of Multiple</b:Middle>
          </b:Person>
        </b:NameList>
      </b:Author>
    </b:Author>
    <b:RefOrder>23</b:RefOrder>
  </b:Source>
  <b:Source>
    <b:Tag>Rom18</b:Tag>
    <b:SourceType>JournalArticle</b:SourceType>
    <b:Guid>{DEC3D038-90AE-4A8B-BA95-08D75549C02A}</b:Guid>
    <b:Title>Toward a Critical Unschooling Pedagogy</b:Title>
    <b:Year>2018</b:Year>
    <b:Author>
      <b:Author>
        <b:NameList>
          <b:Person>
            <b:Last>Romero</b:Last>
            <b:First>Noah</b:First>
          </b:Person>
        </b:NameList>
      </b:Author>
    </b:Author>
    <b:JournalName>Journal of Unschooling and Alternative Learning</b:JournalName>
    <b:Pages>56-71</b:Pages>
    <b:RefOrder>24</b:RefOrder>
  </b:Source>
  <b:Source>
    <b:Tag>Sae14</b:Tag>
    <b:SourceType>JournalArticle</b:SourceType>
    <b:Guid>{9768A11B-EA98-41E1-A8BF-51FB9BEE6838}</b:Guid>
    <b:Author>
      <b:Author>
        <b:NameList>
          <b:Person>
            <b:Last>Shah</b:Last>
            <b:First>Saeeda</b:First>
            <b:Middle>J.A.</b:Middle>
          </b:Person>
        </b:NameList>
      </b:Author>
    </b:Author>
    <b:Title>Muslim schools in secular societies: Persistence or resistance!</b:Title>
    <b:JournalName>British Journal of Religious Education</b:JournalName>
    <b:Year>2014</b:Year>
    <b:Pages>51-65</b:Pages>
    <b:RefOrder>25</b:RefOrder>
  </b:Source>
  <b:Source>
    <b:Tag>Oli18</b:Tag>
    <b:SourceType>InternetSite</b:SourceType>
    <b:Guid>{83D36858-3D94-41D5-A9A9-D431DFD44DD5}</b:Guid>
    <b:Title>Fears of bullying drives Muslim children to being homeschooled</b:Title>
    <b:Year>2018</b:Year>
    <b:Author>
      <b:Author>
        <b:NameList>
          <b:Person>
            <b:Last>Rudgard</b:Last>
            <b:First>Olivia</b:First>
          </b:Person>
        </b:NameList>
      </b:Author>
    </b:Author>
    <b:InternetSiteTitle>The Telegraph</b:InternetSiteTitle>
    <b:Month>April</b:Month>
    <b:Day>3</b:Day>
    <b:URL> https://www.telegraph.co.uk/news/2018/04/03/fears-bullying-drives-muslim-children-homeschooled/</b:URL>
    <b:RefOrder>26</b:RefOrder>
  </b:Source>
  <b:Source>
    <b:Tag>Out</b:Tag>
    <b:SourceType>DocumentFromInternetSite</b:SourceType>
    <b:Guid>{BDF882F8-BFDF-4CEE-9A9E-FF5BA4909BC6}</b:Guid>
    <b:Title>Outcomes for Electively Home Educated Children</b:Title>
    <b:URL>http://www.home-education.org.uk/articles/wc/wc-he-outcomes.pdf</b:URL>
    <b:RefOrder>27</b:RefOrder>
  </b:Source>
  <b:Source>
    <b:Tag>Abb19</b:Tag>
    <b:SourceType>InternetSite</b:SourceType>
    <b:Guid>{0BE8810D-6AB1-4D2C-8001-7B69190C1177}</b:Guid>
    <b:Title>Parents home educating their children in Wales will have to join a register</b:Title>
    <b:InternetSiteTitle>WalesOnline</b:InternetSiteTitle>
    <b:Year>2018</b:Year>
    <b:Month>January</b:Month>
    <b:Day>4</b:Day>
    <b:URL>https://www.walesonline.co.uk/news/education/parents-home-educating-children-wales-14110054</b:URL>
    <b:Author>
      <b:Author>
        <b:NameList>
          <b:Person>
            <b:Last>Wightwick</b:Last>
            <b:First>Abbie</b:First>
          </b:Person>
        </b:NameList>
      </b:Author>
    </b:Author>
    <b:RefOrder>28</b:RefOrder>
  </b:Source>
</b:Sources>
</file>

<file path=customXml/itemProps1.xml><?xml version="1.0" encoding="utf-8"?>
<ds:datastoreItem xmlns:ds="http://schemas.openxmlformats.org/officeDocument/2006/customXml" ds:itemID="{6F7F51C6-2707-401D-9FAD-E349EC34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cp:lastModifiedBy>
  <cp:revision>15</cp:revision>
  <dcterms:created xsi:type="dcterms:W3CDTF">2019-03-29T14:29:00Z</dcterms:created>
  <dcterms:modified xsi:type="dcterms:W3CDTF">2019-03-31T20:52:00Z</dcterms:modified>
</cp:coreProperties>
</file>