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7628A" w14:textId="77777777" w:rsidR="008C6F88" w:rsidRDefault="008C6F88" w:rsidP="00CB1F5D">
      <w:pPr>
        <w:spacing w:line="276" w:lineRule="auto"/>
        <w:rPr>
          <w:rFonts w:ascii="Times New Roman" w:hAnsi="Times New Roman" w:cs="Times New Roman"/>
          <w:b/>
          <w:sz w:val="36"/>
          <w:szCs w:val="36"/>
        </w:rPr>
      </w:pPr>
    </w:p>
    <w:p w14:paraId="1047628B" w14:textId="49B6858E" w:rsidR="008C6F88" w:rsidRPr="007F1B6F" w:rsidRDefault="008C6F88" w:rsidP="008C6F88">
      <w:pPr>
        <w:spacing w:line="276" w:lineRule="auto"/>
        <w:rPr>
          <w:rFonts w:ascii="Times New Roman" w:hAnsi="Times New Roman" w:cs="Times New Roman"/>
          <w:b/>
          <w:sz w:val="36"/>
          <w:szCs w:val="36"/>
        </w:rPr>
      </w:pPr>
      <w:r w:rsidRPr="007F1B6F">
        <w:rPr>
          <w:rFonts w:ascii="Times New Roman" w:hAnsi="Times New Roman" w:cs="Times New Roman"/>
          <w:b/>
          <w:sz w:val="36"/>
          <w:szCs w:val="36"/>
        </w:rPr>
        <w:t xml:space="preserve">Student Name: </w:t>
      </w:r>
      <w:r w:rsidR="007A696F">
        <w:rPr>
          <w:rFonts w:ascii="Times New Roman" w:hAnsi="Times New Roman" w:cs="Times New Roman"/>
          <w:b/>
          <w:sz w:val="36"/>
          <w:szCs w:val="36"/>
        </w:rPr>
        <w:t>Moryom Qureshi</w:t>
      </w:r>
    </w:p>
    <w:p w14:paraId="1047628C" w14:textId="36AF5FAE" w:rsidR="008C6F88" w:rsidRPr="007F1B6F" w:rsidRDefault="008C6F88" w:rsidP="008C6F88">
      <w:pPr>
        <w:spacing w:line="276" w:lineRule="auto"/>
        <w:rPr>
          <w:rFonts w:ascii="Times New Roman" w:hAnsi="Times New Roman" w:cs="Times New Roman"/>
          <w:b/>
          <w:sz w:val="36"/>
          <w:szCs w:val="36"/>
        </w:rPr>
      </w:pPr>
      <w:r w:rsidRPr="007F1B6F">
        <w:rPr>
          <w:rFonts w:ascii="Times New Roman" w:hAnsi="Times New Roman" w:cs="Times New Roman"/>
          <w:b/>
          <w:sz w:val="36"/>
          <w:szCs w:val="36"/>
        </w:rPr>
        <w:t xml:space="preserve">Student ID: </w:t>
      </w:r>
      <w:r w:rsidR="007A696F">
        <w:rPr>
          <w:rFonts w:ascii="Times New Roman" w:hAnsi="Times New Roman" w:cs="Times New Roman"/>
          <w:b/>
          <w:sz w:val="36"/>
          <w:szCs w:val="36"/>
        </w:rPr>
        <w:t>226816</w:t>
      </w:r>
    </w:p>
    <w:p w14:paraId="1047628D" w14:textId="77777777" w:rsidR="008C6F88" w:rsidRPr="007F1B6F" w:rsidRDefault="008C6F88" w:rsidP="008C6F88">
      <w:pPr>
        <w:spacing w:line="276" w:lineRule="auto"/>
        <w:rPr>
          <w:rFonts w:ascii="Times New Roman" w:hAnsi="Times New Roman" w:cs="Times New Roman"/>
          <w:b/>
          <w:sz w:val="36"/>
          <w:szCs w:val="36"/>
        </w:rPr>
      </w:pPr>
      <w:r w:rsidRPr="007F1B6F">
        <w:rPr>
          <w:rFonts w:ascii="Times New Roman" w:hAnsi="Times New Roman" w:cs="Times New Roman"/>
          <w:b/>
          <w:sz w:val="36"/>
          <w:szCs w:val="36"/>
        </w:rPr>
        <w:t xml:space="preserve">Module Code: </w:t>
      </w:r>
      <w:r w:rsidRPr="007F1B6F">
        <w:rPr>
          <w:rFonts w:ascii="Times New Roman" w:hAnsi="Times New Roman" w:cs="Times New Roman"/>
          <w:b/>
          <w:bCs/>
          <w:color w:val="000000"/>
          <w:sz w:val="36"/>
          <w:szCs w:val="36"/>
          <w:lang w:val="en-GB"/>
        </w:rPr>
        <w:t>BMIH6002</w:t>
      </w:r>
    </w:p>
    <w:p w14:paraId="1047628E" w14:textId="77777777" w:rsidR="008C6F88" w:rsidRPr="007F1B6F" w:rsidRDefault="008C6F88" w:rsidP="008C6F88">
      <w:pPr>
        <w:spacing w:line="276" w:lineRule="auto"/>
        <w:rPr>
          <w:rFonts w:ascii="Times New Roman" w:hAnsi="Times New Roman" w:cs="Times New Roman"/>
          <w:b/>
          <w:bCs/>
          <w:color w:val="000000"/>
          <w:sz w:val="36"/>
          <w:szCs w:val="36"/>
          <w:lang w:val="en-GB"/>
        </w:rPr>
      </w:pPr>
      <w:r w:rsidRPr="007F1B6F">
        <w:rPr>
          <w:rFonts w:ascii="Times New Roman" w:hAnsi="Times New Roman" w:cs="Times New Roman"/>
          <w:b/>
          <w:sz w:val="36"/>
          <w:szCs w:val="36"/>
        </w:rPr>
        <w:t xml:space="preserve">Module title: </w:t>
      </w:r>
      <w:r w:rsidRPr="007F1B6F">
        <w:rPr>
          <w:rFonts w:ascii="Times New Roman" w:hAnsi="Times New Roman" w:cs="Times New Roman"/>
          <w:b/>
          <w:bCs/>
          <w:color w:val="000000"/>
          <w:sz w:val="36"/>
          <w:szCs w:val="36"/>
          <w:lang w:val="en-GB"/>
        </w:rPr>
        <w:t>Hotel Placement – Managing Food and Beverage Operations</w:t>
      </w:r>
    </w:p>
    <w:p w14:paraId="1047628F" w14:textId="77777777" w:rsidR="008C6F88" w:rsidRPr="007F1B6F" w:rsidRDefault="008C6F88" w:rsidP="008C6F88">
      <w:pPr>
        <w:spacing w:line="276" w:lineRule="auto"/>
        <w:rPr>
          <w:rFonts w:ascii="Times New Roman" w:hAnsi="Times New Roman" w:cs="Times New Roman"/>
          <w:b/>
          <w:bCs/>
          <w:color w:val="000000"/>
          <w:sz w:val="36"/>
          <w:szCs w:val="36"/>
          <w:lang w:val="en-GB"/>
        </w:rPr>
      </w:pPr>
    </w:p>
    <w:p w14:paraId="10476290" w14:textId="77777777" w:rsidR="008C6F88" w:rsidRPr="007F1B6F" w:rsidRDefault="008C6F88" w:rsidP="008C6F88">
      <w:pPr>
        <w:autoSpaceDE w:val="0"/>
        <w:autoSpaceDN w:val="0"/>
        <w:adjustRightInd w:val="0"/>
        <w:spacing w:after="0" w:line="240" w:lineRule="auto"/>
        <w:jc w:val="both"/>
        <w:rPr>
          <w:rFonts w:ascii="Arial" w:hAnsi="Arial" w:cs="Arial"/>
          <w:b/>
          <w:sz w:val="24"/>
          <w:szCs w:val="24"/>
          <w:lang w:val="en-GB"/>
        </w:rPr>
      </w:pPr>
      <w:r w:rsidRPr="007F1B6F">
        <w:rPr>
          <w:rFonts w:ascii="Arial" w:hAnsi="Arial" w:cs="Arial"/>
          <w:b/>
          <w:sz w:val="24"/>
          <w:szCs w:val="24"/>
          <w:lang w:val="en-GB"/>
        </w:rPr>
        <w:t>AI Acknowledgement:</w:t>
      </w:r>
    </w:p>
    <w:p w14:paraId="10476291" w14:textId="77777777" w:rsidR="008C6F88" w:rsidRPr="007F1B6F" w:rsidRDefault="008C6F88" w:rsidP="008C6F88">
      <w:pPr>
        <w:autoSpaceDE w:val="0"/>
        <w:autoSpaceDN w:val="0"/>
        <w:adjustRightInd w:val="0"/>
        <w:spacing w:after="0" w:line="240" w:lineRule="auto"/>
        <w:jc w:val="both"/>
        <w:rPr>
          <w:rFonts w:ascii="Arial" w:hAnsi="Arial" w:cs="Arial"/>
          <w:b/>
          <w:sz w:val="24"/>
          <w:szCs w:val="24"/>
          <w:lang w:val="en-GB"/>
        </w:rPr>
      </w:pPr>
    </w:p>
    <w:p w14:paraId="10476292" w14:textId="77777777" w:rsidR="008C6F88" w:rsidRPr="007F1B6F" w:rsidRDefault="008C6F88" w:rsidP="008C6F88">
      <w:pPr>
        <w:spacing w:line="360" w:lineRule="auto"/>
        <w:jc w:val="both"/>
        <w:rPr>
          <w:rFonts w:ascii="Arial" w:hAnsi="Arial" w:cs="Arial"/>
          <w:sz w:val="24"/>
          <w:szCs w:val="24"/>
        </w:rPr>
      </w:pPr>
      <w:r w:rsidRPr="007F1B6F">
        <w:rPr>
          <w:rFonts w:ascii="Arial" w:hAnsi="Arial" w:cs="Arial"/>
          <w:sz w:val="24"/>
          <w:szCs w:val="24"/>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10476293" w14:textId="77777777" w:rsidR="0062110B" w:rsidRDefault="0062110B">
      <w:pPr>
        <w:rPr>
          <w:b/>
          <w:sz w:val="32"/>
          <w:szCs w:val="32"/>
          <w:lang w:val="en-GB"/>
        </w:rPr>
      </w:pPr>
    </w:p>
    <w:p w14:paraId="10476294" w14:textId="77777777" w:rsidR="00A3461D" w:rsidRDefault="00A3461D">
      <w:pPr>
        <w:rPr>
          <w:b/>
          <w:sz w:val="32"/>
          <w:szCs w:val="32"/>
          <w:lang w:val="en-GB"/>
        </w:rPr>
      </w:pPr>
    </w:p>
    <w:p w14:paraId="10476295" w14:textId="77777777" w:rsidR="00A3461D" w:rsidRDefault="00A3461D">
      <w:pPr>
        <w:rPr>
          <w:b/>
          <w:sz w:val="32"/>
          <w:szCs w:val="32"/>
          <w:lang w:val="en-GB"/>
        </w:rPr>
      </w:pPr>
      <w:r>
        <w:rPr>
          <w:b/>
          <w:sz w:val="32"/>
          <w:szCs w:val="32"/>
          <w:lang w:val="en-GB"/>
        </w:rPr>
        <w:br w:type="page"/>
      </w:r>
    </w:p>
    <w:p w14:paraId="10476296" w14:textId="77777777" w:rsidR="008C6F88" w:rsidRDefault="008C6F88">
      <w:pPr>
        <w:rPr>
          <w:b/>
          <w:sz w:val="32"/>
          <w:szCs w:val="32"/>
          <w:lang w:val="en-GB"/>
        </w:rPr>
      </w:pPr>
    </w:p>
    <w:sdt>
      <w:sdtPr>
        <w:rPr>
          <w:rFonts w:asciiTheme="minorHAnsi" w:eastAsiaTheme="minorHAnsi" w:hAnsiTheme="minorHAnsi" w:cstheme="minorBidi"/>
          <w:color w:val="auto"/>
          <w:sz w:val="22"/>
          <w:szCs w:val="22"/>
        </w:rPr>
        <w:id w:val="-1435432054"/>
        <w:docPartObj>
          <w:docPartGallery w:val="Table of Contents"/>
          <w:docPartUnique/>
        </w:docPartObj>
      </w:sdtPr>
      <w:sdtEndPr>
        <w:rPr>
          <w:b/>
          <w:bCs/>
          <w:noProof/>
        </w:rPr>
      </w:sdtEndPr>
      <w:sdtContent>
        <w:p w14:paraId="10476297" w14:textId="77777777" w:rsidR="008C6F88" w:rsidRPr="008C6F88" w:rsidRDefault="008C6F88">
          <w:pPr>
            <w:pStyle w:val="TOCHeading"/>
            <w:rPr>
              <w:b/>
            </w:rPr>
          </w:pPr>
          <w:r w:rsidRPr="008C6F88">
            <w:rPr>
              <w:b/>
            </w:rPr>
            <w:t>Table of Contents</w:t>
          </w:r>
        </w:p>
        <w:p w14:paraId="10476298" w14:textId="77777777" w:rsidR="00A3461D" w:rsidRDefault="008C6F8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3537724" w:history="1">
            <w:r w:rsidR="00A3461D" w:rsidRPr="00875F15">
              <w:rPr>
                <w:rStyle w:val="Hyperlink"/>
                <w:noProof/>
              </w:rPr>
              <w:t>Introduction</w:t>
            </w:r>
            <w:r w:rsidR="00A3461D">
              <w:rPr>
                <w:noProof/>
                <w:webHidden/>
              </w:rPr>
              <w:tab/>
            </w:r>
            <w:r w:rsidR="00A3461D">
              <w:rPr>
                <w:noProof/>
                <w:webHidden/>
              </w:rPr>
              <w:fldChar w:fldCharType="begin"/>
            </w:r>
            <w:r w:rsidR="00A3461D">
              <w:rPr>
                <w:noProof/>
                <w:webHidden/>
              </w:rPr>
              <w:instrText xml:space="preserve"> PAGEREF _Toc213537724 \h </w:instrText>
            </w:r>
            <w:r w:rsidR="00A3461D">
              <w:rPr>
                <w:noProof/>
                <w:webHidden/>
              </w:rPr>
            </w:r>
            <w:r w:rsidR="00A3461D">
              <w:rPr>
                <w:noProof/>
                <w:webHidden/>
              </w:rPr>
              <w:fldChar w:fldCharType="separate"/>
            </w:r>
            <w:r w:rsidR="00A3461D">
              <w:rPr>
                <w:noProof/>
                <w:webHidden/>
              </w:rPr>
              <w:t>1</w:t>
            </w:r>
            <w:r w:rsidR="00A3461D">
              <w:rPr>
                <w:noProof/>
                <w:webHidden/>
              </w:rPr>
              <w:fldChar w:fldCharType="end"/>
            </w:r>
          </w:hyperlink>
        </w:p>
        <w:p w14:paraId="10476299" w14:textId="77777777" w:rsidR="00A3461D" w:rsidRDefault="00A3461D">
          <w:pPr>
            <w:pStyle w:val="TOC2"/>
            <w:tabs>
              <w:tab w:val="right" w:leader="dot" w:pos="9350"/>
            </w:tabs>
            <w:rPr>
              <w:rFonts w:eastAsiaTheme="minorEastAsia"/>
              <w:noProof/>
            </w:rPr>
          </w:pPr>
          <w:hyperlink w:anchor="_Toc213537725" w:history="1">
            <w:r w:rsidRPr="00875F15">
              <w:rPr>
                <w:rStyle w:val="Hyperlink"/>
                <w:noProof/>
              </w:rPr>
              <w:t>Practice sustainability: food waste and lean service.</w:t>
            </w:r>
            <w:r>
              <w:rPr>
                <w:noProof/>
                <w:webHidden/>
              </w:rPr>
              <w:tab/>
            </w:r>
            <w:r>
              <w:rPr>
                <w:noProof/>
                <w:webHidden/>
              </w:rPr>
              <w:fldChar w:fldCharType="begin"/>
            </w:r>
            <w:r>
              <w:rPr>
                <w:noProof/>
                <w:webHidden/>
              </w:rPr>
              <w:instrText xml:space="preserve"> PAGEREF _Toc213537725 \h </w:instrText>
            </w:r>
            <w:r>
              <w:rPr>
                <w:noProof/>
                <w:webHidden/>
              </w:rPr>
            </w:r>
            <w:r>
              <w:rPr>
                <w:noProof/>
                <w:webHidden/>
              </w:rPr>
              <w:fldChar w:fldCharType="separate"/>
            </w:r>
            <w:r>
              <w:rPr>
                <w:noProof/>
                <w:webHidden/>
              </w:rPr>
              <w:t>2</w:t>
            </w:r>
            <w:r>
              <w:rPr>
                <w:noProof/>
                <w:webHidden/>
              </w:rPr>
              <w:fldChar w:fldCharType="end"/>
            </w:r>
          </w:hyperlink>
        </w:p>
        <w:p w14:paraId="1047629A" w14:textId="77777777" w:rsidR="00A3461D" w:rsidRDefault="00A3461D">
          <w:pPr>
            <w:pStyle w:val="TOC2"/>
            <w:tabs>
              <w:tab w:val="right" w:leader="dot" w:pos="9350"/>
            </w:tabs>
            <w:rPr>
              <w:rFonts w:eastAsiaTheme="minorEastAsia"/>
              <w:noProof/>
            </w:rPr>
          </w:pPr>
          <w:hyperlink w:anchor="_Toc213537726" w:history="1">
            <w:r w:rsidRPr="00875F15">
              <w:rPr>
                <w:rStyle w:val="Hyperlink"/>
                <w:noProof/>
              </w:rPr>
              <w:t>The promise of marketing and the guest.</w:t>
            </w:r>
            <w:r>
              <w:rPr>
                <w:noProof/>
                <w:webHidden/>
              </w:rPr>
              <w:tab/>
            </w:r>
            <w:r>
              <w:rPr>
                <w:noProof/>
                <w:webHidden/>
              </w:rPr>
              <w:fldChar w:fldCharType="begin"/>
            </w:r>
            <w:r>
              <w:rPr>
                <w:noProof/>
                <w:webHidden/>
              </w:rPr>
              <w:instrText xml:space="preserve"> PAGEREF _Toc213537726 \h </w:instrText>
            </w:r>
            <w:r>
              <w:rPr>
                <w:noProof/>
                <w:webHidden/>
              </w:rPr>
            </w:r>
            <w:r>
              <w:rPr>
                <w:noProof/>
                <w:webHidden/>
              </w:rPr>
              <w:fldChar w:fldCharType="separate"/>
            </w:r>
            <w:r>
              <w:rPr>
                <w:noProof/>
                <w:webHidden/>
              </w:rPr>
              <w:t>3</w:t>
            </w:r>
            <w:r>
              <w:rPr>
                <w:noProof/>
                <w:webHidden/>
              </w:rPr>
              <w:fldChar w:fldCharType="end"/>
            </w:r>
          </w:hyperlink>
        </w:p>
        <w:p w14:paraId="1047629B" w14:textId="77777777" w:rsidR="00A3461D" w:rsidRDefault="00A3461D">
          <w:pPr>
            <w:pStyle w:val="TOC2"/>
            <w:tabs>
              <w:tab w:val="right" w:leader="dot" w:pos="9350"/>
            </w:tabs>
            <w:rPr>
              <w:rFonts w:eastAsiaTheme="minorEastAsia"/>
              <w:noProof/>
            </w:rPr>
          </w:pPr>
          <w:hyperlink w:anchor="_Toc213537727" w:history="1">
            <w:r w:rsidRPr="00875F15">
              <w:rPr>
                <w:rStyle w:val="Hyperlink"/>
                <w:noProof/>
              </w:rPr>
              <w:t>Learning on shift, leadership and teamwork.</w:t>
            </w:r>
            <w:r>
              <w:rPr>
                <w:noProof/>
                <w:webHidden/>
              </w:rPr>
              <w:tab/>
            </w:r>
            <w:r>
              <w:rPr>
                <w:noProof/>
                <w:webHidden/>
              </w:rPr>
              <w:fldChar w:fldCharType="begin"/>
            </w:r>
            <w:r>
              <w:rPr>
                <w:noProof/>
                <w:webHidden/>
              </w:rPr>
              <w:instrText xml:space="preserve"> PAGEREF _Toc213537727 \h </w:instrText>
            </w:r>
            <w:r>
              <w:rPr>
                <w:noProof/>
                <w:webHidden/>
              </w:rPr>
            </w:r>
            <w:r>
              <w:rPr>
                <w:noProof/>
                <w:webHidden/>
              </w:rPr>
              <w:fldChar w:fldCharType="separate"/>
            </w:r>
            <w:r>
              <w:rPr>
                <w:noProof/>
                <w:webHidden/>
              </w:rPr>
              <w:t>3</w:t>
            </w:r>
            <w:r>
              <w:rPr>
                <w:noProof/>
                <w:webHidden/>
              </w:rPr>
              <w:fldChar w:fldCharType="end"/>
            </w:r>
          </w:hyperlink>
        </w:p>
        <w:p w14:paraId="1047629C" w14:textId="77777777" w:rsidR="00A3461D" w:rsidRDefault="00A3461D">
          <w:pPr>
            <w:pStyle w:val="TOC2"/>
            <w:tabs>
              <w:tab w:val="right" w:leader="dot" w:pos="9350"/>
            </w:tabs>
            <w:rPr>
              <w:rFonts w:eastAsiaTheme="minorEastAsia"/>
              <w:noProof/>
            </w:rPr>
          </w:pPr>
          <w:hyperlink w:anchor="_Toc213537728" w:history="1">
            <w:r w:rsidRPr="00875F15">
              <w:rPr>
                <w:rStyle w:val="Hyperlink"/>
                <w:noProof/>
              </w:rPr>
              <w:t>Three-step improvement plan</w:t>
            </w:r>
            <w:r>
              <w:rPr>
                <w:noProof/>
                <w:webHidden/>
              </w:rPr>
              <w:tab/>
            </w:r>
            <w:r>
              <w:rPr>
                <w:noProof/>
                <w:webHidden/>
              </w:rPr>
              <w:fldChar w:fldCharType="begin"/>
            </w:r>
            <w:r>
              <w:rPr>
                <w:noProof/>
                <w:webHidden/>
              </w:rPr>
              <w:instrText xml:space="preserve"> PAGEREF _Toc213537728 \h </w:instrText>
            </w:r>
            <w:r>
              <w:rPr>
                <w:noProof/>
                <w:webHidden/>
              </w:rPr>
            </w:r>
            <w:r>
              <w:rPr>
                <w:noProof/>
                <w:webHidden/>
              </w:rPr>
              <w:fldChar w:fldCharType="separate"/>
            </w:r>
            <w:r>
              <w:rPr>
                <w:noProof/>
                <w:webHidden/>
              </w:rPr>
              <w:t>4</w:t>
            </w:r>
            <w:r>
              <w:rPr>
                <w:noProof/>
                <w:webHidden/>
              </w:rPr>
              <w:fldChar w:fldCharType="end"/>
            </w:r>
          </w:hyperlink>
        </w:p>
        <w:p w14:paraId="1047629D" w14:textId="77777777" w:rsidR="00A3461D" w:rsidRDefault="00A3461D">
          <w:pPr>
            <w:pStyle w:val="TOC1"/>
            <w:tabs>
              <w:tab w:val="right" w:leader="dot" w:pos="9350"/>
            </w:tabs>
            <w:rPr>
              <w:rFonts w:eastAsiaTheme="minorEastAsia"/>
              <w:noProof/>
            </w:rPr>
          </w:pPr>
          <w:hyperlink w:anchor="_Toc213537729" w:history="1">
            <w:r w:rsidRPr="00875F15">
              <w:rPr>
                <w:rStyle w:val="Hyperlink"/>
                <w:noProof/>
              </w:rPr>
              <w:t>Conclusion</w:t>
            </w:r>
            <w:r>
              <w:rPr>
                <w:noProof/>
                <w:webHidden/>
              </w:rPr>
              <w:tab/>
            </w:r>
            <w:r>
              <w:rPr>
                <w:noProof/>
                <w:webHidden/>
              </w:rPr>
              <w:fldChar w:fldCharType="begin"/>
            </w:r>
            <w:r>
              <w:rPr>
                <w:noProof/>
                <w:webHidden/>
              </w:rPr>
              <w:instrText xml:space="preserve"> PAGEREF _Toc213537729 \h </w:instrText>
            </w:r>
            <w:r>
              <w:rPr>
                <w:noProof/>
                <w:webHidden/>
              </w:rPr>
            </w:r>
            <w:r>
              <w:rPr>
                <w:noProof/>
                <w:webHidden/>
              </w:rPr>
              <w:fldChar w:fldCharType="separate"/>
            </w:r>
            <w:r>
              <w:rPr>
                <w:noProof/>
                <w:webHidden/>
              </w:rPr>
              <w:t>4</w:t>
            </w:r>
            <w:r>
              <w:rPr>
                <w:noProof/>
                <w:webHidden/>
              </w:rPr>
              <w:fldChar w:fldCharType="end"/>
            </w:r>
          </w:hyperlink>
        </w:p>
        <w:p w14:paraId="1047629E" w14:textId="77777777" w:rsidR="00A3461D" w:rsidRDefault="00A3461D">
          <w:pPr>
            <w:pStyle w:val="TOC1"/>
            <w:tabs>
              <w:tab w:val="right" w:leader="dot" w:pos="9350"/>
            </w:tabs>
            <w:rPr>
              <w:rFonts w:eastAsiaTheme="minorEastAsia"/>
              <w:noProof/>
            </w:rPr>
          </w:pPr>
          <w:hyperlink w:anchor="_Toc213537730" w:history="1">
            <w:r w:rsidRPr="00875F15">
              <w:rPr>
                <w:rStyle w:val="Hyperlink"/>
                <w:noProof/>
              </w:rPr>
              <w:t>Appendix: Learning Objectives</w:t>
            </w:r>
            <w:r>
              <w:rPr>
                <w:noProof/>
                <w:webHidden/>
              </w:rPr>
              <w:tab/>
            </w:r>
            <w:r>
              <w:rPr>
                <w:noProof/>
                <w:webHidden/>
              </w:rPr>
              <w:fldChar w:fldCharType="begin"/>
            </w:r>
            <w:r>
              <w:rPr>
                <w:noProof/>
                <w:webHidden/>
              </w:rPr>
              <w:instrText xml:space="preserve"> PAGEREF _Toc213537730 \h </w:instrText>
            </w:r>
            <w:r>
              <w:rPr>
                <w:noProof/>
                <w:webHidden/>
              </w:rPr>
            </w:r>
            <w:r>
              <w:rPr>
                <w:noProof/>
                <w:webHidden/>
              </w:rPr>
              <w:fldChar w:fldCharType="separate"/>
            </w:r>
            <w:r>
              <w:rPr>
                <w:noProof/>
                <w:webHidden/>
              </w:rPr>
              <w:t>5</w:t>
            </w:r>
            <w:r>
              <w:rPr>
                <w:noProof/>
                <w:webHidden/>
              </w:rPr>
              <w:fldChar w:fldCharType="end"/>
            </w:r>
          </w:hyperlink>
        </w:p>
        <w:p w14:paraId="1047629F" w14:textId="77777777" w:rsidR="00A3461D" w:rsidRDefault="00A3461D">
          <w:pPr>
            <w:pStyle w:val="TOC1"/>
            <w:tabs>
              <w:tab w:val="right" w:leader="dot" w:pos="9350"/>
            </w:tabs>
            <w:rPr>
              <w:rFonts w:eastAsiaTheme="minorEastAsia"/>
              <w:noProof/>
            </w:rPr>
          </w:pPr>
          <w:hyperlink w:anchor="_Toc213537731" w:history="1">
            <w:r w:rsidRPr="00875F15">
              <w:rPr>
                <w:rStyle w:val="Hyperlink"/>
                <w:noProof/>
              </w:rPr>
              <w:t>References</w:t>
            </w:r>
            <w:r>
              <w:rPr>
                <w:noProof/>
                <w:webHidden/>
              </w:rPr>
              <w:tab/>
            </w:r>
            <w:r>
              <w:rPr>
                <w:noProof/>
                <w:webHidden/>
              </w:rPr>
              <w:fldChar w:fldCharType="begin"/>
            </w:r>
            <w:r>
              <w:rPr>
                <w:noProof/>
                <w:webHidden/>
              </w:rPr>
              <w:instrText xml:space="preserve"> PAGEREF _Toc213537731 \h </w:instrText>
            </w:r>
            <w:r>
              <w:rPr>
                <w:noProof/>
                <w:webHidden/>
              </w:rPr>
            </w:r>
            <w:r>
              <w:rPr>
                <w:noProof/>
                <w:webHidden/>
              </w:rPr>
              <w:fldChar w:fldCharType="separate"/>
            </w:r>
            <w:r>
              <w:rPr>
                <w:noProof/>
                <w:webHidden/>
              </w:rPr>
              <w:t>6</w:t>
            </w:r>
            <w:r>
              <w:rPr>
                <w:noProof/>
                <w:webHidden/>
              </w:rPr>
              <w:fldChar w:fldCharType="end"/>
            </w:r>
          </w:hyperlink>
        </w:p>
        <w:p w14:paraId="104762A0" w14:textId="77777777" w:rsidR="008C6F88" w:rsidRPr="008C6F88" w:rsidRDefault="008C6F88">
          <w:r>
            <w:rPr>
              <w:b/>
              <w:bCs/>
              <w:noProof/>
            </w:rPr>
            <w:fldChar w:fldCharType="end"/>
          </w:r>
        </w:p>
      </w:sdtContent>
    </w:sdt>
    <w:p w14:paraId="104762A1" w14:textId="77777777" w:rsidR="00A3461D" w:rsidRDefault="00A3461D" w:rsidP="0062110B">
      <w:pPr>
        <w:spacing w:after="0" w:line="240" w:lineRule="auto"/>
        <w:rPr>
          <w:rFonts w:ascii="Times New Roman" w:eastAsia="Times New Roman" w:hAnsi="Times New Roman" w:cs="Times New Roman"/>
          <w:sz w:val="24"/>
          <w:szCs w:val="24"/>
          <w:lang w:val="en-GB" w:eastAsia="en-GB"/>
        </w:rPr>
      </w:pPr>
    </w:p>
    <w:p w14:paraId="104762A2" w14:textId="77777777" w:rsidR="0062110B" w:rsidRPr="0062110B" w:rsidRDefault="00A3461D" w:rsidP="00A3461D">
      <w:pPr>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br w:type="page"/>
      </w:r>
    </w:p>
    <w:p w14:paraId="104762A3" w14:textId="77777777" w:rsidR="0062110B" w:rsidRPr="008C6F88" w:rsidRDefault="008C6F88" w:rsidP="001B7338">
      <w:pPr>
        <w:pStyle w:val="Heading1"/>
      </w:pPr>
      <w:bookmarkStart w:id="0" w:name="_Toc213537724"/>
      <w:r w:rsidRPr="008C6F88">
        <w:lastRenderedPageBreak/>
        <w:t>Introduction</w:t>
      </w:r>
      <w:bookmarkEnd w:id="0"/>
    </w:p>
    <w:p w14:paraId="104762A4" w14:textId="77777777" w:rsidR="00AE2AE8" w:rsidRPr="00AE2AE8" w:rsidRDefault="00D7038F" w:rsidP="00AE2AE8">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 started</w:t>
      </w:r>
      <w:r w:rsidR="00AE2AE8" w:rsidRPr="00AE2AE8">
        <w:rPr>
          <w:rFonts w:ascii="Times New Roman" w:eastAsia="Times New Roman" w:hAnsi="Times New Roman" w:cs="Times New Roman"/>
          <w:sz w:val="24"/>
          <w:szCs w:val="24"/>
          <w:lang w:val="en-GB" w:eastAsia="en-GB"/>
        </w:rPr>
        <w:t xml:space="preserve"> my Level 6 placement at the Holiday Inn Sunderland in</w:t>
      </w:r>
      <w:r>
        <w:rPr>
          <w:rFonts w:ascii="Times New Roman" w:eastAsia="Times New Roman" w:hAnsi="Times New Roman" w:cs="Times New Roman"/>
          <w:sz w:val="24"/>
          <w:szCs w:val="24"/>
          <w:lang w:val="en-GB" w:eastAsia="en-GB"/>
        </w:rPr>
        <w:t xml:space="preserve"> the Food and Beverage department that has an</w:t>
      </w:r>
      <w:r w:rsidR="00AE2AE8" w:rsidRPr="00AE2AE8">
        <w:rPr>
          <w:rFonts w:ascii="Times New Roman" w:eastAsia="Times New Roman" w:hAnsi="Times New Roman" w:cs="Times New Roman"/>
          <w:sz w:val="24"/>
          <w:szCs w:val="24"/>
          <w:lang w:val="en-GB" w:eastAsia="en-GB"/>
        </w:rPr>
        <w:t xml:space="preserve"> open-lobby restaurant and bar. The facility is an all-day beverage restaurant, snacks, and room service to both guests and walk-ins. Having approximately 60 covers and a small team commanded by Manager Paddy who is assisted by other team members such as Holly and Kieran they focus on quick service, consistency, as well as a friendly environment.</w:t>
      </w:r>
    </w:p>
    <w:p w14:paraId="104762A5" w14:textId="77777777" w:rsidR="00AE2AE8" w:rsidRPr="00AE2AE8" w:rsidRDefault="00AE2AE8" w:rsidP="00AE2AE8">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AE2AE8">
        <w:rPr>
          <w:rFonts w:ascii="Times New Roman" w:eastAsia="Times New Roman" w:hAnsi="Times New Roman" w:cs="Times New Roman"/>
          <w:sz w:val="24"/>
          <w:szCs w:val="24"/>
          <w:lang w:val="en-GB" w:eastAsia="en-GB"/>
        </w:rPr>
        <w:t xml:space="preserve">I was assigned to work on the floor and bar </w:t>
      </w:r>
      <w:r w:rsidR="00D7038F">
        <w:rPr>
          <w:rFonts w:ascii="Times New Roman" w:eastAsia="Times New Roman" w:hAnsi="Times New Roman" w:cs="Times New Roman"/>
          <w:sz w:val="24"/>
          <w:szCs w:val="24"/>
          <w:lang w:val="en-GB" w:eastAsia="en-GB"/>
        </w:rPr>
        <w:t>as well as sides, stock rotation</w:t>
      </w:r>
      <w:r w:rsidRPr="00AE2AE8">
        <w:rPr>
          <w:rFonts w:ascii="Times New Roman" w:eastAsia="Times New Roman" w:hAnsi="Times New Roman" w:cs="Times New Roman"/>
          <w:sz w:val="24"/>
          <w:szCs w:val="24"/>
          <w:lang w:val="en-GB" w:eastAsia="en-GB"/>
        </w:rPr>
        <w:t>, and closing</w:t>
      </w:r>
      <w:r w:rsidR="00D7038F">
        <w:rPr>
          <w:rFonts w:ascii="Times New Roman" w:eastAsia="Times New Roman" w:hAnsi="Times New Roman" w:cs="Times New Roman"/>
          <w:sz w:val="24"/>
          <w:szCs w:val="24"/>
          <w:lang w:val="en-GB" w:eastAsia="en-GB"/>
        </w:rPr>
        <w:t xml:space="preserve"> checks</w:t>
      </w:r>
      <w:r w:rsidRPr="00AE2AE8">
        <w:rPr>
          <w:rFonts w:ascii="Times New Roman" w:eastAsia="Times New Roman" w:hAnsi="Times New Roman" w:cs="Times New Roman"/>
          <w:sz w:val="24"/>
          <w:szCs w:val="24"/>
          <w:lang w:val="en-GB" w:eastAsia="en-GB"/>
        </w:rPr>
        <w:t>. This environment assisted me in experimenting concepts of Sustainability and Marketing modules in real life. I observed that there was high b</w:t>
      </w:r>
      <w:r w:rsidR="00D7038F">
        <w:rPr>
          <w:rFonts w:ascii="Times New Roman" w:eastAsia="Times New Roman" w:hAnsi="Times New Roman" w:cs="Times New Roman"/>
          <w:sz w:val="24"/>
          <w:szCs w:val="24"/>
          <w:lang w:val="en-GB" w:eastAsia="en-GB"/>
        </w:rPr>
        <w:t>rand delivery around</w:t>
      </w:r>
      <w:r w:rsidRPr="00AE2AE8">
        <w:rPr>
          <w:rFonts w:ascii="Times New Roman" w:eastAsia="Times New Roman" w:hAnsi="Times New Roman" w:cs="Times New Roman"/>
          <w:sz w:val="24"/>
          <w:szCs w:val="24"/>
          <w:lang w:val="en-GB" w:eastAsia="en-GB"/>
        </w:rPr>
        <w:t xml:space="preserve"> family value offer</w:t>
      </w:r>
      <w:r w:rsidR="00D7038F">
        <w:rPr>
          <w:rFonts w:ascii="Times New Roman" w:eastAsia="Times New Roman" w:hAnsi="Times New Roman" w:cs="Times New Roman"/>
          <w:sz w:val="24"/>
          <w:szCs w:val="24"/>
          <w:lang w:val="en-GB" w:eastAsia="en-GB"/>
        </w:rPr>
        <w:t>s it presents</w:t>
      </w:r>
      <w:r w:rsidRPr="00AE2AE8">
        <w:rPr>
          <w:rFonts w:ascii="Times New Roman" w:eastAsia="Times New Roman" w:hAnsi="Times New Roman" w:cs="Times New Roman"/>
          <w:sz w:val="24"/>
          <w:szCs w:val="24"/>
          <w:lang w:val="en-GB" w:eastAsia="en-GB"/>
        </w:rPr>
        <w:t xml:space="preserve"> and loyalty integration, yet there were also some gaps in food-waste t</w:t>
      </w:r>
      <w:r w:rsidR="00D7038F">
        <w:rPr>
          <w:rFonts w:ascii="Times New Roman" w:eastAsia="Times New Roman" w:hAnsi="Times New Roman" w:cs="Times New Roman"/>
          <w:sz w:val="24"/>
          <w:szCs w:val="24"/>
          <w:lang w:val="en-GB" w:eastAsia="en-GB"/>
        </w:rPr>
        <w:t>racking at times of low business activity</w:t>
      </w:r>
      <w:r w:rsidRPr="00AE2AE8">
        <w:rPr>
          <w:rFonts w:ascii="Times New Roman" w:eastAsia="Times New Roman" w:hAnsi="Times New Roman" w:cs="Times New Roman"/>
          <w:sz w:val="24"/>
          <w:szCs w:val="24"/>
          <w:lang w:val="en-GB" w:eastAsia="en-GB"/>
        </w:rPr>
        <w:t>. Conversing with Paddy and Holly on these points provided me with a better understanding of how everyday decisions in production, portioning and promotions influence the satisfaction of guests, profitability and sustainability objectives of the hotel. In this reflection I relate those findings to theory and map out a planned improvement agenda that is waste reducing, service quality protective, and brand promise supporting.</w:t>
      </w:r>
    </w:p>
    <w:p w14:paraId="104762A6" w14:textId="77777777" w:rsidR="00AE2AE8" w:rsidRPr="001B7338" w:rsidRDefault="00D7038F" w:rsidP="001B7338">
      <w:pPr>
        <w:pStyle w:val="Heading2"/>
      </w:pPr>
      <w:bookmarkStart w:id="1" w:name="_Toc213537725"/>
      <w:r>
        <w:t>S</w:t>
      </w:r>
      <w:r w:rsidR="00AE2AE8" w:rsidRPr="001B7338">
        <w:t>ustainability</w:t>
      </w:r>
      <w:r>
        <w:t xml:space="preserve"> in practice</w:t>
      </w:r>
      <w:r w:rsidR="00AE2AE8" w:rsidRPr="001B7338">
        <w:t xml:space="preserve">: food waste and </w:t>
      </w:r>
      <w:r>
        <w:t xml:space="preserve">the </w:t>
      </w:r>
      <w:r w:rsidR="00AE2AE8" w:rsidRPr="001B7338">
        <w:t>lean service.</w:t>
      </w:r>
      <w:bookmarkEnd w:id="1"/>
    </w:p>
    <w:p w14:paraId="104762A7" w14:textId="77777777" w:rsidR="00AE2AE8" w:rsidRPr="00AE2AE8" w:rsidRDefault="00AE2AE8" w:rsidP="00AE2AE8">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AE2AE8">
        <w:rPr>
          <w:rFonts w:ascii="Times New Roman" w:eastAsia="Times New Roman" w:hAnsi="Times New Roman" w:cs="Times New Roman"/>
          <w:sz w:val="24"/>
          <w:szCs w:val="24"/>
          <w:lang w:val="en-GB" w:eastAsia="en-GB"/>
        </w:rPr>
        <w:t xml:space="preserve">The most </w:t>
      </w:r>
      <w:r w:rsidR="00D7038F" w:rsidRPr="00AE2AE8">
        <w:rPr>
          <w:rFonts w:ascii="Times New Roman" w:eastAsia="Times New Roman" w:hAnsi="Times New Roman" w:cs="Times New Roman"/>
          <w:sz w:val="24"/>
          <w:szCs w:val="24"/>
          <w:lang w:val="en-GB" w:eastAsia="en-GB"/>
        </w:rPr>
        <w:t>persistent</w:t>
      </w:r>
      <w:r w:rsidR="00D7038F">
        <w:rPr>
          <w:rFonts w:ascii="Times New Roman" w:eastAsia="Times New Roman" w:hAnsi="Times New Roman" w:cs="Times New Roman"/>
          <w:sz w:val="24"/>
          <w:szCs w:val="24"/>
          <w:lang w:val="en-GB" w:eastAsia="en-GB"/>
        </w:rPr>
        <w:t xml:space="preserve"> operational glitch</w:t>
      </w:r>
      <w:r w:rsidRPr="00AE2AE8">
        <w:rPr>
          <w:rFonts w:ascii="Times New Roman" w:eastAsia="Times New Roman" w:hAnsi="Times New Roman" w:cs="Times New Roman"/>
          <w:sz w:val="24"/>
          <w:szCs w:val="24"/>
          <w:lang w:val="en-GB" w:eastAsia="en-GB"/>
        </w:rPr>
        <w:t xml:space="preserve"> which I had experienced was food waste due to advance preparation which was not always aligned to demand d</w:t>
      </w:r>
      <w:r w:rsidR="00D7038F">
        <w:rPr>
          <w:rFonts w:ascii="Times New Roman" w:eastAsia="Times New Roman" w:hAnsi="Times New Roman" w:cs="Times New Roman"/>
          <w:sz w:val="24"/>
          <w:szCs w:val="24"/>
          <w:lang w:val="en-GB" w:eastAsia="en-GB"/>
        </w:rPr>
        <w:t>uring the slow evenings. It is a</w:t>
      </w:r>
      <w:r w:rsidRPr="00AE2AE8">
        <w:rPr>
          <w:rFonts w:ascii="Times New Roman" w:eastAsia="Times New Roman" w:hAnsi="Times New Roman" w:cs="Times New Roman"/>
          <w:sz w:val="24"/>
          <w:szCs w:val="24"/>
          <w:lang w:val="en-GB" w:eastAsia="en-GB"/>
        </w:rPr>
        <w:t xml:space="preserve"> </w:t>
      </w:r>
      <w:r w:rsidR="00D7038F" w:rsidRPr="00AE2AE8">
        <w:rPr>
          <w:rFonts w:ascii="Times New Roman" w:eastAsia="Times New Roman" w:hAnsi="Times New Roman" w:cs="Times New Roman"/>
          <w:sz w:val="24"/>
          <w:szCs w:val="24"/>
          <w:lang w:val="en-GB" w:eastAsia="en-GB"/>
        </w:rPr>
        <w:t>typical</w:t>
      </w:r>
      <w:r w:rsidRPr="00AE2AE8">
        <w:rPr>
          <w:rFonts w:ascii="Times New Roman" w:eastAsia="Times New Roman" w:hAnsi="Times New Roman" w:cs="Times New Roman"/>
          <w:sz w:val="24"/>
          <w:szCs w:val="24"/>
          <w:lang w:val="en-GB" w:eastAsia="en-GB"/>
        </w:rPr>
        <w:t xml:space="preserve"> dilemma of service operations: make variability less to be more rapid, y</w:t>
      </w:r>
      <w:r w:rsidR="00D7038F">
        <w:rPr>
          <w:rFonts w:ascii="Times New Roman" w:eastAsia="Times New Roman" w:hAnsi="Times New Roman" w:cs="Times New Roman"/>
          <w:sz w:val="24"/>
          <w:szCs w:val="24"/>
          <w:lang w:val="en-GB" w:eastAsia="en-GB"/>
        </w:rPr>
        <w:t>et not to overproduce and drive</w:t>
      </w:r>
      <w:r w:rsidRPr="00AE2AE8">
        <w:rPr>
          <w:rFonts w:ascii="Times New Roman" w:eastAsia="Times New Roman" w:hAnsi="Times New Roman" w:cs="Times New Roman"/>
          <w:sz w:val="24"/>
          <w:szCs w:val="24"/>
          <w:lang w:val="en-GB" w:eastAsia="en-GB"/>
        </w:rPr>
        <w:t xml:space="preserve"> costs and negative environmental impact </w:t>
      </w:r>
      <w:sdt>
        <w:sdtPr>
          <w:rPr>
            <w:rFonts w:ascii="Times New Roman" w:eastAsia="Times New Roman" w:hAnsi="Times New Roman" w:cs="Times New Roman"/>
            <w:sz w:val="24"/>
            <w:szCs w:val="24"/>
            <w:lang w:val="en-GB" w:eastAsia="en-GB"/>
          </w:rPr>
          <w:id w:val="-44987949"/>
          <w:citation/>
        </w:sdtPr>
        <w:sdtContent>
          <w:r w:rsidR="001C1620">
            <w:rPr>
              <w:rFonts w:ascii="Times New Roman" w:eastAsia="Times New Roman" w:hAnsi="Times New Roman" w:cs="Times New Roman"/>
              <w:sz w:val="24"/>
              <w:szCs w:val="24"/>
              <w:lang w:val="en-GB" w:eastAsia="en-GB"/>
            </w:rPr>
            <w:fldChar w:fldCharType="begin"/>
          </w:r>
          <w:r w:rsidR="001C1620">
            <w:rPr>
              <w:rFonts w:ascii="Times New Roman" w:eastAsia="Times New Roman" w:hAnsi="Times New Roman" w:cs="Times New Roman"/>
              <w:sz w:val="24"/>
              <w:szCs w:val="24"/>
              <w:lang w:eastAsia="en-GB"/>
            </w:rPr>
            <w:instrText xml:space="preserve"> CITATION Joh12 \l 1033 </w:instrText>
          </w:r>
          <w:r w:rsidR="001C1620">
            <w:rPr>
              <w:rFonts w:ascii="Times New Roman" w:eastAsia="Times New Roman" w:hAnsi="Times New Roman" w:cs="Times New Roman"/>
              <w:sz w:val="24"/>
              <w:szCs w:val="24"/>
              <w:lang w:val="en-GB" w:eastAsia="en-GB"/>
            </w:rPr>
            <w:fldChar w:fldCharType="separate"/>
          </w:r>
          <w:r w:rsidR="001C1620" w:rsidRPr="001C1620">
            <w:rPr>
              <w:rFonts w:ascii="Times New Roman" w:eastAsia="Times New Roman" w:hAnsi="Times New Roman" w:cs="Times New Roman"/>
              <w:noProof/>
              <w:sz w:val="24"/>
              <w:szCs w:val="24"/>
              <w:lang w:eastAsia="en-GB"/>
            </w:rPr>
            <w:t>(Johnston, et al., 2012)</w:t>
          </w:r>
          <w:r w:rsidR="001C1620">
            <w:rPr>
              <w:rFonts w:ascii="Times New Roman" w:eastAsia="Times New Roman" w:hAnsi="Times New Roman" w:cs="Times New Roman"/>
              <w:sz w:val="24"/>
              <w:szCs w:val="24"/>
              <w:lang w:val="en-GB" w:eastAsia="en-GB"/>
            </w:rPr>
            <w:fldChar w:fldCharType="end"/>
          </w:r>
        </w:sdtContent>
      </w:sdt>
      <w:r w:rsidRPr="00AE2AE8">
        <w:rPr>
          <w:rFonts w:ascii="Times New Roman" w:eastAsia="Times New Roman" w:hAnsi="Times New Roman" w:cs="Times New Roman"/>
          <w:sz w:val="24"/>
          <w:szCs w:val="24"/>
          <w:lang w:val="en-GB" w:eastAsia="en-GB"/>
        </w:rPr>
        <w:t xml:space="preserve">. In conversation with Paddy, I discovered that the hotel adheres to a framework that is used by IHG to measure </w:t>
      </w:r>
      <w:r w:rsidRPr="00D7038F">
        <w:rPr>
          <w:rFonts w:ascii="Times New Roman" w:eastAsia="Times New Roman" w:hAnsi="Times New Roman" w:cs="Times New Roman"/>
          <w:sz w:val="24"/>
          <w:szCs w:val="24"/>
          <w:lang w:val="en-GB" w:eastAsia="en-GB"/>
        </w:rPr>
        <w:t>green</w:t>
      </w:r>
      <w:r w:rsidR="00D7038F" w:rsidRPr="00D7038F">
        <w:rPr>
          <w:rFonts w:ascii="Times New Roman" w:eastAsia="Times New Roman" w:hAnsi="Times New Roman" w:cs="Times New Roman"/>
          <w:sz w:val="24"/>
          <w:szCs w:val="24"/>
          <w:lang w:val="en-GB" w:eastAsia="en-GB"/>
        </w:rPr>
        <w:t xml:space="preserve"> framework</w:t>
      </w:r>
      <w:r w:rsidRPr="00AE2AE8">
        <w:rPr>
          <w:rFonts w:ascii="Times New Roman" w:eastAsia="Times New Roman" w:hAnsi="Times New Roman" w:cs="Times New Roman"/>
          <w:sz w:val="24"/>
          <w:szCs w:val="24"/>
          <w:lang w:val="en-GB" w:eastAsia="en-GB"/>
        </w:rPr>
        <w:t xml:space="preserve"> called </w:t>
      </w:r>
      <w:r w:rsidRPr="00D7038F">
        <w:rPr>
          <w:rFonts w:ascii="Times New Roman" w:eastAsia="Times New Roman" w:hAnsi="Times New Roman" w:cs="Times New Roman"/>
          <w:i/>
          <w:sz w:val="24"/>
          <w:szCs w:val="24"/>
          <w:lang w:val="en-GB" w:eastAsia="en-GB"/>
        </w:rPr>
        <w:t>Green Engage</w:t>
      </w:r>
      <w:r w:rsidRPr="00AE2AE8">
        <w:rPr>
          <w:rFonts w:ascii="Times New Roman" w:eastAsia="Times New Roman" w:hAnsi="Times New Roman" w:cs="Times New Roman"/>
          <w:sz w:val="24"/>
          <w:szCs w:val="24"/>
          <w:lang w:val="en-GB" w:eastAsia="en-GB"/>
        </w:rPr>
        <w:t>, yet the measurement of waste is not performed on a weekly basis. That distance prevents the team to modify the forecasts and allocation</w:t>
      </w:r>
      <w:sdt>
        <w:sdtPr>
          <w:rPr>
            <w:rFonts w:ascii="Times New Roman" w:eastAsia="Times New Roman" w:hAnsi="Times New Roman" w:cs="Times New Roman"/>
            <w:sz w:val="24"/>
            <w:szCs w:val="24"/>
            <w:lang w:val="en-GB" w:eastAsia="en-GB"/>
          </w:rPr>
          <w:id w:val="-1128772247"/>
          <w:citation/>
        </w:sdtPr>
        <w:sdtContent>
          <w:r w:rsidR="001C1620">
            <w:rPr>
              <w:rFonts w:ascii="Times New Roman" w:eastAsia="Times New Roman" w:hAnsi="Times New Roman" w:cs="Times New Roman"/>
              <w:sz w:val="24"/>
              <w:szCs w:val="24"/>
              <w:lang w:val="en-GB" w:eastAsia="en-GB"/>
            </w:rPr>
            <w:fldChar w:fldCharType="begin"/>
          </w:r>
          <w:r w:rsidR="001C1620">
            <w:rPr>
              <w:rFonts w:ascii="Times New Roman" w:eastAsia="Times New Roman" w:hAnsi="Times New Roman" w:cs="Times New Roman"/>
              <w:sz w:val="24"/>
              <w:szCs w:val="24"/>
              <w:lang w:eastAsia="en-GB"/>
            </w:rPr>
            <w:instrText xml:space="preserve"> CITATION Ell24 \l 1033 </w:instrText>
          </w:r>
          <w:r w:rsidR="001C1620">
            <w:rPr>
              <w:rFonts w:ascii="Times New Roman" w:eastAsia="Times New Roman" w:hAnsi="Times New Roman" w:cs="Times New Roman"/>
              <w:sz w:val="24"/>
              <w:szCs w:val="24"/>
              <w:lang w:val="en-GB" w:eastAsia="en-GB"/>
            </w:rPr>
            <w:fldChar w:fldCharType="separate"/>
          </w:r>
          <w:r w:rsidR="001C1620">
            <w:rPr>
              <w:rFonts w:ascii="Times New Roman" w:eastAsia="Times New Roman" w:hAnsi="Times New Roman" w:cs="Times New Roman"/>
              <w:noProof/>
              <w:sz w:val="24"/>
              <w:szCs w:val="24"/>
              <w:lang w:eastAsia="en-GB"/>
            </w:rPr>
            <w:t xml:space="preserve"> </w:t>
          </w:r>
          <w:r w:rsidR="001C1620" w:rsidRPr="001C1620">
            <w:rPr>
              <w:rFonts w:ascii="Times New Roman" w:eastAsia="Times New Roman" w:hAnsi="Times New Roman" w:cs="Times New Roman"/>
              <w:noProof/>
              <w:sz w:val="24"/>
              <w:szCs w:val="24"/>
              <w:lang w:eastAsia="en-GB"/>
            </w:rPr>
            <w:t>(Ellen MacArthur Foundation, 2024)</w:t>
          </w:r>
          <w:r w:rsidR="001C1620">
            <w:rPr>
              <w:rFonts w:ascii="Times New Roman" w:eastAsia="Times New Roman" w:hAnsi="Times New Roman" w:cs="Times New Roman"/>
              <w:sz w:val="24"/>
              <w:szCs w:val="24"/>
              <w:lang w:val="en-GB" w:eastAsia="en-GB"/>
            </w:rPr>
            <w:fldChar w:fldCharType="end"/>
          </w:r>
        </w:sdtContent>
      </w:sdt>
      <w:r w:rsidRPr="00AE2AE8">
        <w:rPr>
          <w:rFonts w:ascii="Times New Roman" w:eastAsia="Times New Roman" w:hAnsi="Times New Roman" w:cs="Times New Roman"/>
          <w:sz w:val="24"/>
          <w:szCs w:val="24"/>
          <w:lang w:val="en-GB" w:eastAsia="en-GB"/>
        </w:rPr>
        <w:t>.</w:t>
      </w:r>
    </w:p>
    <w:p w14:paraId="104762A8" w14:textId="77777777" w:rsidR="00614E3F" w:rsidRPr="00614E3F" w:rsidRDefault="00AE2AE8" w:rsidP="00614E3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AE2AE8">
        <w:rPr>
          <w:rFonts w:ascii="Times New Roman" w:eastAsia="Times New Roman" w:hAnsi="Times New Roman" w:cs="Times New Roman"/>
          <w:sz w:val="24"/>
          <w:szCs w:val="24"/>
          <w:lang w:val="en-GB" w:eastAsia="en-GB"/>
        </w:rPr>
        <w:t xml:space="preserve">I would suggest adhering to the Food and drink waste hierarchy guidance of the UK that is issued by the UK Government and suggests the legal obligation of implementing the hierarchy. </w:t>
      </w:r>
      <w:r w:rsidR="00614E3F" w:rsidRPr="00614E3F">
        <w:rPr>
          <w:rFonts w:ascii="Times New Roman" w:eastAsia="Times New Roman" w:hAnsi="Times New Roman" w:cs="Times New Roman"/>
          <w:sz w:val="24"/>
          <w:szCs w:val="24"/>
          <w:lang w:val="en-GB" w:eastAsia="en-GB"/>
        </w:rPr>
        <w:t xml:space="preserve">Its priorities are prevention, followed by redistribution, followed by recycling and recovery, and disposal </w:t>
      </w:r>
      <w:sdt>
        <w:sdtPr>
          <w:rPr>
            <w:rFonts w:ascii="Times New Roman" w:eastAsia="Times New Roman" w:hAnsi="Times New Roman" w:cs="Times New Roman"/>
            <w:sz w:val="24"/>
            <w:szCs w:val="24"/>
            <w:lang w:val="en-GB" w:eastAsia="en-GB"/>
          </w:rPr>
          <w:id w:val="1674536389"/>
          <w:citation/>
        </w:sdtPr>
        <w:sdtContent>
          <w:r w:rsidR="009155A5">
            <w:rPr>
              <w:rFonts w:ascii="Times New Roman" w:eastAsia="Times New Roman" w:hAnsi="Times New Roman" w:cs="Times New Roman"/>
              <w:sz w:val="24"/>
              <w:szCs w:val="24"/>
              <w:lang w:val="en-GB" w:eastAsia="en-GB"/>
            </w:rPr>
            <w:fldChar w:fldCharType="begin"/>
          </w:r>
          <w:r w:rsidR="009155A5">
            <w:rPr>
              <w:rFonts w:ascii="Times New Roman" w:eastAsia="Times New Roman" w:hAnsi="Times New Roman" w:cs="Times New Roman"/>
              <w:sz w:val="24"/>
              <w:szCs w:val="24"/>
              <w:lang w:eastAsia="en-GB"/>
            </w:rPr>
            <w:instrText xml:space="preserve"> CITATION DEF11 \l 1033 </w:instrText>
          </w:r>
          <w:r w:rsidR="009155A5">
            <w:rPr>
              <w:rFonts w:ascii="Times New Roman" w:eastAsia="Times New Roman" w:hAnsi="Times New Roman" w:cs="Times New Roman"/>
              <w:sz w:val="24"/>
              <w:szCs w:val="24"/>
              <w:lang w:val="en-GB" w:eastAsia="en-GB"/>
            </w:rPr>
            <w:fldChar w:fldCharType="separate"/>
          </w:r>
          <w:r w:rsidR="009155A5" w:rsidRPr="009155A5">
            <w:rPr>
              <w:rFonts w:ascii="Times New Roman" w:eastAsia="Times New Roman" w:hAnsi="Times New Roman" w:cs="Times New Roman"/>
              <w:noProof/>
              <w:sz w:val="24"/>
              <w:szCs w:val="24"/>
              <w:lang w:eastAsia="en-GB"/>
            </w:rPr>
            <w:t>(DEFRA, 2011)</w:t>
          </w:r>
          <w:r w:rsidR="009155A5">
            <w:rPr>
              <w:rFonts w:ascii="Times New Roman" w:eastAsia="Times New Roman" w:hAnsi="Times New Roman" w:cs="Times New Roman"/>
              <w:sz w:val="24"/>
              <w:szCs w:val="24"/>
              <w:lang w:val="en-GB" w:eastAsia="en-GB"/>
            </w:rPr>
            <w:fldChar w:fldCharType="end"/>
          </w:r>
        </w:sdtContent>
      </w:sdt>
      <w:r w:rsidR="00614E3F" w:rsidRPr="00614E3F">
        <w:rPr>
          <w:rFonts w:ascii="Times New Roman" w:eastAsia="Times New Roman" w:hAnsi="Times New Roman" w:cs="Times New Roman"/>
          <w:sz w:val="24"/>
          <w:szCs w:val="24"/>
          <w:lang w:val="en-GB" w:eastAsia="en-GB"/>
        </w:rPr>
        <w:t>. In the case of hospitality, WRAP</w:t>
      </w:r>
      <w:r w:rsidR="00AC478B">
        <w:rPr>
          <w:rFonts w:ascii="Times New Roman" w:eastAsia="Times New Roman" w:hAnsi="Times New Roman" w:cs="Times New Roman"/>
          <w:sz w:val="24"/>
          <w:szCs w:val="24"/>
          <w:lang w:val="en-GB" w:eastAsia="en-GB"/>
        </w:rPr>
        <w:t>’s</w:t>
      </w:r>
      <w:r w:rsidR="00614E3F" w:rsidRPr="00614E3F">
        <w:rPr>
          <w:rFonts w:ascii="Times New Roman" w:eastAsia="Times New Roman" w:hAnsi="Times New Roman" w:cs="Times New Roman"/>
          <w:sz w:val="24"/>
          <w:szCs w:val="24"/>
          <w:lang w:val="en-GB" w:eastAsia="en-GB"/>
        </w:rPr>
        <w:t xml:space="preserve"> Food Waste Reduction Roadmap </w:t>
      </w:r>
      <w:r w:rsidR="00614E3F" w:rsidRPr="00614E3F">
        <w:rPr>
          <w:rFonts w:ascii="Times New Roman" w:eastAsia="Times New Roman" w:hAnsi="Times New Roman" w:cs="Times New Roman"/>
          <w:sz w:val="24"/>
          <w:szCs w:val="24"/>
          <w:lang w:val="en-GB" w:eastAsia="en-GB"/>
        </w:rPr>
        <w:lastRenderedPageBreak/>
        <w:t>provides a target-measure-act Roadmap that is practical and we do not have to invest heavily in software</w:t>
      </w:r>
      <w:r w:rsidR="001C1620">
        <w:rPr>
          <w:rFonts w:ascii="Times New Roman" w:eastAsia="Times New Roman" w:hAnsi="Times New Roman" w:cs="Times New Roman"/>
          <w:sz w:val="24"/>
          <w:szCs w:val="24"/>
          <w:lang w:val="en-GB" w:eastAsia="en-GB"/>
        </w:rPr>
        <w:t xml:space="preserve"> </w:t>
      </w:r>
      <w:sdt>
        <w:sdtPr>
          <w:rPr>
            <w:rFonts w:ascii="Times New Roman" w:eastAsia="Times New Roman" w:hAnsi="Times New Roman" w:cs="Times New Roman"/>
            <w:sz w:val="24"/>
            <w:szCs w:val="24"/>
            <w:lang w:val="en-GB" w:eastAsia="en-GB"/>
          </w:rPr>
          <w:id w:val="-172886325"/>
          <w:citation/>
        </w:sdtPr>
        <w:sdtContent>
          <w:r w:rsidR="001C1620">
            <w:rPr>
              <w:rFonts w:ascii="Times New Roman" w:eastAsia="Times New Roman" w:hAnsi="Times New Roman" w:cs="Times New Roman"/>
              <w:sz w:val="24"/>
              <w:szCs w:val="24"/>
              <w:lang w:val="en-GB" w:eastAsia="en-GB"/>
            </w:rPr>
            <w:fldChar w:fldCharType="begin"/>
          </w:r>
          <w:r w:rsidR="001C1620">
            <w:rPr>
              <w:rFonts w:ascii="Times New Roman" w:eastAsia="Times New Roman" w:hAnsi="Times New Roman" w:cs="Times New Roman"/>
              <w:sz w:val="24"/>
              <w:szCs w:val="24"/>
              <w:lang w:eastAsia="en-GB"/>
            </w:rPr>
            <w:instrText xml:space="preserve"> CITATION WRA24 \l 1033 </w:instrText>
          </w:r>
          <w:r w:rsidR="001C1620">
            <w:rPr>
              <w:rFonts w:ascii="Times New Roman" w:eastAsia="Times New Roman" w:hAnsi="Times New Roman" w:cs="Times New Roman"/>
              <w:sz w:val="24"/>
              <w:szCs w:val="24"/>
              <w:lang w:val="en-GB" w:eastAsia="en-GB"/>
            </w:rPr>
            <w:fldChar w:fldCharType="separate"/>
          </w:r>
          <w:r w:rsidR="001C1620" w:rsidRPr="001C1620">
            <w:rPr>
              <w:rFonts w:ascii="Times New Roman" w:eastAsia="Times New Roman" w:hAnsi="Times New Roman" w:cs="Times New Roman"/>
              <w:noProof/>
              <w:sz w:val="24"/>
              <w:szCs w:val="24"/>
              <w:lang w:eastAsia="en-GB"/>
            </w:rPr>
            <w:t>(WRAP, 2024)</w:t>
          </w:r>
          <w:r w:rsidR="001C1620">
            <w:rPr>
              <w:rFonts w:ascii="Times New Roman" w:eastAsia="Times New Roman" w:hAnsi="Times New Roman" w:cs="Times New Roman"/>
              <w:sz w:val="24"/>
              <w:szCs w:val="24"/>
              <w:lang w:val="en-GB" w:eastAsia="en-GB"/>
            </w:rPr>
            <w:fldChar w:fldCharType="end"/>
          </w:r>
        </w:sdtContent>
      </w:sdt>
      <w:r w:rsidR="001C1620">
        <w:rPr>
          <w:rFonts w:ascii="Times New Roman" w:eastAsia="Times New Roman" w:hAnsi="Times New Roman" w:cs="Times New Roman"/>
          <w:sz w:val="24"/>
          <w:szCs w:val="24"/>
          <w:lang w:val="en-GB" w:eastAsia="en-GB"/>
        </w:rPr>
        <w:t xml:space="preserve">. </w:t>
      </w:r>
      <w:r w:rsidR="00614E3F" w:rsidRPr="00614E3F">
        <w:rPr>
          <w:rFonts w:ascii="Times New Roman" w:eastAsia="Times New Roman" w:hAnsi="Times New Roman" w:cs="Times New Roman"/>
          <w:sz w:val="24"/>
          <w:szCs w:val="24"/>
          <w:lang w:val="en-GB" w:eastAsia="en-GB"/>
        </w:rPr>
        <w:t xml:space="preserve">Together with the tracking devices of the IHGA Green Engage, this forms an easy circle: </w:t>
      </w:r>
      <w:r w:rsidR="00AC478B">
        <w:rPr>
          <w:rFonts w:ascii="Times New Roman" w:eastAsia="Times New Roman" w:hAnsi="Times New Roman" w:cs="Times New Roman"/>
          <w:sz w:val="24"/>
          <w:szCs w:val="24"/>
          <w:lang w:val="en-GB" w:eastAsia="en-GB"/>
        </w:rPr>
        <w:t>document the excess by the dish</w:t>
      </w:r>
      <w:r w:rsidR="000C6B2E">
        <w:rPr>
          <w:rFonts w:ascii="Times New Roman" w:eastAsia="Times New Roman" w:hAnsi="Times New Roman" w:cs="Times New Roman"/>
          <w:sz w:val="24"/>
          <w:szCs w:val="24"/>
          <w:lang w:val="en-GB" w:eastAsia="en-GB"/>
        </w:rPr>
        <w:t xml:space="preserve"> and</w:t>
      </w:r>
      <w:r w:rsidR="00614E3F" w:rsidRPr="00614E3F">
        <w:rPr>
          <w:rFonts w:ascii="Times New Roman" w:eastAsia="Times New Roman" w:hAnsi="Times New Roman" w:cs="Times New Roman"/>
          <w:sz w:val="24"/>
          <w:szCs w:val="24"/>
          <w:lang w:val="en-GB" w:eastAsia="en-GB"/>
        </w:rPr>
        <w:t xml:space="preserve"> modify batch sizes </w:t>
      </w:r>
      <w:r w:rsidR="000C6B2E">
        <w:rPr>
          <w:rFonts w:ascii="Times New Roman" w:eastAsia="Times New Roman" w:hAnsi="Times New Roman" w:cs="Times New Roman"/>
          <w:sz w:val="24"/>
          <w:szCs w:val="24"/>
          <w:lang w:val="en-GB" w:eastAsia="en-GB"/>
        </w:rPr>
        <w:t xml:space="preserve">and </w:t>
      </w:r>
      <w:r w:rsidR="00614E3F" w:rsidRPr="00614E3F">
        <w:rPr>
          <w:rFonts w:ascii="Times New Roman" w:eastAsia="Times New Roman" w:hAnsi="Times New Roman" w:cs="Times New Roman"/>
          <w:sz w:val="24"/>
          <w:szCs w:val="24"/>
          <w:lang w:val="en-GB" w:eastAsia="en-GB"/>
        </w:rPr>
        <w:t xml:space="preserve">pass the information on to the staff </w:t>
      </w:r>
      <w:sdt>
        <w:sdtPr>
          <w:rPr>
            <w:rFonts w:ascii="Times New Roman" w:eastAsia="Times New Roman" w:hAnsi="Times New Roman" w:cs="Times New Roman"/>
            <w:sz w:val="24"/>
            <w:szCs w:val="24"/>
            <w:lang w:val="en-GB" w:eastAsia="en-GB"/>
          </w:rPr>
          <w:id w:val="1443027909"/>
          <w:citation/>
        </w:sdtPr>
        <w:sdtContent>
          <w:r w:rsidR="001C1620">
            <w:rPr>
              <w:rFonts w:ascii="Times New Roman" w:eastAsia="Times New Roman" w:hAnsi="Times New Roman" w:cs="Times New Roman"/>
              <w:sz w:val="24"/>
              <w:szCs w:val="24"/>
              <w:lang w:val="en-GB" w:eastAsia="en-GB"/>
            </w:rPr>
            <w:fldChar w:fldCharType="begin"/>
          </w:r>
          <w:r w:rsidR="001C1620">
            <w:rPr>
              <w:rFonts w:ascii="Times New Roman" w:eastAsia="Times New Roman" w:hAnsi="Times New Roman" w:cs="Times New Roman"/>
              <w:sz w:val="24"/>
              <w:szCs w:val="24"/>
              <w:lang w:eastAsia="en-GB"/>
            </w:rPr>
            <w:instrText xml:space="preserve"> CITATION IHG243 \l 1033 </w:instrText>
          </w:r>
          <w:r w:rsidR="001C1620">
            <w:rPr>
              <w:rFonts w:ascii="Times New Roman" w:eastAsia="Times New Roman" w:hAnsi="Times New Roman" w:cs="Times New Roman"/>
              <w:sz w:val="24"/>
              <w:szCs w:val="24"/>
              <w:lang w:val="en-GB" w:eastAsia="en-GB"/>
            </w:rPr>
            <w:fldChar w:fldCharType="separate"/>
          </w:r>
          <w:r w:rsidR="001C1620" w:rsidRPr="001C1620">
            <w:rPr>
              <w:rFonts w:ascii="Times New Roman" w:eastAsia="Times New Roman" w:hAnsi="Times New Roman" w:cs="Times New Roman"/>
              <w:noProof/>
              <w:sz w:val="24"/>
              <w:szCs w:val="24"/>
              <w:lang w:eastAsia="en-GB"/>
            </w:rPr>
            <w:t>(IHG, 2024)</w:t>
          </w:r>
          <w:r w:rsidR="001C1620">
            <w:rPr>
              <w:rFonts w:ascii="Times New Roman" w:eastAsia="Times New Roman" w:hAnsi="Times New Roman" w:cs="Times New Roman"/>
              <w:sz w:val="24"/>
              <w:szCs w:val="24"/>
              <w:lang w:val="en-GB" w:eastAsia="en-GB"/>
            </w:rPr>
            <w:fldChar w:fldCharType="end"/>
          </w:r>
        </w:sdtContent>
      </w:sdt>
      <w:r w:rsidR="00614E3F" w:rsidRPr="00614E3F">
        <w:rPr>
          <w:rFonts w:ascii="Times New Roman" w:eastAsia="Times New Roman" w:hAnsi="Times New Roman" w:cs="Times New Roman"/>
          <w:sz w:val="24"/>
          <w:szCs w:val="24"/>
          <w:lang w:val="en-GB" w:eastAsia="en-GB"/>
        </w:rPr>
        <w:t>.</w:t>
      </w:r>
    </w:p>
    <w:p w14:paraId="104762A9" w14:textId="77777777" w:rsidR="00614E3F" w:rsidRPr="00614E3F" w:rsidRDefault="00AC478B" w:rsidP="00614E3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Let’s connect the same to</w:t>
      </w:r>
      <w:r w:rsidR="00614E3F" w:rsidRPr="00614E3F">
        <w:rPr>
          <w:rFonts w:ascii="Times New Roman" w:eastAsia="Times New Roman" w:hAnsi="Times New Roman" w:cs="Times New Roman"/>
          <w:sz w:val="24"/>
          <w:szCs w:val="24"/>
          <w:lang w:val="en-GB" w:eastAsia="en-GB"/>
        </w:rPr>
        <w:t xml:space="preserve"> the Triple Bottom Line strengthens the argument of change. Waste prevention is beneficial to profit as it reduces </w:t>
      </w:r>
      <w:r>
        <w:rPr>
          <w:rFonts w:ascii="Times New Roman" w:eastAsia="Times New Roman" w:hAnsi="Times New Roman" w:cs="Times New Roman"/>
          <w:sz w:val="24"/>
          <w:szCs w:val="24"/>
          <w:lang w:val="en-GB" w:eastAsia="en-GB"/>
        </w:rPr>
        <w:t>cost of goods sold (</w:t>
      </w:r>
      <w:r w:rsidR="00614E3F" w:rsidRPr="00614E3F">
        <w:rPr>
          <w:rFonts w:ascii="Times New Roman" w:eastAsia="Times New Roman" w:hAnsi="Times New Roman" w:cs="Times New Roman"/>
          <w:sz w:val="24"/>
          <w:szCs w:val="24"/>
          <w:lang w:val="en-GB" w:eastAsia="en-GB"/>
        </w:rPr>
        <w:t>COGS</w:t>
      </w:r>
      <w:r>
        <w:rPr>
          <w:rFonts w:ascii="Times New Roman" w:eastAsia="Times New Roman" w:hAnsi="Times New Roman" w:cs="Times New Roman"/>
          <w:sz w:val="24"/>
          <w:szCs w:val="24"/>
          <w:lang w:val="en-GB" w:eastAsia="en-GB"/>
        </w:rPr>
        <w:t>)</w:t>
      </w:r>
      <w:r w:rsidR="00614E3F" w:rsidRPr="00614E3F">
        <w:rPr>
          <w:rFonts w:ascii="Times New Roman" w:eastAsia="Times New Roman" w:hAnsi="Times New Roman" w:cs="Times New Roman"/>
          <w:sz w:val="24"/>
          <w:szCs w:val="24"/>
          <w:lang w:val="en-GB" w:eastAsia="en-GB"/>
        </w:rPr>
        <w:t xml:space="preserve">, planet since it avoids emissions, and people by maintaining a staff concentrated on fresh, to-order service as opposed to clearing unused prep work </w:t>
      </w:r>
      <w:sdt>
        <w:sdtPr>
          <w:rPr>
            <w:rFonts w:ascii="Times New Roman" w:eastAsia="Times New Roman" w:hAnsi="Times New Roman" w:cs="Times New Roman"/>
            <w:sz w:val="24"/>
            <w:szCs w:val="24"/>
            <w:lang w:val="en-GB" w:eastAsia="en-GB"/>
          </w:rPr>
          <w:id w:val="-1199159282"/>
          <w:citation/>
        </w:sdtPr>
        <w:sdtContent>
          <w:r w:rsidR="009155A5">
            <w:rPr>
              <w:rFonts w:ascii="Times New Roman" w:eastAsia="Times New Roman" w:hAnsi="Times New Roman" w:cs="Times New Roman"/>
              <w:sz w:val="24"/>
              <w:szCs w:val="24"/>
              <w:lang w:val="en-GB" w:eastAsia="en-GB"/>
            </w:rPr>
            <w:fldChar w:fldCharType="begin"/>
          </w:r>
          <w:r w:rsidR="009155A5">
            <w:rPr>
              <w:rFonts w:ascii="Times New Roman" w:eastAsia="Times New Roman" w:hAnsi="Times New Roman" w:cs="Times New Roman"/>
              <w:sz w:val="24"/>
              <w:szCs w:val="24"/>
              <w:lang w:eastAsia="en-GB"/>
            </w:rPr>
            <w:instrText xml:space="preserve"> CITATION Elk97 \l 1033 </w:instrText>
          </w:r>
          <w:r w:rsidR="009155A5">
            <w:rPr>
              <w:rFonts w:ascii="Times New Roman" w:eastAsia="Times New Roman" w:hAnsi="Times New Roman" w:cs="Times New Roman"/>
              <w:sz w:val="24"/>
              <w:szCs w:val="24"/>
              <w:lang w:val="en-GB" w:eastAsia="en-GB"/>
            </w:rPr>
            <w:fldChar w:fldCharType="separate"/>
          </w:r>
          <w:r w:rsidR="009155A5" w:rsidRPr="009155A5">
            <w:rPr>
              <w:rFonts w:ascii="Times New Roman" w:eastAsia="Times New Roman" w:hAnsi="Times New Roman" w:cs="Times New Roman"/>
              <w:noProof/>
              <w:sz w:val="24"/>
              <w:szCs w:val="24"/>
              <w:lang w:eastAsia="en-GB"/>
            </w:rPr>
            <w:t>(Elkington, 1997)</w:t>
          </w:r>
          <w:r w:rsidR="009155A5">
            <w:rPr>
              <w:rFonts w:ascii="Times New Roman" w:eastAsia="Times New Roman" w:hAnsi="Times New Roman" w:cs="Times New Roman"/>
              <w:sz w:val="24"/>
              <w:szCs w:val="24"/>
              <w:lang w:val="en-GB" w:eastAsia="en-GB"/>
            </w:rPr>
            <w:fldChar w:fldCharType="end"/>
          </w:r>
        </w:sdtContent>
      </w:sdt>
      <w:r w:rsidR="00614E3F" w:rsidRPr="00614E3F">
        <w:rPr>
          <w:rFonts w:ascii="Times New Roman" w:eastAsia="Times New Roman" w:hAnsi="Times New Roman" w:cs="Times New Roman"/>
          <w:sz w:val="24"/>
          <w:szCs w:val="24"/>
          <w:lang w:val="en-GB" w:eastAsia="en-GB"/>
        </w:rPr>
        <w:t>. It also minimizes the quality drift towards the end of service.</w:t>
      </w:r>
    </w:p>
    <w:p w14:paraId="104762AA" w14:textId="77777777" w:rsidR="00614E3F" w:rsidRPr="00614E3F" w:rsidRDefault="00614E3F" w:rsidP="001B7338">
      <w:pPr>
        <w:pStyle w:val="Heading2"/>
      </w:pPr>
      <w:bookmarkStart w:id="2" w:name="_Toc213537726"/>
      <w:r w:rsidRPr="00614E3F">
        <w:t>The promise of marketing and the guest.</w:t>
      </w:r>
      <w:bookmarkEnd w:id="2"/>
    </w:p>
    <w:p w14:paraId="104762AB" w14:textId="77777777" w:rsidR="00614E3F" w:rsidRPr="00614E3F" w:rsidRDefault="00614E3F" w:rsidP="00614E3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614E3F">
        <w:rPr>
          <w:rFonts w:ascii="Times New Roman" w:eastAsia="Times New Roman" w:hAnsi="Times New Roman" w:cs="Times New Roman"/>
          <w:sz w:val="24"/>
          <w:szCs w:val="24"/>
          <w:lang w:val="en-GB" w:eastAsia="en-GB"/>
        </w:rPr>
        <w:t xml:space="preserve">The focus in marketing </w:t>
      </w:r>
      <w:r w:rsidR="00AC478B">
        <w:rPr>
          <w:rFonts w:ascii="Times New Roman" w:eastAsia="Times New Roman" w:hAnsi="Times New Roman" w:cs="Times New Roman"/>
          <w:sz w:val="24"/>
          <w:szCs w:val="24"/>
          <w:lang w:val="en-GB" w:eastAsia="en-GB"/>
        </w:rPr>
        <w:t>at property level is on the IHG</w:t>
      </w:r>
      <w:r w:rsidRPr="00614E3F">
        <w:rPr>
          <w:rFonts w:ascii="Times New Roman" w:eastAsia="Times New Roman" w:hAnsi="Times New Roman" w:cs="Times New Roman"/>
          <w:sz w:val="24"/>
          <w:szCs w:val="24"/>
          <w:lang w:val="en-GB" w:eastAsia="en-GB"/>
        </w:rPr>
        <w:t xml:space="preserve"> One Rewards ecosystem, tactical emails and family-friendly deals including Kids Eat Free. Practically, the effect of these campaigns was incr</w:t>
      </w:r>
      <w:r w:rsidR="00AC478B">
        <w:rPr>
          <w:rFonts w:ascii="Times New Roman" w:eastAsia="Times New Roman" w:hAnsi="Times New Roman" w:cs="Times New Roman"/>
          <w:sz w:val="24"/>
          <w:szCs w:val="24"/>
          <w:lang w:val="en-GB" w:eastAsia="en-GB"/>
        </w:rPr>
        <w:t>eased traffic at certain times</w:t>
      </w:r>
      <w:r w:rsidRPr="00614E3F">
        <w:rPr>
          <w:rFonts w:ascii="Times New Roman" w:eastAsia="Times New Roman" w:hAnsi="Times New Roman" w:cs="Times New Roman"/>
          <w:sz w:val="24"/>
          <w:szCs w:val="24"/>
          <w:lang w:val="en-GB" w:eastAsia="en-GB"/>
        </w:rPr>
        <w:t xml:space="preserve">, which is good in terms of revenue, but it may </w:t>
      </w:r>
      <w:r w:rsidR="00AC478B">
        <w:rPr>
          <w:rFonts w:ascii="Times New Roman" w:eastAsia="Times New Roman" w:hAnsi="Times New Roman" w:cs="Times New Roman"/>
          <w:sz w:val="24"/>
          <w:szCs w:val="24"/>
          <w:lang w:val="en-GB" w:eastAsia="en-GB"/>
        </w:rPr>
        <w:t>cause stress to a small team, if the</w:t>
      </w:r>
      <w:r w:rsidRPr="00614E3F">
        <w:rPr>
          <w:rFonts w:ascii="Times New Roman" w:eastAsia="Times New Roman" w:hAnsi="Times New Roman" w:cs="Times New Roman"/>
          <w:sz w:val="24"/>
          <w:szCs w:val="24"/>
          <w:lang w:val="en-GB" w:eastAsia="en-GB"/>
        </w:rPr>
        <w:t xml:space="preserve"> table turns a</w:t>
      </w:r>
      <w:r w:rsidR="00AC478B">
        <w:rPr>
          <w:rFonts w:ascii="Times New Roman" w:eastAsia="Times New Roman" w:hAnsi="Times New Roman" w:cs="Times New Roman"/>
          <w:sz w:val="24"/>
          <w:szCs w:val="24"/>
          <w:lang w:val="en-GB" w:eastAsia="en-GB"/>
        </w:rPr>
        <w:t>nd checks are not paced</w:t>
      </w:r>
      <w:r w:rsidRPr="00614E3F">
        <w:rPr>
          <w:rFonts w:ascii="Times New Roman" w:eastAsia="Times New Roman" w:hAnsi="Times New Roman" w:cs="Times New Roman"/>
          <w:sz w:val="24"/>
          <w:szCs w:val="24"/>
          <w:lang w:val="en-GB" w:eastAsia="en-GB"/>
        </w:rPr>
        <w:t>. In this case, service blue printing comes in handy. We can identify pinch poin</w:t>
      </w:r>
      <w:r w:rsidR="00AC478B">
        <w:rPr>
          <w:rFonts w:ascii="Times New Roman" w:eastAsia="Times New Roman" w:hAnsi="Times New Roman" w:cs="Times New Roman"/>
          <w:sz w:val="24"/>
          <w:szCs w:val="24"/>
          <w:lang w:val="en-GB" w:eastAsia="en-GB"/>
        </w:rPr>
        <w:t>ts by mapping front-stage touchpoints</w:t>
      </w:r>
      <w:r w:rsidRPr="00614E3F">
        <w:rPr>
          <w:rFonts w:ascii="Times New Roman" w:eastAsia="Times New Roman" w:hAnsi="Times New Roman" w:cs="Times New Roman"/>
          <w:sz w:val="24"/>
          <w:szCs w:val="24"/>
          <w:lang w:val="en-GB" w:eastAsia="en-GB"/>
        </w:rPr>
        <w:t xml:space="preserve"> to the backstage prep, POS and bar workflo</w:t>
      </w:r>
      <w:r w:rsidR="009E1BB1">
        <w:rPr>
          <w:rFonts w:ascii="Times New Roman" w:eastAsia="Times New Roman" w:hAnsi="Times New Roman" w:cs="Times New Roman"/>
          <w:sz w:val="24"/>
          <w:szCs w:val="24"/>
          <w:lang w:val="en-GB" w:eastAsia="en-GB"/>
        </w:rPr>
        <w:t>w, and reallocate the staff</w:t>
      </w:r>
      <w:r w:rsidRPr="00614E3F">
        <w:rPr>
          <w:rFonts w:ascii="Times New Roman" w:eastAsia="Times New Roman" w:hAnsi="Times New Roman" w:cs="Times New Roman"/>
          <w:sz w:val="24"/>
          <w:szCs w:val="24"/>
          <w:lang w:val="en-GB" w:eastAsia="en-GB"/>
        </w:rPr>
        <w:t xml:space="preserve"> or ba</w:t>
      </w:r>
      <w:r w:rsidR="009E1BB1">
        <w:rPr>
          <w:rFonts w:ascii="Times New Roman" w:eastAsia="Times New Roman" w:hAnsi="Times New Roman" w:cs="Times New Roman"/>
          <w:sz w:val="24"/>
          <w:szCs w:val="24"/>
          <w:lang w:val="en-GB" w:eastAsia="en-GB"/>
        </w:rPr>
        <w:t>tch sizes, prior to a promotion</w:t>
      </w:r>
      <w:r w:rsidRPr="00614E3F">
        <w:rPr>
          <w:rFonts w:ascii="Times New Roman" w:eastAsia="Times New Roman" w:hAnsi="Times New Roman" w:cs="Times New Roman"/>
          <w:sz w:val="24"/>
          <w:szCs w:val="24"/>
          <w:lang w:val="en-GB" w:eastAsia="en-GB"/>
        </w:rPr>
        <w:t xml:space="preserve"> (Nielsen Norman Group, 2017). The brand promise seems natural because of the blueprint. It fails to do so and causes the wait times to increase and the value story to become weak.</w:t>
      </w:r>
    </w:p>
    <w:p w14:paraId="104762AC" w14:textId="77777777" w:rsidR="00614E3F" w:rsidRDefault="00614E3F" w:rsidP="00614E3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614E3F">
        <w:rPr>
          <w:rFonts w:ascii="Times New Roman" w:eastAsia="Times New Roman" w:hAnsi="Times New Roman" w:cs="Times New Roman"/>
          <w:sz w:val="24"/>
          <w:szCs w:val="24"/>
          <w:lang w:val="en-GB" w:eastAsia="en-GB"/>
        </w:rPr>
        <w:t xml:space="preserve">One of the practical lessons that I gained was the association between menu-communication </w:t>
      </w:r>
      <w:r w:rsidR="009E1BB1">
        <w:rPr>
          <w:rFonts w:ascii="Times New Roman" w:eastAsia="Times New Roman" w:hAnsi="Times New Roman" w:cs="Times New Roman"/>
          <w:sz w:val="24"/>
          <w:szCs w:val="24"/>
          <w:lang w:val="en-GB" w:eastAsia="en-GB"/>
        </w:rPr>
        <w:t>and perceived value. Clear</w:t>
      </w:r>
      <w:r w:rsidRPr="00614E3F">
        <w:rPr>
          <w:rFonts w:ascii="Times New Roman" w:eastAsia="Times New Roman" w:hAnsi="Times New Roman" w:cs="Times New Roman"/>
          <w:sz w:val="24"/>
          <w:szCs w:val="24"/>
          <w:lang w:val="en-GB" w:eastAsia="en-GB"/>
        </w:rPr>
        <w:t xml:space="preserve"> descriptions </w:t>
      </w:r>
      <w:r w:rsidR="009E1BB1">
        <w:rPr>
          <w:rFonts w:ascii="Times New Roman" w:eastAsia="Times New Roman" w:hAnsi="Times New Roman" w:cs="Times New Roman"/>
          <w:sz w:val="24"/>
          <w:szCs w:val="24"/>
          <w:lang w:val="en-GB" w:eastAsia="en-GB"/>
        </w:rPr>
        <w:t>at the table as well as consistent</w:t>
      </w:r>
      <w:r w:rsidRPr="00614E3F">
        <w:rPr>
          <w:rFonts w:ascii="Times New Roman" w:eastAsia="Times New Roman" w:hAnsi="Times New Roman" w:cs="Times New Roman"/>
          <w:sz w:val="24"/>
          <w:szCs w:val="24"/>
          <w:lang w:val="en-GB" w:eastAsia="en-GB"/>
        </w:rPr>
        <w:t xml:space="preserve"> product knowledge minimized re-makes and added-time which both benefited the guest experience and throughput. This is consistent with the fact that operational delivery should reflect the positioning expressed by marketing, otherwise reviews and loyalty intent will be negatively impacted (Johnston, Clark and Shulver, 2012).</w:t>
      </w:r>
    </w:p>
    <w:p w14:paraId="104762AD" w14:textId="77777777" w:rsidR="00614E3F" w:rsidRPr="00614E3F" w:rsidRDefault="00614E3F" w:rsidP="001B7338">
      <w:pPr>
        <w:pStyle w:val="Heading2"/>
      </w:pPr>
      <w:bookmarkStart w:id="3" w:name="_Toc213537727"/>
      <w:r w:rsidRPr="00614E3F">
        <w:t>Learning on shift, leadership and teamwork.</w:t>
      </w:r>
      <w:bookmarkEnd w:id="3"/>
    </w:p>
    <w:p w14:paraId="104762AE" w14:textId="77777777" w:rsidR="00614E3F" w:rsidRPr="000C6B2E" w:rsidRDefault="00614E3F" w:rsidP="0072767F">
      <w:pPr>
        <w:rPr>
          <w:lang w:val="en-GB" w:eastAsia="en-GB"/>
        </w:rPr>
      </w:pPr>
      <w:r w:rsidRPr="000C6B2E">
        <w:rPr>
          <w:lang w:val="en-GB" w:eastAsia="en-GB"/>
        </w:rPr>
        <w:t xml:space="preserve">Paddy was </w:t>
      </w:r>
      <w:r w:rsidR="009E1BB1">
        <w:rPr>
          <w:lang w:val="en-GB" w:eastAsia="en-GB"/>
        </w:rPr>
        <w:t xml:space="preserve">a supportive and open to suggestion </w:t>
      </w:r>
      <w:r w:rsidRPr="000C6B2E">
        <w:rPr>
          <w:lang w:val="en-GB" w:eastAsia="en-GB"/>
        </w:rPr>
        <w:t>boss in his day to day style. In my case this was similar to a Theory Y whereby employees are allowed to make contributions towards improvements. It was in contrast to my pr</w:t>
      </w:r>
      <w:r w:rsidR="009E1BB1">
        <w:rPr>
          <w:lang w:val="en-GB" w:eastAsia="en-GB"/>
        </w:rPr>
        <w:t>evious placements where instructions felt more top-down. Paddy agreed to when I</w:t>
      </w:r>
      <w:r w:rsidRPr="000C6B2E">
        <w:rPr>
          <w:lang w:val="en-GB" w:eastAsia="en-GB"/>
        </w:rPr>
        <w:t xml:space="preserve"> suggested as a simple waste-log and smaller off-peak batch sizes, over a period of one week. Less </w:t>
      </w:r>
      <w:r w:rsidRPr="000C6B2E">
        <w:rPr>
          <w:lang w:val="en-GB" w:eastAsia="en-GB"/>
        </w:rPr>
        <w:lastRenderedPageBreak/>
        <w:t>unused items were seen at close and less end-shift write-offs. The outcome of this supported my faith to experiment, ponder, and rehearse, which is the realistic cycle of experie</w:t>
      </w:r>
      <w:r w:rsidR="002018B5">
        <w:rPr>
          <w:lang w:val="en-GB" w:eastAsia="en-GB"/>
        </w:rPr>
        <w:t>ntial learning on</w:t>
      </w:r>
      <w:r w:rsidRPr="000C6B2E">
        <w:rPr>
          <w:lang w:val="en-GB" w:eastAsia="en-GB"/>
        </w:rPr>
        <w:t xml:space="preserve"> the shift.</w:t>
      </w:r>
    </w:p>
    <w:p w14:paraId="104762AF" w14:textId="77777777" w:rsidR="00614E3F" w:rsidRPr="000C6B2E" w:rsidRDefault="00614E3F" w:rsidP="0072767F">
      <w:pPr>
        <w:rPr>
          <w:lang w:val="en-GB" w:eastAsia="en-GB"/>
        </w:rPr>
      </w:pPr>
      <w:r w:rsidRPr="000C6B2E">
        <w:rPr>
          <w:lang w:val="en-GB" w:eastAsia="en-GB"/>
        </w:rPr>
        <w:t>Team roles were visible too. Holly was the natural coordinator of the pass and floor calls when the bar was busy, whereas my job was implementer work including pacing ticket queues and communicating about items.</w:t>
      </w:r>
    </w:p>
    <w:p w14:paraId="104762B0" w14:textId="77777777" w:rsidR="00614E3F" w:rsidRPr="00614E3F" w:rsidRDefault="00614E3F" w:rsidP="001B7338">
      <w:pPr>
        <w:pStyle w:val="Heading2"/>
      </w:pPr>
      <w:bookmarkStart w:id="4" w:name="_Toc213537728"/>
      <w:r w:rsidRPr="00614E3F">
        <w:t xml:space="preserve"> </w:t>
      </w:r>
      <w:r w:rsidR="002018B5">
        <w:t>I</w:t>
      </w:r>
      <w:r w:rsidRPr="00614E3F">
        <w:t>mprovement plan</w:t>
      </w:r>
      <w:bookmarkEnd w:id="4"/>
    </w:p>
    <w:p w14:paraId="104762B1" w14:textId="77777777" w:rsidR="00614E3F" w:rsidRPr="002018B5" w:rsidRDefault="002018B5" w:rsidP="002018B5">
      <w:pPr>
        <w:pStyle w:val="ListParagraph"/>
        <w:numPr>
          <w:ilvl w:val="0"/>
          <w:numId w:val="7"/>
        </w:num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Follow the policy guidance issued by the government on </w:t>
      </w:r>
      <w:r w:rsidRPr="002018B5">
        <w:rPr>
          <w:rFonts w:ascii="Times New Roman" w:hAnsi="Times New Roman" w:cs="Times New Roman"/>
          <w:sz w:val="24"/>
          <w:szCs w:val="24"/>
          <w:lang w:val="en-GB" w:eastAsia="en-GB"/>
        </w:rPr>
        <w:t>waste</w:t>
      </w:r>
      <w:r w:rsidR="00614E3F" w:rsidRPr="002018B5">
        <w:rPr>
          <w:rFonts w:ascii="Times New Roman" w:hAnsi="Times New Roman" w:cs="Times New Roman"/>
          <w:sz w:val="24"/>
          <w:szCs w:val="24"/>
          <w:lang w:val="en-GB" w:eastAsia="en-GB"/>
        </w:rPr>
        <w:t xml:space="preserve"> hierarchy and the roadmap of the approach should be WRAP (GOV.UK, 2024; WRAP, 2024). Target: </w:t>
      </w:r>
      <w:r w:rsidR="0072767F" w:rsidRPr="002018B5">
        <w:rPr>
          <w:rFonts w:ascii="Times New Roman" w:hAnsi="Times New Roman" w:cs="Times New Roman"/>
          <w:sz w:val="24"/>
          <w:szCs w:val="24"/>
          <w:lang w:val="en-GB" w:eastAsia="en-GB"/>
        </w:rPr>
        <w:t xml:space="preserve">To </w:t>
      </w:r>
      <w:r w:rsidR="00614E3F" w:rsidRPr="002018B5">
        <w:rPr>
          <w:rFonts w:ascii="Times New Roman" w:hAnsi="Times New Roman" w:cs="Times New Roman"/>
          <w:sz w:val="24"/>
          <w:szCs w:val="24"/>
          <w:lang w:val="en-GB" w:eastAsia="en-GB"/>
        </w:rPr>
        <w:t xml:space="preserve">decrease in write offs, decrease in the </w:t>
      </w:r>
      <w:r w:rsidR="001A6D77" w:rsidRPr="002018B5">
        <w:rPr>
          <w:rFonts w:ascii="Times New Roman" w:hAnsi="Times New Roman" w:cs="Times New Roman"/>
          <w:sz w:val="24"/>
          <w:szCs w:val="24"/>
          <w:lang w:val="en-GB" w:eastAsia="en-GB"/>
        </w:rPr>
        <w:t>unpredictability</w:t>
      </w:r>
      <w:r w:rsidR="001A6D77">
        <w:rPr>
          <w:rFonts w:ascii="Times New Roman" w:hAnsi="Times New Roman" w:cs="Times New Roman"/>
          <w:sz w:val="24"/>
          <w:szCs w:val="24"/>
          <w:lang w:val="en-GB" w:eastAsia="en-GB"/>
        </w:rPr>
        <w:t xml:space="preserve"> of COGS and fresher dishes</w:t>
      </w:r>
      <w:r w:rsidR="00614E3F" w:rsidRPr="002018B5">
        <w:rPr>
          <w:rFonts w:ascii="Times New Roman" w:hAnsi="Times New Roman" w:cs="Times New Roman"/>
          <w:sz w:val="24"/>
          <w:szCs w:val="24"/>
          <w:lang w:val="en-GB" w:eastAsia="en-GB"/>
        </w:rPr>
        <w:t xml:space="preserve"> towards the end </w:t>
      </w:r>
      <w:r w:rsidR="001A6D77" w:rsidRPr="002018B5">
        <w:rPr>
          <w:rFonts w:ascii="Times New Roman" w:hAnsi="Times New Roman" w:cs="Times New Roman"/>
          <w:sz w:val="24"/>
          <w:szCs w:val="24"/>
          <w:lang w:val="en-GB" w:eastAsia="en-GB"/>
        </w:rPr>
        <w:t>of service</w:t>
      </w:r>
      <w:r w:rsidR="00614E3F" w:rsidRPr="002018B5">
        <w:rPr>
          <w:rFonts w:ascii="Times New Roman" w:hAnsi="Times New Roman" w:cs="Times New Roman"/>
          <w:sz w:val="24"/>
          <w:szCs w:val="24"/>
          <w:lang w:val="en-GB" w:eastAsia="en-GB"/>
        </w:rPr>
        <w:t>.</w:t>
      </w:r>
    </w:p>
    <w:p w14:paraId="104762B2" w14:textId="77777777" w:rsidR="00614E3F" w:rsidRPr="002018B5" w:rsidRDefault="001A6D77" w:rsidP="002018B5">
      <w:pPr>
        <w:pStyle w:val="ListParagraph"/>
        <w:numPr>
          <w:ilvl w:val="0"/>
          <w:numId w:val="7"/>
        </w:numPr>
        <w:spacing w:line="360" w:lineRule="auto"/>
        <w:jc w:val="both"/>
        <w:rPr>
          <w:rFonts w:ascii="Times New Roman" w:hAnsi="Times New Roman" w:cs="Times New Roman"/>
          <w:sz w:val="24"/>
          <w:szCs w:val="24"/>
          <w:lang w:val="en-GB" w:eastAsia="en-GB"/>
        </w:rPr>
      </w:pPr>
      <w:r w:rsidRPr="001A6D77">
        <w:rPr>
          <w:rFonts w:ascii="Times New Roman" w:hAnsi="Times New Roman" w:cs="Times New Roman"/>
          <w:sz w:val="24"/>
          <w:szCs w:val="24"/>
        </w:rPr>
        <w:t>Create a simple service blueprint for a busy promotional period, showing everything from awareness to payment, including behind-the-scenes tasks, tools, and handoffs. Use it to plan pass times and bar tickets, and add one extra staff member during the 90-minute peak.</w:t>
      </w:r>
      <w:r w:rsidR="00614E3F" w:rsidRPr="002018B5">
        <w:rPr>
          <w:rFonts w:ascii="Times New Roman" w:hAnsi="Times New Roman" w:cs="Times New Roman"/>
          <w:sz w:val="24"/>
          <w:szCs w:val="24"/>
          <w:lang w:val="en-GB" w:eastAsia="en-GB"/>
        </w:rPr>
        <w:t xml:space="preserve"> (Nielsen Norman Group, 2017). </w:t>
      </w:r>
    </w:p>
    <w:p w14:paraId="104762B3" w14:textId="77777777" w:rsidR="00614E3F" w:rsidRPr="002018B5" w:rsidRDefault="00614E3F" w:rsidP="002018B5">
      <w:pPr>
        <w:pStyle w:val="ListParagraph"/>
        <w:numPr>
          <w:ilvl w:val="0"/>
          <w:numId w:val="7"/>
        </w:numPr>
        <w:spacing w:line="360" w:lineRule="auto"/>
        <w:jc w:val="both"/>
        <w:rPr>
          <w:rFonts w:ascii="Times New Roman" w:hAnsi="Times New Roman" w:cs="Times New Roman"/>
          <w:sz w:val="24"/>
          <w:szCs w:val="24"/>
          <w:lang w:val="en-GB" w:eastAsia="en-GB"/>
        </w:rPr>
      </w:pPr>
      <w:r w:rsidRPr="002018B5">
        <w:rPr>
          <w:rFonts w:ascii="Times New Roman" w:hAnsi="Times New Roman" w:cs="Times New Roman"/>
          <w:sz w:val="24"/>
          <w:szCs w:val="24"/>
          <w:lang w:val="en-GB" w:eastAsia="en-GB"/>
        </w:rPr>
        <w:t>Aligning Green Engage and team brief</w:t>
      </w:r>
      <w:r w:rsidR="0072767F" w:rsidRPr="002018B5">
        <w:rPr>
          <w:rFonts w:ascii="Times New Roman" w:hAnsi="Times New Roman" w:cs="Times New Roman"/>
          <w:sz w:val="24"/>
          <w:szCs w:val="24"/>
          <w:lang w:val="en-GB" w:eastAsia="en-GB"/>
        </w:rPr>
        <w:t>:</w:t>
      </w:r>
      <w:r w:rsidRPr="002018B5">
        <w:rPr>
          <w:rFonts w:ascii="Times New Roman" w:hAnsi="Times New Roman" w:cs="Times New Roman"/>
          <w:sz w:val="24"/>
          <w:szCs w:val="24"/>
          <w:lang w:val="en-GB" w:eastAsia="en-GB"/>
        </w:rPr>
        <w:t xml:space="preserve"> Have the waste-tracking and energy-saving activities registered in the IHG Green Engage toolkit to see the results reflected in monthly dashboards (IHG, 2024). </w:t>
      </w:r>
    </w:p>
    <w:p w14:paraId="104762B4" w14:textId="77777777" w:rsidR="0062110B" w:rsidRPr="008C6F88" w:rsidRDefault="008C6F88" w:rsidP="001B7338">
      <w:pPr>
        <w:pStyle w:val="Heading1"/>
      </w:pPr>
      <w:bookmarkStart w:id="5" w:name="_Toc213537729"/>
      <w:r w:rsidRPr="008C6F88">
        <w:t>Conclusion</w:t>
      </w:r>
      <w:bookmarkEnd w:id="5"/>
      <w:r w:rsidRPr="008C6F88">
        <w:t xml:space="preserve"> </w:t>
      </w:r>
    </w:p>
    <w:p w14:paraId="104762B5" w14:textId="77777777" w:rsidR="0062110B" w:rsidRPr="0062110B" w:rsidRDefault="001A6D77" w:rsidP="0062110B">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This placement helped me </w:t>
      </w:r>
      <w:r w:rsidR="004B5915" w:rsidRPr="004B5915">
        <w:rPr>
          <w:rFonts w:ascii="Times New Roman" w:eastAsia="Times New Roman" w:hAnsi="Times New Roman" w:cs="Times New Roman"/>
          <w:sz w:val="24"/>
          <w:szCs w:val="24"/>
          <w:lang w:val="en-GB" w:eastAsia="en-GB"/>
        </w:rPr>
        <w:t>relating sustainability and marketing theory to the daily floor-level decision-makin</w:t>
      </w:r>
      <w:r>
        <w:rPr>
          <w:rFonts w:ascii="Times New Roman" w:eastAsia="Times New Roman" w:hAnsi="Times New Roman" w:cs="Times New Roman"/>
          <w:sz w:val="24"/>
          <w:szCs w:val="24"/>
          <w:lang w:val="en-GB" w:eastAsia="en-GB"/>
        </w:rPr>
        <w:t xml:space="preserve">g. The lesson learnt is </w:t>
      </w:r>
      <w:r w:rsidR="004B5915" w:rsidRPr="004B5915">
        <w:rPr>
          <w:rFonts w:ascii="Times New Roman" w:eastAsia="Times New Roman" w:hAnsi="Times New Roman" w:cs="Times New Roman"/>
          <w:sz w:val="24"/>
          <w:szCs w:val="24"/>
          <w:lang w:val="en-GB" w:eastAsia="en-GB"/>
        </w:rPr>
        <w:t>prevention is better than correction. My frameworks were realistic. UK food waste hierarchy and WRAP roadmap provided us with a systematic approach of measuring and reducing excess and a simple service blueprint showed us where a slight change in staffing or sequencing would reduce pressure at peak times. My experience with Paddy and Holly demonstrated the effectiveness of an open leadership style, which promotes small and useful experiments in enhancing the experience of guests and reducing costs. In the future, I will still employ target-measure-act cycles, still have blueprints of peak patterns, and align the actions with Green Engage to ensure the effect is visible and repeatable.</w:t>
      </w:r>
    </w:p>
    <w:p w14:paraId="104762B6" w14:textId="77777777" w:rsidR="0062110B" w:rsidRPr="0062110B" w:rsidRDefault="001B7338" w:rsidP="001B7338">
      <w:pPr>
        <w:pStyle w:val="Heading1"/>
      </w:pPr>
      <w:r>
        <w:rPr>
          <w:szCs w:val="24"/>
        </w:rPr>
        <w:br w:type="page"/>
      </w:r>
      <w:bookmarkStart w:id="6" w:name="_Toc213537730"/>
      <w:r w:rsidR="0062110B" w:rsidRPr="000D120F">
        <w:rPr>
          <w:highlight w:val="yellow"/>
        </w:rPr>
        <w:lastRenderedPageBreak/>
        <w:t>Appendix: Learning Objectives</w:t>
      </w:r>
      <w:bookmarkEnd w:id="6"/>
    </w:p>
    <w:p w14:paraId="104762B7" w14:textId="77777777" w:rsidR="0072767F" w:rsidRPr="001B7338" w:rsidRDefault="0072767F" w:rsidP="0072767F">
      <w:pPr>
        <w:spacing w:before="100" w:beforeAutospacing="1" w:after="100" w:afterAutospacing="1" w:line="276" w:lineRule="auto"/>
        <w:jc w:val="both"/>
        <w:rPr>
          <w:rFonts w:ascii="Times New Roman" w:eastAsia="Times New Roman" w:hAnsi="Times New Roman" w:cs="Times New Roman"/>
          <w:b/>
          <w:bCs/>
          <w:sz w:val="24"/>
          <w:szCs w:val="24"/>
          <w:lang w:val="en-GB" w:eastAsia="en-GB"/>
        </w:rPr>
      </w:pPr>
      <w:r w:rsidRPr="001B7338">
        <w:rPr>
          <w:rFonts w:ascii="Times New Roman" w:eastAsia="Times New Roman" w:hAnsi="Times New Roman" w:cs="Times New Roman"/>
          <w:b/>
          <w:bCs/>
          <w:sz w:val="24"/>
          <w:szCs w:val="24"/>
          <w:lang w:val="en-GB" w:eastAsia="en-GB"/>
        </w:rPr>
        <w:t>Learning Objective 1: To learn how sustainability concepts may be applied to the food and beverage operations in a hotel setting.</w:t>
      </w:r>
    </w:p>
    <w:p w14:paraId="104762B8" w14:textId="77777777" w:rsidR="0072767F" w:rsidRPr="001B7338" w:rsidRDefault="0072767F" w:rsidP="001B7338">
      <w:pPr>
        <w:pStyle w:val="ListParagraph"/>
        <w:numPr>
          <w:ilvl w:val="0"/>
          <w:numId w:val="8"/>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I will analyze existing habits which contribute to waste or inefficiency, e.g. over-preparation or cooking in bulk batches, and recommend actions that can be taken to improve them.</w:t>
      </w:r>
    </w:p>
    <w:p w14:paraId="104762B9" w14:textId="77777777" w:rsidR="0072767F" w:rsidRPr="001B7338" w:rsidRDefault="0072767F" w:rsidP="001B7338">
      <w:pPr>
        <w:pStyle w:val="ListParagraph"/>
        <w:numPr>
          <w:ilvl w:val="0"/>
          <w:numId w:val="8"/>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Progress: I engaged with Manager Paddy about waste problems, used the food-waste hierarchy of GOV.UK (2024) and WRAP (2024), and lying down a plan to improve the waste by 10-20%</w:t>
      </w:r>
      <w:sdt>
        <w:sdtPr>
          <w:rPr>
            <w:rFonts w:ascii="Times New Roman" w:eastAsia="Times New Roman" w:hAnsi="Times New Roman" w:cs="Times New Roman"/>
            <w:bCs/>
            <w:sz w:val="24"/>
            <w:szCs w:val="24"/>
            <w:lang w:val="en-GB" w:eastAsia="en-GB"/>
          </w:rPr>
          <w:id w:val="-1205633753"/>
          <w:citation/>
        </w:sdtPr>
        <w:sdtContent>
          <w:r w:rsidR="009155A5">
            <w:rPr>
              <w:rFonts w:ascii="Times New Roman" w:eastAsia="Times New Roman" w:hAnsi="Times New Roman" w:cs="Times New Roman"/>
              <w:bCs/>
              <w:sz w:val="24"/>
              <w:szCs w:val="24"/>
              <w:lang w:val="en-GB" w:eastAsia="en-GB"/>
            </w:rPr>
            <w:fldChar w:fldCharType="begin"/>
          </w:r>
          <w:r w:rsidR="009155A5">
            <w:rPr>
              <w:rFonts w:ascii="Times New Roman" w:eastAsia="Times New Roman" w:hAnsi="Times New Roman" w:cs="Times New Roman"/>
              <w:bCs/>
              <w:sz w:val="24"/>
              <w:szCs w:val="24"/>
              <w:lang w:eastAsia="en-GB"/>
            </w:rPr>
            <w:instrText xml:space="preserve"> CITATION GOV24 \l 1033 </w:instrText>
          </w:r>
          <w:r w:rsidR="009155A5">
            <w:rPr>
              <w:rFonts w:ascii="Times New Roman" w:eastAsia="Times New Roman" w:hAnsi="Times New Roman" w:cs="Times New Roman"/>
              <w:bCs/>
              <w:sz w:val="24"/>
              <w:szCs w:val="24"/>
              <w:lang w:val="en-GB" w:eastAsia="en-GB"/>
            </w:rPr>
            <w:fldChar w:fldCharType="separate"/>
          </w:r>
          <w:r w:rsidR="009155A5">
            <w:rPr>
              <w:rFonts w:ascii="Times New Roman" w:eastAsia="Times New Roman" w:hAnsi="Times New Roman" w:cs="Times New Roman"/>
              <w:bCs/>
              <w:noProof/>
              <w:sz w:val="24"/>
              <w:szCs w:val="24"/>
              <w:lang w:eastAsia="en-GB"/>
            </w:rPr>
            <w:t xml:space="preserve"> </w:t>
          </w:r>
          <w:r w:rsidR="009155A5" w:rsidRPr="009155A5">
            <w:rPr>
              <w:rFonts w:ascii="Times New Roman" w:eastAsia="Times New Roman" w:hAnsi="Times New Roman" w:cs="Times New Roman"/>
              <w:noProof/>
              <w:sz w:val="24"/>
              <w:szCs w:val="24"/>
              <w:lang w:eastAsia="en-GB"/>
            </w:rPr>
            <w:t>(GOV.UK, 2024)</w:t>
          </w:r>
          <w:r w:rsidR="009155A5">
            <w:rPr>
              <w:rFonts w:ascii="Times New Roman" w:eastAsia="Times New Roman" w:hAnsi="Times New Roman" w:cs="Times New Roman"/>
              <w:bCs/>
              <w:sz w:val="24"/>
              <w:szCs w:val="24"/>
              <w:lang w:val="en-GB" w:eastAsia="en-GB"/>
            </w:rPr>
            <w:fldChar w:fldCharType="end"/>
          </w:r>
        </w:sdtContent>
      </w:sdt>
      <w:r w:rsidRPr="001B7338">
        <w:rPr>
          <w:rFonts w:ascii="Times New Roman" w:eastAsia="Times New Roman" w:hAnsi="Times New Roman" w:cs="Times New Roman"/>
          <w:bCs/>
          <w:sz w:val="24"/>
          <w:szCs w:val="24"/>
          <w:lang w:val="en-GB" w:eastAsia="en-GB"/>
        </w:rPr>
        <w:t>.</w:t>
      </w:r>
    </w:p>
    <w:p w14:paraId="104762BA" w14:textId="77777777" w:rsidR="0072767F" w:rsidRPr="001B7338" w:rsidRDefault="001B7338" w:rsidP="001B7338">
      <w:pPr>
        <w:pStyle w:val="ListParagraph"/>
        <w:numPr>
          <w:ilvl w:val="0"/>
          <w:numId w:val="8"/>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O</w:t>
      </w:r>
      <w:r w:rsidR="0072767F" w:rsidRPr="001B7338">
        <w:rPr>
          <w:rFonts w:ascii="Times New Roman" w:eastAsia="Times New Roman" w:hAnsi="Times New Roman" w:cs="Times New Roman"/>
          <w:bCs/>
          <w:sz w:val="24"/>
          <w:szCs w:val="24"/>
          <w:lang w:val="en-GB" w:eastAsia="en-GB"/>
        </w:rPr>
        <w:t>utcome: I have come to realise that sustainability is no longer a policy statement but should be enforced in operations and its effects should be checked on a daily basis.</w:t>
      </w:r>
    </w:p>
    <w:p w14:paraId="104762BB" w14:textId="77777777" w:rsidR="0072767F" w:rsidRPr="0072767F" w:rsidRDefault="0072767F" w:rsidP="0072767F">
      <w:pPr>
        <w:spacing w:before="100" w:beforeAutospacing="1" w:after="100" w:afterAutospacing="1" w:line="276" w:lineRule="auto"/>
        <w:jc w:val="both"/>
        <w:rPr>
          <w:rFonts w:ascii="Times New Roman" w:eastAsia="Times New Roman" w:hAnsi="Times New Roman" w:cs="Times New Roman"/>
          <w:b/>
          <w:bCs/>
          <w:sz w:val="24"/>
          <w:szCs w:val="24"/>
          <w:lang w:val="en-GB" w:eastAsia="en-GB"/>
        </w:rPr>
      </w:pPr>
      <w:r w:rsidRPr="0072767F">
        <w:rPr>
          <w:rFonts w:ascii="Times New Roman" w:eastAsia="Times New Roman" w:hAnsi="Times New Roman" w:cs="Times New Roman"/>
          <w:b/>
          <w:bCs/>
          <w:sz w:val="24"/>
          <w:szCs w:val="24"/>
          <w:lang w:val="en-GB" w:eastAsia="en-GB"/>
        </w:rPr>
        <w:t>Learning Objective 2: To deepen my knowledge of how marketing strategy and operational service delivery should be in sync in F&amp;B to provide the brand promise.</w:t>
      </w:r>
    </w:p>
    <w:p w14:paraId="104762BC" w14:textId="77777777" w:rsidR="0072767F" w:rsidRPr="001B7338" w:rsidRDefault="0072767F" w:rsidP="001B7338">
      <w:pPr>
        <w:pStyle w:val="ListParagraph"/>
        <w:numPr>
          <w:ilvl w:val="0"/>
          <w:numId w:val="9"/>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I will assess the effects of promotions (Kids E</w:t>
      </w:r>
      <w:r w:rsidR="00272888">
        <w:rPr>
          <w:rFonts w:ascii="Times New Roman" w:eastAsia="Times New Roman" w:hAnsi="Times New Roman" w:cs="Times New Roman"/>
          <w:bCs/>
          <w:sz w:val="24"/>
          <w:szCs w:val="24"/>
          <w:lang w:val="en-GB" w:eastAsia="en-GB"/>
        </w:rPr>
        <w:t>at Free) on the guest volumes</w:t>
      </w:r>
      <w:r w:rsidRPr="001B7338">
        <w:rPr>
          <w:rFonts w:ascii="Times New Roman" w:eastAsia="Times New Roman" w:hAnsi="Times New Roman" w:cs="Times New Roman"/>
          <w:bCs/>
          <w:sz w:val="24"/>
          <w:szCs w:val="24"/>
          <w:lang w:val="en-GB" w:eastAsia="en-GB"/>
        </w:rPr>
        <w:t>, load in operations, uniformity in services and finally the brand reputation.</w:t>
      </w:r>
    </w:p>
    <w:p w14:paraId="104762BD" w14:textId="77777777" w:rsidR="0072767F" w:rsidRPr="001B7338" w:rsidRDefault="0072767F" w:rsidP="001B7338">
      <w:pPr>
        <w:pStyle w:val="ListParagraph"/>
        <w:numPr>
          <w:ilvl w:val="0"/>
          <w:numId w:val="9"/>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Improvement: I followed the principles of service blueprint to map guest-journeys</w:t>
      </w:r>
      <w:sdt>
        <w:sdtPr>
          <w:rPr>
            <w:rFonts w:ascii="Times New Roman" w:eastAsia="Times New Roman" w:hAnsi="Times New Roman" w:cs="Times New Roman"/>
            <w:bCs/>
            <w:sz w:val="24"/>
            <w:szCs w:val="24"/>
            <w:lang w:val="en-GB" w:eastAsia="en-GB"/>
          </w:rPr>
          <w:id w:val="1653558780"/>
          <w:citation/>
        </w:sdtPr>
        <w:sdtContent>
          <w:r w:rsidR="001C1620">
            <w:rPr>
              <w:rFonts w:ascii="Times New Roman" w:eastAsia="Times New Roman" w:hAnsi="Times New Roman" w:cs="Times New Roman"/>
              <w:bCs/>
              <w:sz w:val="24"/>
              <w:szCs w:val="24"/>
              <w:lang w:val="en-GB" w:eastAsia="en-GB"/>
            </w:rPr>
            <w:fldChar w:fldCharType="begin"/>
          </w:r>
          <w:r w:rsidR="001C1620">
            <w:rPr>
              <w:rFonts w:ascii="Times New Roman" w:eastAsia="Times New Roman" w:hAnsi="Times New Roman" w:cs="Times New Roman"/>
              <w:bCs/>
              <w:sz w:val="24"/>
              <w:szCs w:val="24"/>
              <w:lang w:eastAsia="en-GB"/>
            </w:rPr>
            <w:instrText xml:space="preserve"> CITATION Nie17 \l 1033 </w:instrText>
          </w:r>
          <w:r w:rsidR="001C1620">
            <w:rPr>
              <w:rFonts w:ascii="Times New Roman" w:eastAsia="Times New Roman" w:hAnsi="Times New Roman" w:cs="Times New Roman"/>
              <w:bCs/>
              <w:sz w:val="24"/>
              <w:szCs w:val="24"/>
              <w:lang w:val="en-GB" w:eastAsia="en-GB"/>
            </w:rPr>
            <w:fldChar w:fldCharType="separate"/>
          </w:r>
          <w:r w:rsidR="001C1620">
            <w:rPr>
              <w:rFonts w:ascii="Times New Roman" w:eastAsia="Times New Roman" w:hAnsi="Times New Roman" w:cs="Times New Roman"/>
              <w:bCs/>
              <w:noProof/>
              <w:sz w:val="24"/>
              <w:szCs w:val="24"/>
              <w:lang w:eastAsia="en-GB"/>
            </w:rPr>
            <w:t xml:space="preserve"> </w:t>
          </w:r>
          <w:r w:rsidR="001C1620" w:rsidRPr="001C1620">
            <w:rPr>
              <w:rFonts w:ascii="Times New Roman" w:eastAsia="Times New Roman" w:hAnsi="Times New Roman" w:cs="Times New Roman"/>
              <w:noProof/>
              <w:sz w:val="24"/>
              <w:szCs w:val="24"/>
              <w:lang w:eastAsia="en-GB"/>
            </w:rPr>
            <w:t>(Nielsen, 2017)</w:t>
          </w:r>
          <w:r w:rsidR="001C1620">
            <w:rPr>
              <w:rFonts w:ascii="Times New Roman" w:eastAsia="Times New Roman" w:hAnsi="Times New Roman" w:cs="Times New Roman"/>
              <w:bCs/>
              <w:sz w:val="24"/>
              <w:szCs w:val="24"/>
              <w:lang w:val="en-GB" w:eastAsia="en-GB"/>
            </w:rPr>
            <w:fldChar w:fldCharType="end"/>
          </w:r>
        </w:sdtContent>
      </w:sdt>
      <w:r w:rsidRPr="001B7338">
        <w:rPr>
          <w:rFonts w:ascii="Times New Roman" w:eastAsia="Times New Roman" w:hAnsi="Times New Roman" w:cs="Times New Roman"/>
          <w:bCs/>
          <w:sz w:val="24"/>
          <w:szCs w:val="24"/>
          <w:lang w:val="en-GB" w:eastAsia="en-GB"/>
        </w:rPr>
        <w:t>, monitored service delays during promotion time, and asked employees about changes.</w:t>
      </w:r>
    </w:p>
    <w:p w14:paraId="104762BE" w14:textId="77777777" w:rsidR="0072767F" w:rsidRPr="001B7338" w:rsidRDefault="0072767F" w:rsidP="001B7338">
      <w:pPr>
        <w:pStyle w:val="ListParagraph"/>
        <w:numPr>
          <w:ilvl w:val="0"/>
          <w:numId w:val="9"/>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Result: I also got to know that the operational support should mirror the marketing commitments and that delivery of services is a component of the marketing mix.</w:t>
      </w:r>
    </w:p>
    <w:p w14:paraId="104762BF" w14:textId="77777777" w:rsidR="0072767F" w:rsidRPr="0072767F" w:rsidRDefault="0072767F" w:rsidP="0072767F">
      <w:pPr>
        <w:spacing w:before="100" w:beforeAutospacing="1" w:after="100" w:afterAutospacing="1" w:line="276" w:lineRule="auto"/>
        <w:jc w:val="both"/>
        <w:rPr>
          <w:rFonts w:ascii="Times New Roman" w:eastAsia="Times New Roman" w:hAnsi="Times New Roman" w:cs="Times New Roman"/>
          <w:b/>
          <w:bCs/>
          <w:sz w:val="24"/>
          <w:szCs w:val="24"/>
          <w:lang w:val="en-GB" w:eastAsia="en-GB"/>
        </w:rPr>
      </w:pPr>
      <w:r w:rsidRPr="0072767F">
        <w:rPr>
          <w:rFonts w:ascii="Times New Roman" w:eastAsia="Times New Roman" w:hAnsi="Times New Roman" w:cs="Times New Roman"/>
          <w:b/>
          <w:bCs/>
          <w:sz w:val="24"/>
          <w:szCs w:val="24"/>
          <w:lang w:val="en-GB" w:eastAsia="en-GB"/>
        </w:rPr>
        <w:t>Learning Objective 3: I aim to enhance my ability to propose and spearhead small operation change, which enhances efficiency, engagement of team, and customer satisfaction.</w:t>
      </w:r>
    </w:p>
    <w:p w14:paraId="104762C0" w14:textId="77777777" w:rsidR="0072767F" w:rsidRPr="001B7338" w:rsidRDefault="0072767F" w:rsidP="001B7338">
      <w:pPr>
        <w:pStyle w:val="ListParagraph"/>
        <w:numPr>
          <w:ilvl w:val="0"/>
          <w:numId w:val="10"/>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I will also be proactive in suggesting a digital waste-log, pilot cook-to-order when business is slow, and proactively encourage briefing the team before the shift to ensure that all are on track.</w:t>
      </w:r>
    </w:p>
    <w:p w14:paraId="104762C1" w14:textId="77777777" w:rsidR="0072767F" w:rsidRPr="001B7338" w:rsidRDefault="0072767F" w:rsidP="001B7338">
      <w:pPr>
        <w:pStyle w:val="ListParagraph"/>
        <w:numPr>
          <w:ilvl w:val="0"/>
          <w:numId w:val="10"/>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Improvement: I also tested the waste-log system, observed a decrease in idle prep, and disseminated the findings with the group; I proposed to prepare at an adjus</w:t>
      </w:r>
      <w:r w:rsidR="00272888">
        <w:rPr>
          <w:rFonts w:ascii="Times New Roman" w:eastAsia="Times New Roman" w:hAnsi="Times New Roman" w:cs="Times New Roman"/>
          <w:bCs/>
          <w:sz w:val="24"/>
          <w:szCs w:val="24"/>
          <w:lang w:val="en-GB" w:eastAsia="en-GB"/>
        </w:rPr>
        <w:t>t-batch rate when the floor</w:t>
      </w:r>
      <w:r w:rsidRPr="001B7338">
        <w:rPr>
          <w:rFonts w:ascii="Times New Roman" w:eastAsia="Times New Roman" w:hAnsi="Times New Roman" w:cs="Times New Roman"/>
          <w:bCs/>
          <w:sz w:val="24"/>
          <w:szCs w:val="24"/>
          <w:lang w:val="en-GB" w:eastAsia="en-GB"/>
        </w:rPr>
        <w:t xml:space="preserve"> was not busy and supported the realization of two pre-shift briefings about sustainability and service speed.</w:t>
      </w:r>
    </w:p>
    <w:p w14:paraId="104762C2" w14:textId="77777777" w:rsidR="007A02A6" w:rsidRDefault="0072767F" w:rsidP="001B7338">
      <w:pPr>
        <w:pStyle w:val="ListParagraph"/>
        <w:numPr>
          <w:ilvl w:val="0"/>
          <w:numId w:val="10"/>
        </w:numPr>
        <w:spacing w:before="100" w:beforeAutospacing="1" w:after="100" w:afterAutospacing="1" w:line="276" w:lineRule="auto"/>
        <w:jc w:val="both"/>
        <w:rPr>
          <w:rFonts w:ascii="Times New Roman" w:eastAsia="Times New Roman" w:hAnsi="Times New Roman" w:cs="Times New Roman"/>
          <w:bCs/>
          <w:sz w:val="24"/>
          <w:szCs w:val="24"/>
          <w:lang w:val="en-GB" w:eastAsia="en-GB"/>
        </w:rPr>
      </w:pPr>
      <w:r w:rsidRPr="001B7338">
        <w:rPr>
          <w:rFonts w:ascii="Times New Roman" w:eastAsia="Times New Roman" w:hAnsi="Times New Roman" w:cs="Times New Roman"/>
          <w:bCs/>
          <w:sz w:val="24"/>
          <w:szCs w:val="24"/>
          <w:lang w:val="en-GB" w:eastAsia="en-GB"/>
        </w:rPr>
        <w:t xml:space="preserve">Result: I became more confident, became less </w:t>
      </w:r>
      <w:r w:rsidR="00272888">
        <w:rPr>
          <w:rFonts w:ascii="Times New Roman" w:eastAsia="Times New Roman" w:hAnsi="Times New Roman" w:cs="Times New Roman"/>
          <w:bCs/>
          <w:sz w:val="24"/>
          <w:szCs w:val="24"/>
          <w:lang w:val="en-GB" w:eastAsia="en-GB"/>
        </w:rPr>
        <w:t xml:space="preserve">of </w:t>
      </w:r>
      <w:r w:rsidRPr="001B7338">
        <w:rPr>
          <w:rFonts w:ascii="Times New Roman" w:eastAsia="Times New Roman" w:hAnsi="Times New Roman" w:cs="Times New Roman"/>
          <w:bCs/>
          <w:sz w:val="24"/>
          <w:szCs w:val="24"/>
          <w:lang w:val="en-GB" w:eastAsia="en-GB"/>
        </w:rPr>
        <w:t>an observer and more a contributor and realized that small data-driven interventions can make a real difference.</w:t>
      </w:r>
    </w:p>
    <w:p w14:paraId="104762C3" w14:textId="77777777" w:rsidR="007A02A6" w:rsidRDefault="007A02A6">
      <w:pPr>
        <w:rPr>
          <w:rFonts w:ascii="Times New Roman" w:eastAsia="Times New Roman" w:hAnsi="Times New Roman" w:cs="Times New Roman"/>
          <w:bCs/>
          <w:sz w:val="24"/>
          <w:szCs w:val="24"/>
          <w:lang w:val="en-GB" w:eastAsia="en-GB"/>
        </w:rPr>
      </w:pPr>
      <w:r>
        <w:rPr>
          <w:rFonts w:ascii="Times New Roman" w:eastAsia="Times New Roman" w:hAnsi="Times New Roman" w:cs="Times New Roman"/>
          <w:bCs/>
          <w:sz w:val="24"/>
          <w:szCs w:val="24"/>
          <w:lang w:val="en-GB" w:eastAsia="en-GB"/>
        </w:rPr>
        <w:br w:type="page"/>
      </w:r>
    </w:p>
    <w:bookmarkStart w:id="7" w:name="_Toc213537731" w:displacedByCustomXml="next"/>
    <w:sdt>
      <w:sdtPr>
        <w:rPr>
          <w:b/>
          <w:bCs/>
        </w:rPr>
        <w:id w:val="-877937369"/>
        <w:docPartObj>
          <w:docPartGallery w:val="Bibliographies"/>
          <w:docPartUnique/>
        </w:docPartObj>
      </w:sdtPr>
      <w:sdtEndPr>
        <w:rPr>
          <w:b w:val="0"/>
          <w:bCs w:val="0"/>
        </w:rPr>
      </w:sdtEndPr>
      <w:sdtContent>
        <w:bookmarkEnd w:id="7" w:displacedByCustomXml="prev"/>
        <w:bookmarkStart w:id="8" w:name="_Toc212717267" w:displacedByCustomXml="prev"/>
        <w:p w14:paraId="104762C4" w14:textId="77777777" w:rsidR="001A6D77" w:rsidRPr="0062110B" w:rsidRDefault="001A6D77" w:rsidP="001A6D77">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Pr>
              <w:rFonts w:ascii="Times New Roman" w:eastAsia="Times New Roman" w:hAnsi="Times New Roman" w:cs="Times New Roman"/>
              <w:b/>
              <w:bCs/>
              <w:sz w:val="36"/>
              <w:szCs w:val="36"/>
              <w:lang w:val="en-GB" w:eastAsia="en-GB"/>
            </w:rPr>
            <w:t>References</w:t>
          </w:r>
          <w:bookmarkEnd w:id="8"/>
          <w:r>
            <w:rPr>
              <w:rFonts w:ascii="Times New Roman" w:eastAsia="Times New Roman" w:hAnsi="Times New Roman" w:cs="Times New Roman"/>
              <w:b/>
              <w:bCs/>
              <w:sz w:val="36"/>
              <w:szCs w:val="36"/>
              <w:lang w:val="en-GB" w:eastAsia="en-GB"/>
            </w:rPr>
            <w:t xml:space="preserve"> </w:t>
          </w:r>
        </w:p>
        <w:p w14:paraId="104762C5"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 xml:space="preserve">DEFRA (2011) Guidance on applying the waste hierarchy. Department for Environment, Food &amp; Rural Affairs. Available at: </w:t>
          </w:r>
          <w:hyperlink r:id="rId6" w:history="1">
            <w:r w:rsidRPr="0062110B">
              <w:rPr>
                <w:rFonts w:ascii="Times New Roman" w:eastAsia="Times New Roman" w:hAnsi="Times New Roman" w:cs="Times New Roman"/>
                <w:color w:val="0000FF"/>
                <w:sz w:val="24"/>
                <w:szCs w:val="24"/>
                <w:u w:val="single"/>
                <w:lang w:val="en-GB" w:eastAsia="en-GB"/>
              </w:rPr>
              <w:t>https://www.gov.uk/government/publications/guidance-on-applying-the-waste-hierarchy</w:t>
            </w:r>
          </w:hyperlink>
          <w:r>
            <w:rPr>
              <w:rFonts w:ascii="Times New Roman" w:eastAsia="Times New Roman" w:hAnsi="Times New Roman" w:cs="Times New Roman"/>
              <w:sz w:val="24"/>
              <w:szCs w:val="24"/>
              <w:lang w:val="en-GB" w:eastAsia="en-GB"/>
            </w:rPr>
            <w:t xml:space="preserve"> (Accessed: 27</w:t>
          </w:r>
          <w:r w:rsidRPr="0062110B">
            <w:rPr>
              <w:rFonts w:ascii="Times New Roman" w:eastAsia="Times New Roman" w:hAnsi="Times New Roman" w:cs="Times New Roman"/>
              <w:sz w:val="24"/>
              <w:szCs w:val="24"/>
              <w:lang w:val="en-GB" w:eastAsia="en-GB"/>
            </w:rPr>
            <w:t xml:space="preserve"> October 2025). (</w:t>
          </w:r>
          <w:hyperlink r:id="rId7" w:tooltip="Guidance on applying the waste hierarchy" w:history="1">
            <w:r w:rsidRPr="0062110B">
              <w:rPr>
                <w:rFonts w:ascii="Times New Roman" w:eastAsia="Times New Roman" w:hAnsi="Times New Roman" w:cs="Times New Roman"/>
                <w:color w:val="0000FF"/>
                <w:sz w:val="24"/>
                <w:szCs w:val="24"/>
                <w:u w:val="single"/>
                <w:lang w:val="en-GB" w:eastAsia="en-GB"/>
              </w:rPr>
              <w:t>GOV.UK</w:t>
            </w:r>
          </w:hyperlink>
          <w:r w:rsidRPr="0062110B">
            <w:rPr>
              <w:rFonts w:ascii="Times New Roman" w:eastAsia="Times New Roman" w:hAnsi="Times New Roman" w:cs="Times New Roman"/>
              <w:sz w:val="24"/>
              <w:szCs w:val="24"/>
              <w:lang w:val="en-GB" w:eastAsia="en-GB"/>
            </w:rPr>
            <w:t>)</w:t>
          </w:r>
        </w:p>
        <w:p w14:paraId="104762C6"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Elkington, J. (1997) Cannibals with Forks: The Triple Bottom Line of 21st Century Business. Oxford: Capstone.</w:t>
          </w:r>
        </w:p>
        <w:p w14:paraId="104762C7"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 xml:space="preserve">GOV.UK (2024) Food and drink waste hierarchy: deal with surplus and waste. Available at: </w:t>
          </w:r>
          <w:hyperlink r:id="rId8" w:history="1">
            <w:r w:rsidRPr="0062110B">
              <w:rPr>
                <w:rFonts w:ascii="Times New Roman" w:eastAsia="Times New Roman" w:hAnsi="Times New Roman" w:cs="Times New Roman"/>
                <w:color w:val="0000FF"/>
                <w:sz w:val="24"/>
                <w:szCs w:val="24"/>
                <w:u w:val="single"/>
                <w:lang w:val="en-GB" w:eastAsia="en-GB"/>
              </w:rPr>
              <w:t>https://www.gov.uk/government/publications/food-and-drink-waste-hierarchy-deal-with-surplus-and-waste/food-and-drink-waste-hierarchy-deal-with-surplus-and-waste</w:t>
            </w:r>
          </w:hyperlink>
          <w:r w:rsidRPr="0062110B">
            <w:rPr>
              <w:rFonts w:ascii="Times New Roman" w:eastAsia="Times New Roman" w:hAnsi="Times New Roman" w:cs="Times New Roman"/>
              <w:sz w:val="24"/>
              <w:szCs w:val="24"/>
              <w:lang w:val="en-GB" w:eastAsia="en-GB"/>
            </w:rPr>
            <w:t xml:space="preserve"> (Accessed: 30 October 2025). (</w:t>
          </w:r>
          <w:hyperlink r:id="rId9" w:tooltip="Food and drink waste hierarchy: deal with surplus and waste" w:history="1">
            <w:r w:rsidRPr="0062110B">
              <w:rPr>
                <w:rFonts w:ascii="Times New Roman" w:eastAsia="Times New Roman" w:hAnsi="Times New Roman" w:cs="Times New Roman"/>
                <w:color w:val="0000FF"/>
                <w:sz w:val="24"/>
                <w:szCs w:val="24"/>
                <w:u w:val="single"/>
                <w:lang w:val="en-GB" w:eastAsia="en-GB"/>
              </w:rPr>
              <w:t>GOV.UK</w:t>
            </w:r>
          </w:hyperlink>
          <w:r w:rsidRPr="0062110B">
            <w:rPr>
              <w:rFonts w:ascii="Times New Roman" w:eastAsia="Times New Roman" w:hAnsi="Times New Roman" w:cs="Times New Roman"/>
              <w:sz w:val="24"/>
              <w:szCs w:val="24"/>
              <w:lang w:val="en-GB" w:eastAsia="en-GB"/>
            </w:rPr>
            <w:t>)</w:t>
          </w:r>
        </w:p>
        <w:p w14:paraId="104762C8"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 xml:space="preserve">IHG Hotels &amp; Resorts (2024) IHG Green Engage system. Available at: </w:t>
          </w:r>
          <w:hyperlink r:id="rId10" w:history="1">
            <w:r w:rsidRPr="0062110B">
              <w:rPr>
                <w:rFonts w:ascii="Times New Roman" w:eastAsia="Times New Roman" w:hAnsi="Times New Roman" w:cs="Times New Roman"/>
                <w:color w:val="0000FF"/>
                <w:sz w:val="24"/>
                <w:szCs w:val="24"/>
                <w:u w:val="single"/>
                <w:lang w:val="en-GB" w:eastAsia="en-GB"/>
              </w:rPr>
              <w:t>https://www.ihg.com/content/gb/en/support/green-engage</w:t>
            </w:r>
          </w:hyperlink>
          <w:r>
            <w:rPr>
              <w:rFonts w:ascii="Times New Roman" w:eastAsia="Times New Roman" w:hAnsi="Times New Roman" w:cs="Times New Roman"/>
              <w:sz w:val="24"/>
              <w:szCs w:val="24"/>
              <w:lang w:val="en-GB" w:eastAsia="en-GB"/>
            </w:rPr>
            <w:t xml:space="preserve"> (Accessed: 27</w:t>
          </w:r>
          <w:r w:rsidRPr="0062110B">
            <w:rPr>
              <w:rFonts w:ascii="Times New Roman" w:eastAsia="Times New Roman" w:hAnsi="Times New Roman" w:cs="Times New Roman"/>
              <w:sz w:val="24"/>
              <w:szCs w:val="24"/>
              <w:lang w:val="en-GB" w:eastAsia="en-GB"/>
            </w:rPr>
            <w:t xml:space="preserve"> October 2025). (</w:t>
          </w:r>
          <w:hyperlink r:id="rId11" w:tooltip="IHG Green Engage™ system" w:history="1">
            <w:r w:rsidRPr="0062110B">
              <w:rPr>
                <w:rFonts w:ascii="Times New Roman" w:eastAsia="Times New Roman" w:hAnsi="Times New Roman" w:cs="Times New Roman"/>
                <w:color w:val="0000FF"/>
                <w:sz w:val="24"/>
                <w:szCs w:val="24"/>
                <w:u w:val="single"/>
                <w:lang w:val="en-GB" w:eastAsia="en-GB"/>
              </w:rPr>
              <w:t>IHG</w:t>
            </w:r>
          </w:hyperlink>
          <w:r w:rsidRPr="0062110B">
            <w:rPr>
              <w:rFonts w:ascii="Times New Roman" w:eastAsia="Times New Roman" w:hAnsi="Times New Roman" w:cs="Times New Roman"/>
              <w:sz w:val="24"/>
              <w:szCs w:val="24"/>
              <w:lang w:val="en-GB" w:eastAsia="en-GB"/>
            </w:rPr>
            <w:t>)</w:t>
          </w:r>
        </w:p>
        <w:p w14:paraId="104762C9"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Johnston, R., Clark, G. and Shulver, M. (2012) Service Operations Management: Improving Service Delivery. 5th edn. London: Pearson.</w:t>
          </w:r>
        </w:p>
        <w:p w14:paraId="104762CA"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 xml:space="preserve">Nielsen Norman Group (2017) Service blueprints: definition. Available at: </w:t>
          </w:r>
          <w:hyperlink r:id="rId12" w:history="1">
            <w:r w:rsidRPr="0062110B">
              <w:rPr>
                <w:rFonts w:ascii="Times New Roman" w:eastAsia="Times New Roman" w:hAnsi="Times New Roman" w:cs="Times New Roman"/>
                <w:color w:val="0000FF"/>
                <w:sz w:val="24"/>
                <w:szCs w:val="24"/>
                <w:u w:val="single"/>
                <w:lang w:val="en-GB" w:eastAsia="en-GB"/>
              </w:rPr>
              <w:t>https://www.nngroup.com/articles/service-blueprints-definition/</w:t>
            </w:r>
          </w:hyperlink>
          <w:r>
            <w:rPr>
              <w:rFonts w:ascii="Times New Roman" w:eastAsia="Times New Roman" w:hAnsi="Times New Roman" w:cs="Times New Roman"/>
              <w:sz w:val="24"/>
              <w:szCs w:val="24"/>
              <w:lang w:val="en-GB" w:eastAsia="en-GB"/>
            </w:rPr>
            <w:t xml:space="preserve"> (Accessed: 15</w:t>
          </w:r>
          <w:r w:rsidRPr="0062110B">
            <w:rPr>
              <w:rFonts w:ascii="Times New Roman" w:eastAsia="Times New Roman" w:hAnsi="Times New Roman" w:cs="Times New Roman"/>
              <w:sz w:val="24"/>
              <w:szCs w:val="24"/>
              <w:lang w:val="en-GB" w:eastAsia="en-GB"/>
            </w:rPr>
            <w:t xml:space="preserve"> October 2025). (</w:t>
          </w:r>
          <w:hyperlink r:id="rId13" w:tooltip="Service Blueprints: Definition" w:history="1">
            <w:r w:rsidRPr="0062110B">
              <w:rPr>
                <w:rFonts w:ascii="Times New Roman" w:eastAsia="Times New Roman" w:hAnsi="Times New Roman" w:cs="Times New Roman"/>
                <w:color w:val="0000FF"/>
                <w:sz w:val="24"/>
                <w:szCs w:val="24"/>
                <w:u w:val="single"/>
                <w:lang w:val="en-GB" w:eastAsia="en-GB"/>
              </w:rPr>
              <w:t>Nielsen Norman Group</w:t>
            </w:r>
          </w:hyperlink>
          <w:r w:rsidRPr="0062110B">
            <w:rPr>
              <w:rFonts w:ascii="Times New Roman" w:eastAsia="Times New Roman" w:hAnsi="Times New Roman" w:cs="Times New Roman"/>
              <w:sz w:val="24"/>
              <w:szCs w:val="24"/>
              <w:lang w:val="en-GB" w:eastAsia="en-GB"/>
            </w:rPr>
            <w:t>)</w:t>
          </w:r>
        </w:p>
        <w:p w14:paraId="104762CB"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 xml:space="preserve">WRAP (2024) UK Food and Drink Pact: Food Waste Reduction Roadmap. Available at: </w:t>
          </w:r>
          <w:hyperlink r:id="rId14" w:history="1">
            <w:r w:rsidRPr="0062110B">
              <w:rPr>
                <w:rFonts w:ascii="Times New Roman" w:eastAsia="Times New Roman" w:hAnsi="Times New Roman" w:cs="Times New Roman"/>
                <w:color w:val="0000FF"/>
                <w:sz w:val="24"/>
                <w:szCs w:val="24"/>
                <w:u w:val="single"/>
                <w:lang w:val="en-GB" w:eastAsia="en-GB"/>
              </w:rPr>
              <w:t>https://www.wrap.ngo/take-action/uk-food-drink-pact/food-waste-reduction-roadmap</w:t>
            </w:r>
          </w:hyperlink>
          <w:r>
            <w:rPr>
              <w:rFonts w:ascii="Times New Roman" w:eastAsia="Times New Roman" w:hAnsi="Times New Roman" w:cs="Times New Roman"/>
              <w:sz w:val="24"/>
              <w:szCs w:val="24"/>
              <w:lang w:val="en-GB" w:eastAsia="en-GB"/>
            </w:rPr>
            <w:t xml:space="preserve"> (Accessed: 20</w:t>
          </w:r>
          <w:r w:rsidRPr="0062110B">
            <w:rPr>
              <w:rFonts w:ascii="Times New Roman" w:eastAsia="Times New Roman" w:hAnsi="Times New Roman" w:cs="Times New Roman"/>
              <w:sz w:val="24"/>
              <w:szCs w:val="24"/>
              <w:lang w:val="en-GB" w:eastAsia="en-GB"/>
            </w:rPr>
            <w:t xml:space="preserve"> October 2025). (</w:t>
          </w:r>
          <w:hyperlink r:id="rId15" w:tooltip="UK Food and Drink Pact: Food Waste Reduction Roadmap" w:history="1">
            <w:r w:rsidRPr="0062110B">
              <w:rPr>
                <w:rFonts w:ascii="Times New Roman" w:eastAsia="Times New Roman" w:hAnsi="Times New Roman" w:cs="Times New Roman"/>
                <w:color w:val="0000FF"/>
                <w:sz w:val="24"/>
                <w:szCs w:val="24"/>
                <w:u w:val="single"/>
                <w:lang w:val="en-GB" w:eastAsia="en-GB"/>
              </w:rPr>
              <w:t>wrap.ngo</w:t>
            </w:r>
          </w:hyperlink>
          <w:r w:rsidRPr="0062110B">
            <w:rPr>
              <w:rFonts w:ascii="Times New Roman" w:eastAsia="Times New Roman" w:hAnsi="Times New Roman" w:cs="Times New Roman"/>
              <w:sz w:val="24"/>
              <w:szCs w:val="24"/>
              <w:lang w:val="en-GB" w:eastAsia="en-GB"/>
            </w:rPr>
            <w:t>)</w:t>
          </w:r>
        </w:p>
        <w:p w14:paraId="104762CC" w14:textId="77777777" w:rsidR="001A6D77" w:rsidRPr="0062110B" w:rsidRDefault="001A6D77" w:rsidP="001A6D77">
          <w:pPr>
            <w:spacing w:before="100" w:beforeAutospacing="1" w:after="100" w:afterAutospacing="1" w:line="240" w:lineRule="auto"/>
            <w:rPr>
              <w:rFonts w:ascii="Times New Roman" w:eastAsia="Times New Roman" w:hAnsi="Times New Roman" w:cs="Times New Roman"/>
              <w:sz w:val="24"/>
              <w:szCs w:val="24"/>
              <w:lang w:val="en-GB" w:eastAsia="en-GB"/>
            </w:rPr>
          </w:pPr>
          <w:r w:rsidRPr="0062110B">
            <w:rPr>
              <w:rFonts w:ascii="Times New Roman" w:eastAsia="Times New Roman" w:hAnsi="Times New Roman" w:cs="Times New Roman"/>
              <w:sz w:val="24"/>
              <w:szCs w:val="24"/>
              <w:lang w:val="en-GB" w:eastAsia="en-GB"/>
            </w:rPr>
            <w:t xml:space="preserve">Ellen MacArthur Foundation (2024) Circular economy principles. Available at: </w:t>
          </w:r>
          <w:hyperlink r:id="rId16" w:history="1">
            <w:r w:rsidRPr="0062110B">
              <w:rPr>
                <w:rFonts w:ascii="Times New Roman" w:eastAsia="Times New Roman" w:hAnsi="Times New Roman" w:cs="Times New Roman"/>
                <w:color w:val="0000FF"/>
                <w:sz w:val="24"/>
                <w:szCs w:val="24"/>
                <w:u w:val="single"/>
                <w:lang w:val="en-GB" w:eastAsia="en-GB"/>
              </w:rPr>
              <w:t>https://www.ellenmacarthurfoundation.org/circular-economy-principles</w:t>
            </w:r>
          </w:hyperlink>
          <w:r>
            <w:rPr>
              <w:rFonts w:ascii="Times New Roman" w:eastAsia="Times New Roman" w:hAnsi="Times New Roman" w:cs="Times New Roman"/>
              <w:sz w:val="24"/>
              <w:szCs w:val="24"/>
              <w:lang w:val="en-GB" w:eastAsia="en-GB"/>
            </w:rPr>
            <w:t xml:space="preserve"> (Accessed: </w:t>
          </w:r>
          <w:r w:rsidRPr="0062110B">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15</w:t>
          </w:r>
          <w:r w:rsidRPr="0062110B">
            <w:rPr>
              <w:rFonts w:ascii="Times New Roman" w:eastAsia="Times New Roman" w:hAnsi="Times New Roman" w:cs="Times New Roman"/>
              <w:sz w:val="24"/>
              <w:szCs w:val="24"/>
              <w:lang w:val="en-GB" w:eastAsia="en-GB"/>
            </w:rPr>
            <w:t>October 2025). (</w:t>
          </w:r>
          <w:hyperlink r:id="rId17" w:tooltip="Circular Economy Principles" w:history="1">
            <w:r w:rsidRPr="0062110B">
              <w:rPr>
                <w:rFonts w:ascii="Times New Roman" w:eastAsia="Times New Roman" w:hAnsi="Times New Roman" w:cs="Times New Roman"/>
                <w:color w:val="0000FF"/>
                <w:sz w:val="24"/>
                <w:szCs w:val="24"/>
                <w:u w:val="single"/>
                <w:lang w:val="en-GB" w:eastAsia="en-GB"/>
              </w:rPr>
              <w:t>Ellen MacArthur Foundation</w:t>
            </w:r>
          </w:hyperlink>
          <w:r w:rsidRPr="0062110B">
            <w:rPr>
              <w:rFonts w:ascii="Times New Roman" w:eastAsia="Times New Roman" w:hAnsi="Times New Roman" w:cs="Times New Roman"/>
              <w:sz w:val="24"/>
              <w:szCs w:val="24"/>
              <w:lang w:val="en-GB" w:eastAsia="en-GB"/>
            </w:rPr>
            <w:t>)</w:t>
          </w:r>
        </w:p>
        <w:p w14:paraId="104762CD" w14:textId="77777777" w:rsidR="001A6D77" w:rsidRDefault="001A6D77" w:rsidP="001A6D77">
          <w:pPr>
            <w:spacing w:after="0" w:line="240" w:lineRule="auto"/>
            <w:rPr>
              <w:rFonts w:ascii="Times New Roman" w:eastAsia="Times New Roman" w:hAnsi="Times New Roman" w:cs="Times New Roman"/>
              <w:sz w:val="24"/>
              <w:szCs w:val="24"/>
              <w:lang w:val="en-GB" w:eastAsia="en-GB"/>
            </w:rPr>
          </w:pPr>
        </w:p>
        <w:p w14:paraId="104762CE" w14:textId="77777777" w:rsidR="001A6D77" w:rsidRPr="0062110B" w:rsidRDefault="001A6D77" w:rsidP="001A6D77">
          <w:pPr>
            <w:spacing w:after="0" w:line="240" w:lineRule="auto"/>
            <w:rPr>
              <w:rFonts w:ascii="Times New Roman" w:eastAsia="Times New Roman" w:hAnsi="Times New Roman" w:cs="Times New Roman"/>
              <w:sz w:val="24"/>
              <w:szCs w:val="24"/>
              <w:lang w:val="en-GB" w:eastAsia="en-GB"/>
            </w:rPr>
          </w:pPr>
        </w:p>
        <w:p w14:paraId="104762CF" w14:textId="77777777" w:rsidR="001A6D77" w:rsidRDefault="001A6D77" w:rsidP="001A6D77">
          <w:pPr>
            <w:pStyle w:val="Heading1"/>
          </w:pPr>
        </w:p>
        <w:p w14:paraId="104762D0" w14:textId="77777777" w:rsidR="007A02A6" w:rsidRDefault="00000000" w:rsidP="007A02A6"/>
      </w:sdtContent>
    </w:sdt>
    <w:p w14:paraId="104762D1" w14:textId="77777777" w:rsidR="0062110B" w:rsidRPr="007A02A6" w:rsidRDefault="0062110B" w:rsidP="007A02A6">
      <w:pPr>
        <w:spacing w:before="100" w:beforeAutospacing="1" w:after="100" w:afterAutospacing="1" w:line="276" w:lineRule="auto"/>
        <w:jc w:val="both"/>
        <w:rPr>
          <w:rFonts w:ascii="Times New Roman" w:eastAsia="Times New Roman" w:hAnsi="Times New Roman" w:cs="Times New Roman"/>
          <w:sz w:val="24"/>
          <w:szCs w:val="24"/>
          <w:lang w:val="en-GB" w:eastAsia="en-GB"/>
        </w:rPr>
      </w:pPr>
    </w:p>
    <w:sectPr w:rsidR="0062110B" w:rsidRPr="007A02A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92DAD"/>
    <w:multiLevelType w:val="hybridMultilevel"/>
    <w:tmpl w:val="23249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C0593"/>
    <w:multiLevelType w:val="multilevel"/>
    <w:tmpl w:val="32FA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EB53E6"/>
    <w:multiLevelType w:val="hybridMultilevel"/>
    <w:tmpl w:val="F446A126"/>
    <w:lvl w:ilvl="0" w:tplc="29307BE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3F0C84"/>
    <w:multiLevelType w:val="hybridMultilevel"/>
    <w:tmpl w:val="BC2C7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7063C1"/>
    <w:multiLevelType w:val="multilevel"/>
    <w:tmpl w:val="771C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326A6D"/>
    <w:multiLevelType w:val="multilevel"/>
    <w:tmpl w:val="434C0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DA5494"/>
    <w:multiLevelType w:val="hybridMultilevel"/>
    <w:tmpl w:val="16D06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2736AE"/>
    <w:multiLevelType w:val="hybridMultilevel"/>
    <w:tmpl w:val="EDD83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BC2D6E"/>
    <w:multiLevelType w:val="multilevel"/>
    <w:tmpl w:val="03F2C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EE5671"/>
    <w:multiLevelType w:val="hybridMultilevel"/>
    <w:tmpl w:val="EB2A4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901335">
    <w:abstractNumId w:val="8"/>
  </w:num>
  <w:num w:numId="2" w16cid:durableId="1461266138">
    <w:abstractNumId w:val="4"/>
  </w:num>
  <w:num w:numId="3" w16cid:durableId="770660154">
    <w:abstractNumId w:val="1"/>
  </w:num>
  <w:num w:numId="4" w16cid:durableId="917324707">
    <w:abstractNumId w:val="5"/>
  </w:num>
  <w:num w:numId="5" w16cid:durableId="1070158695">
    <w:abstractNumId w:val="3"/>
  </w:num>
  <w:num w:numId="6" w16cid:durableId="1961102587">
    <w:abstractNumId w:val="2"/>
  </w:num>
  <w:num w:numId="7" w16cid:durableId="1721779292">
    <w:abstractNumId w:val="0"/>
  </w:num>
  <w:num w:numId="8" w16cid:durableId="1276861193">
    <w:abstractNumId w:val="9"/>
  </w:num>
  <w:num w:numId="9" w16cid:durableId="332954550">
    <w:abstractNumId w:val="6"/>
  </w:num>
  <w:num w:numId="10" w16cid:durableId="19432180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058"/>
    <w:rsid w:val="000C6B2E"/>
    <w:rsid w:val="000D120F"/>
    <w:rsid w:val="001A6D77"/>
    <w:rsid w:val="001B7338"/>
    <w:rsid w:val="001C1620"/>
    <w:rsid w:val="002018B5"/>
    <w:rsid w:val="00272888"/>
    <w:rsid w:val="002A63F3"/>
    <w:rsid w:val="00330446"/>
    <w:rsid w:val="004B5915"/>
    <w:rsid w:val="00614E3F"/>
    <w:rsid w:val="0062110B"/>
    <w:rsid w:val="0072767F"/>
    <w:rsid w:val="007A02A6"/>
    <w:rsid w:val="007A696F"/>
    <w:rsid w:val="008C6F88"/>
    <w:rsid w:val="009155A5"/>
    <w:rsid w:val="009538B7"/>
    <w:rsid w:val="009E1BB1"/>
    <w:rsid w:val="00A3461D"/>
    <w:rsid w:val="00AB71BF"/>
    <w:rsid w:val="00AC478B"/>
    <w:rsid w:val="00AE2AE8"/>
    <w:rsid w:val="00C04058"/>
    <w:rsid w:val="00C96658"/>
    <w:rsid w:val="00CB1F5D"/>
    <w:rsid w:val="00D55BEA"/>
    <w:rsid w:val="00D7038F"/>
    <w:rsid w:val="00EC169B"/>
    <w:rsid w:val="00ED3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7628A"/>
  <w15:chartTrackingRefBased/>
  <w15:docId w15:val="{31444372-634E-4471-BF59-436796F6B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1B7338"/>
    <w:pPr>
      <w:spacing w:before="100" w:beforeAutospacing="1" w:after="100" w:afterAutospacing="1" w:line="240" w:lineRule="auto"/>
      <w:outlineLvl w:val="0"/>
    </w:pPr>
    <w:rPr>
      <w:rFonts w:ascii="Times New Roman" w:eastAsia="Times New Roman" w:hAnsi="Times New Roman" w:cs="Times New Roman"/>
      <w:b/>
      <w:bCs/>
      <w:kern w:val="36"/>
      <w:sz w:val="24"/>
      <w:szCs w:val="48"/>
      <w:lang w:val="en-GB" w:eastAsia="en-GB"/>
    </w:rPr>
  </w:style>
  <w:style w:type="paragraph" w:styleId="Heading2">
    <w:name w:val="heading 2"/>
    <w:basedOn w:val="Normal"/>
    <w:link w:val="Heading2Char"/>
    <w:autoRedefine/>
    <w:uiPriority w:val="9"/>
    <w:qFormat/>
    <w:rsid w:val="001B7338"/>
    <w:pPr>
      <w:spacing w:before="100" w:beforeAutospacing="1" w:after="100" w:afterAutospacing="1" w:line="240" w:lineRule="auto"/>
      <w:outlineLvl w:val="1"/>
    </w:pPr>
    <w:rPr>
      <w:rFonts w:ascii="Times New Roman" w:eastAsia="Times New Roman" w:hAnsi="Times New Roman" w:cs="Times New Roman"/>
      <w:b/>
      <w:bCs/>
      <w:sz w:val="24"/>
      <w:szCs w:val="36"/>
      <w:lang w:val="en-GB" w:eastAsia="en-GB"/>
    </w:rPr>
  </w:style>
  <w:style w:type="paragraph" w:styleId="Heading3">
    <w:name w:val="heading 3"/>
    <w:basedOn w:val="Normal"/>
    <w:link w:val="Heading3Char"/>
    <w:uiPriority w:val="9"/>
    <w:qFormat/>
    <w:rsid w:val="0062110B"/>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338"/>
    <w:rPr>
      <w:rFonts w:ascii="Times New Roman" w:eastAsia="Times New Roman" w:hAnsi="Times New Roman" w:cs="Times New Roman"/>
      <w:b/>
      <w:bCs/>
      <w:kern w:val="36"/>
      <w:sz w:val="24"/>
      <w:szCs w:val="48"/>
      <w:lang w:val="en-GB" w:eastAsia="en-GB"/>
    </w:rPr>
  </w:style>
  <w:style w:type="character" w:customStyle="1" w:styleId="Heading2Char">
    <w:name w:val="Heading 2 Char"/>
    <w:basedOn w:val="DefaultParagraphFont"/>
    <w:link w:val="Heading2"/>
    <w:uiPriority w:val="9"/>
    <w:rsid w:val="001B7338"/>
    <w:rPr>
      <w:rFonts w:ascii="Times New Roman" w:eastAsia="Times New Roman" w:hAnsi="Times New Roman" w:cs="Times New Roman"/>
      <w:b/>
      <w:bCs/>
      <w:sz w:val="24"/>
      <w:szCs w:val="36"/>
      <w:lang w:val="en-GB" w:eastAsia="en-GB"/>
    </w:rPr>
  </w:style>
  <w:style w:type="character" w:customStyle="1" w:styleId="Heading3Char">
    <w:name w:val="Heading 3 Char"/>
    <w:basedOn w:val="DefaultParagraphFont"/>
    <w:link w:val="Heading3"/>
    <w:uiPriority w:val="9"/>
    <w:rsid w:val="0062110B"/>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62110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62110B"/>
    <w:rPr>
      <w:b/>
      <w:bCs/>
    </w:rPr>
  </w:style>
  <w:style w:type="character" w:styleId="Hyperlink">
    <w:name w:val="Hyperlink"/>
    <w:basedOn w:val="DefaultParagraphFont"/>
    <w:uiPriority w:val="99"/>
    <w:unhideWhenUsed/>
    <w:rsid w:val="0062110B"/>
    <w:rPr>
      <w:color w:val="0000FF"/>
      <w:u w:val="single"/>
    </w:rPr>
  </w:style>
  <w:style w:type="paragraph" w:styleId="TOCHeading">
    <w:name w:val="TOC Heading"/>
    <w:basedOn w:val="Heading1"/>
    <w:next w:val="Normal"/>
    <w:uiPriority w:val="39"/>
    <w:unhideWhenUsed/>
    <w:qFormat/>
    <w:rsid w:val="008C6F8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8C6F88"/>
    <w:pPr>
      <w:spacing w:after="100"/>
    </w:pPr>
  </w:style>
  <w:style w:type="paragraph" w:styleId="TOC2">
    <w:name w:val="toc 2"/>
    <w:basedOn w:val="Normal"/>
    <w:next w:val="Normal"/>
    <w:autoRedefine/>
    <w:uiPriority w:val="39"/>
    <w:unhideWhenUsed/>
    <w:rsid w:val="008C6F88"/>
    <w:pPr>
      <w:spacing w:after="100"/>
      <w:ind w:left="220"/>
    </w:pPr>
  </w:style>
  <w:style w:type="paragraph" w:styleId="TOC3">
    <w:name w:val="toc 3"/>
    <w:basedOn w:val="Normal"/>
    <w:next w:val="Normal"/>
    <w:autoRedefine/>
    <w:uiPriority w:val="39"/>
    <w:unhideWhenUsed/>
    <w:rsid w:val="008C6F88"/>
    <w:pPr>
      <w:spacing w:after="100"/>
      <w:ind w:left="440"/>
    </w:pPr>
  </w:style>
  <w:style w:type="paragraph" w:styleId="ListParagraph">
    <w:name w:val="List Paragraph"/>
    <w:basedOn w:val="Normal"/>
    <w:uiPriority w:val="34"/>
    <w:qFormat/>
    <w:rsid w:val="0072767F"/>
    <w:pPr>
      <w:ind w:left="720"/>
      <w:contextualSpacing/>
    </w:pPr>
  </w:style>
  <w:style w:type="paragraph" w:styleId="Bibliography">
    <w:name w:val="Bibliography"/>
    <w:basedOn w:val="Normal"/>
    <w:next w:val="Normal"/>
    <w:uiPriority w:val="37"/>
    <w:unhideWhenUsed/>
    <w:rsid w:val="007A0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64481">
      <w:bodyDiv w:val="1"/>
      <w:marLeft w:val="0"/>
      <w:marRight w:val="0"/>
      <w:marTop w:val="0"/>
      <w:marBottom w:val="0"/>
      <w:divBdr>
        <w:top w:val="none" w:sz="0" w:space="0" w:color="auto"/>
        <w:left w:val="none" w:sz="0" w:space="0" w:color="auto"/>
        <w:bottom w:val="none" w:sz="0" w:space="0" w:color="auto"/>
        <w:right w:val="none" w:sz="0" w:space="0" w:color="auto"/>
      </w:divBdr>
    </w:div>
    <w:div w:id="118572225">
      <w:bodyDiv w:val="1"/>
      <w:marLeft w:val="0"/>
      <w:marRight w:val="0"/>
      <w:marTop w:val="0"/>
      <w:marBottom w:val="0"/>
      <w:divBdr>
        <w:top w:val="none" w:sz="0" w:space="0" w:color="auto"/>
        <w:left w:val="none" w:sz="0" w:space="0" w:color="auto"/>
        <w:bottom w:val="none" w:sz="0" w:space="0" w:color="auto"/>
        <w:right w:val="none" w:sz="0" w:space="0" w:color="auto"/>
      </w:divBdr>
    </w:div>
    <w:div w:id="149640897">
      <w:bodyDiv w:val="1"/>
      <w:marLeft w:val="0"/>
      <w:marRight w:val="0"/>
      <w:marTop w:val="0"/>
      <w:marBottom w:val="0"/>
      <w:divBdr>
        <w:top w:val="none" w:sz="0" w:space="0" w:color="auto"/>
        <w:left w:val="none" w:sz="0" w:space="0" w:color="auto"/>
        <w:bottom w:val="none" w:sz="0" w:space="0" w:color="auto"/>
        <w:right w:val="none" w:sz="0" w:space="0" w:color="auto"/>
      </w:divBdr>
    </w:div>
    <w:div w:id="292516714">
      <w:bodyDiv w:val="1"/>
      <w:marLeft w:val="0"/>
      <w:marRight w:val="0"/>
      <w:marTop w:val="0"/>
      <w:marBottom w:val="0"/>
      <w:divBdr>
        <w:top w:val="none" w:sz="0" w:space="0" w:color="auto"/>
        <w:left w:val="none" w:sz="0" w:space="0" w:color="auto"/>
        <w:bottom w:val="none" w:sz="0" w:space="0" w:color="auto"/>
        <w:right w:val="none" w:sz="0" w:space="0" w:color="auto"/>
      </w:divBdr>
    </w:div>
    <w:div w:id="338240075">
      <w:bodyDiv w:val="1"/>
      <w:marLeft w:val="0"/>
      <w:marRight w:val="0"/>
      <w:marTop w:val="0"/>
      <w:marBottom w:val="0"/>
      <w:divBdr>
        <w:top w:val="none" w:sz="0" w:space="0" w:color="auto"/>
        <w:left w:val="none" w:sz="0" w:space="0" w:color="auto"/>
        <w:bottom w:val="none" w:sz="0" w:space="0" w:color="auto"/>
        <w:right w:val="none" w:sz="0" w:space="0" w:color="auto"/>
      </w:divBdr>
    </w:div>
    <w:div w:id="642777300">
      <w:bodyDiv w:val="1"/>
      <w:marLeft w:val="0"/>
      <w:marRight w:val="0"/>
      <w:marTop w:val="0"/>
      <w:marBottom w:val="0"/>
      <w:divBdr>
        <w:top w:val="none" w:sz="0" w:space="0" w:color="auto"/>
        <w:left w:val="none" w:sz="0" w:space="0" w:color="auto"/>
        <w:bottom w:val="none" w:sz="0" w:space="0" w:color="auto"/>
        <w:right w:val="none" w:sz="0" w:space="0" w:color="auto"/>
      </w:divBdr>
    </w:div>
    <w:div w:id="989402928">
      <w:bodyDiv w:val="1"/>
      <w:marLeft w:val="0"/>
      <w:marRight w:val="0"/>
      <w:marTop w:val="0"/>
      <w:marBottom w:val="0"/>
      <w:divBdr>
        <w:top w:val="none" w:sz="0" w:space="0" w:color="auto"/>
        <w:left w:val="none" w:sz="0" w:space="0" w:color="auto"/>
        <w:bottom w:val="none" w:sz="0" w:space="0" w:color="auto"/>
        <w:right w:val="none" w:sz="0" w:space="0" w:color="auto"/>
      </w:divBdr>
    </w:div>
    <w:div w:id="1132478107">
      <w:bodyDiv w:val="1"/>
      <w:marLeft w:val="0"/>
      <w:marRight w:val="0"/>
      <w:marTop w:val="0"/>
      <w:marBottom w:val="0"/>
      <w:divBdr>
        <w:top w:val="none" w:sz="0" w:space="0" w:color="auto"/>
        <w:left w:val="none" w:sz="0" w:space="0" w:color="auto"/>
        <w:bottom w:val="none" w:sz="0" w:space="0" w:color="auto"/>
        <w:right w:val="none" w:sz="0" w:space="0" w:color="auto"/>
      </w:divBdr>
    </w:div>
    <w:div w:id="1322660820">
      <w:bodyDiv w:val="1"/>
      <w:marLeft w:val="0"/>
      <w:marRight w:val="0"/>
      <w:marTop w:val="0"/>
      <w:marBottom w:val="0"/>
      <w:divBdr>
        <w:top w:val="none" w:sz="0" w:space="0" w:color="auto"/>
        <w:left w:val="none" w:sz="0" w:space="0" w:color="auto"/>
        <w:bottom w:val="none" w:sz="0" w:space="0" w:color="auto"/>
        <w:right w:val="none" w:sz="0" w:space="0" w:color="auto"/>
      </w:divBdr>
    </w:div>
    <w:div w:id="1341277543">
      <w:bodyDiv w:val="1"/>
      <w:marLeft w:val="0"/>
      <w:marRight w:val="0"/>
      <w:marTop w:val="0"/>
      <w:marBottom w:val="0"/>
      <w:divBdr>
        <w:top w:val="none" w:sz="0" w:space="0" w:color="auto"/>
        <w:left w:val="none" w:sz="0" w:space="0" w:color="auto"/>
        <w:bottom w:val="none" w:sz="0" w:space="0" w:color="auto"/>
        <w:right w:val="none" w:sz="0" w:space="0" w:color="auto"/>
      </w:divBdr>
    </w:div>
    <w:div w:id="1509716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ood-and-drink-waste-hierarchy-deal-with-surplus-and-waste/food-and-drink-waste-hierarchy-deal-with-surplus-and-waste" TargetMode="External"/><Relationship Id="rId13" Type="http://schemas.openxmlformats.org/officeDocument/2006/relationships/hyperlink" Target="https://www.nngroup.com/articles/service-blueprints-definition/?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v.uk/government/publications/guidance-on-applying-the-waste-hierarchy?utm_source=chatgpt.com" TargetMode="External"/><Relationship Id="rId12" Type="http://schemas.openxmlformats.org/officeDocument/2006/relationships/hyperlink" Target="https://www.nngroup.com/articles/service-blueprints-definition/" TargetMode="External"/><Relationship Id="rId17" Type="http://schemas.openxmlformats.org/officeDocument/2006/relationships/hyperlink" Target="https://www.ellenmacarthurfoundation.org/circular-economy-principles?utm_source=chatgpt.com" TargetMode="External"/><Relationship Id="rId2" Type="http://schemas.openxmlformats.org/officeDocument/2006/relationships/numbering" Target="numbering.xml"/><Relationship Id="rId16" Type="http://schemas.openxmlformats.org/officeDocument/2006/relationships/hyperlink" Target="https://www.ellenmacarthurfoundation.org/circular-economy-principles" TargetMode="External"/><Relationship Id="rId1" Type="http://schemas.openxmlformats.org/officeDocument/2006/relationships/customXml" Target="../customXml/item1.xml"/><Relationship Id="rId6" Type="http://schemas.openxmlformats.org/officeDocument/2006/relationships/hyperlink" Target="https://www.gov.uk/government/publications/guidance-on-applying-the-waste-hierarchy" TargetMode="External"/><Relationship Id="rId11" Type="http://schemas.openxmlformats.org/officeDocument/2006/relationships/hyperlink" Target="https://www.ihg.com/content/gb/en/support/green-engage?utm_source=chatgpt.com" TargetMode="External"/><Relationship Id="rId5" Type="http://schemas.openxmlformats.org/officeDocument/2006/relationships/webSettings" Target="webSettings.xml"/><Relationship Id="rId15" Type="http://schemas.openxmlformats.org/officeDocument/2006/relationships/hyperlink" Target="https://www.wrap.ngo/take-action/uk-food-drink-pact/food-waste-reduction-roadmap?utm_source=chatgpt.com" TargetMode="External"/><Relationship Id="rId10" Type="http://schemas.openxmlformats.org/officeDocument/2006/relationships/hyperlink" Target="https://www.ihg.com/content/gb/en/support/green-engag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government/publications/food-and-drink-waste-hierarchy-deal-with-surplus-and-waste/food-and-drink-waste-hierarchy-deal-with-surplus-and-waste?utm_source=chatgpt.com" TargetMode="External"/><Relationship Id="rId14" Type="http://schemas.openxmlformats.org/officeDocument/2006/relationships/hyperlink" Target="https://www.wrap.ngo/take-action/uk-food-drink-pact/food-waste-reduction-road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DEF11</b:Tag>
    <b:SourceType>InternetSite</b:SourceType>
    <b:Guid>{DCF8AC12-704A-49DF-A71D-70A4E5DC7400}</b:Guid>
    <b:Author>
      <b:Author>
        <b:NameList>
          <b:Person>
            <b:Last>DEFRA</b:Last>
          </b:Person>
        </b:NameList>
      </b:Author>
    </b:Author>
    <b:Title>uidance on applying the waste hierarchy. Department for Environment, Food &amp; Rural Affairs</b:Title>
    <b:Year>2011</b:Year>
    <b:YearAccessed>2025 </b:YearAccessed>
    <b:MonthAccessed>October </b:MonthAccessed>
    <b:DayAccessed>30 </b:DayAccessed>
    <b:URL>https://www.gov.uk/government/publications/guidance-on-applying-the-waste-hierarchy</b:URL>
    <b:RefOrder>3</b:RefOrder>
  </b:Source>
  <b:Source>
    <b:Tag>Elk97</b:Tag>
    <b:SourceType>Book</b:SourceType>
    <b:Guid>{C05C7522-1658-4598-8F7D-18E6DC3ABA36}</b:Guid>
    <b:Author>
      <b:Author>
        <b:NameList>
          <b:Person>
            <b:Last>Elkington</b:Last>
            <b:First>J</b:First>
          </b:Person>
        </b:NameList>
      </b:Author>
    </b:Author>
    <b:Title>Cannibals with Forks: The Triple Bottom Line of 21st Century Business.</b:Title>
    <b:Year>1997</b:Year>
    <b:City>Oxford</b:City>
    <b:Publisher>Capstone</b:Publisher>
    <b:RefOrder>6</b:RefOrder>
  </b:Source>
  <b:Source>
    <b:Tag>GOV24</b:Tag>
    <b:SourceType>InternetSite</b:SourceType>
    <b:Guid>{0C5063E0-0275-434F-8521-A373D7CC088B}</b:Guid>
    <b:Author>
      <b:Author>
        <b:NameList>
          <b:Person>
            <b:Last>GOV.UK</b:Last>
          </b:Person>
        </b:NameList>
      </b:Author>
    </b:Author>
    <b:Title>Food and drink waste hierarchy: deal with surplus and waste</b:Title>
    <b:Year>2024</b:Year>
    <b:YearAccessed>2025</b:YearAccessed>
    <b:MonthAccessed>November</b:MonthAccessed>
    <b:DayAccessed>2</b:DayAccessed>
    <b:URL>https://www.gov.uk/government/publications/food-and-drink-waste-hierarchy-deal-with-surplus-and-waste/food-and-drink-waste-hierarchy-deal-with-surplus-and-waste</b:URL>
    <b:RefOrder>7</b:RefOrder>
  </b:Source>
  <b:Source>
    <b:Tag>IHG243</b:Tag>
    <b:SourceType>InternetSite</b:SourceType>
    <b:Guid>{F7E2428F-7907-41E2-869A-D01AF8AEE6E1}</b:Guid>
    <b:Author>
      <b:Author>
        <b:NameList>
          <b:Person>
            <b:Last>IHG</b:Last>
            <b:First>Hotels</b:First>
            <b:Middle>&amp; Resorts</b:Middle>
          </b:Person>
        </b:NameList>
      </b:Author>
    </b:Author>
    <b:Title>IHG Green Engage system. </b:Title>
    <b:Year>2024</b:Year>
    <b:YearAccessed>2025</b:YearAccessed>
    <b:MonthAccessed>October </b:MonthAccessed>
    <b:DayAccessed>30</b:DayAccessed>
    <b:URL>https://www.ihg.com/content/gb/en/support/green-engage</b:URL>
    <b:RefOrder>5</b:RefOrder>
  </b:Source>
  <b:Source>
    <b:Tag>Joh12</b:Tag>
    <b:SourceType>Book</b:SourceType>
    <b:Guid>{343DC79F-F6F5-4669-9946-F0C2D1F698C3}</b:Guid>
    <b:Author>
      <b:Author>
        <b:NameList>
          <b:Person>
            <b:Last>Johnston</b:Last>
            <b:First>R</b:First>
          </b:Person>
          <b:Person>
            <b:Last>Clark</b:Last>
            <b:First>G</b:First>
          </b:Person>
          <b:Person>
            <b:Last>Shulver</b:Last>
            <b:First>M</b:First>
          </b:Person>
        </b:NameList>
      </b:Author>
    </b:Author>
    <b:Title>Service Operations Management: Improving Service Delivery</b:Title>
    <b:Year>2012</b:Year>
    <b:City>London</b:City>
    <b:Publisher>Pearson</b:Publisher>
    <b:Edition>5th</b:Edition>
    <b:RefOrder>1</b:RefOrder>
  </b:Source>
  <b:Source>
    <b:Tag>Nie17</b:Tag>
    <b:SourceType>InternetSite</b:SourceType>
    <b:Guid>{5E2984C1-1A22-447F-ACE5-89FC6D2C9683}</b:Guid>
    <b:Author>
      <b:Author>
        <b:NameList>
          <b:Person>
            <b:Last>Nielsen</b:Last>
            <b:First>Norman</b:First>
            <b:Middle>Group</b:Middle>
          </b:Person>
        </b:NameList>
      </b:Author>
    </b:Author>
    <b:Title>Service blueprints: definition.</b:Title>
    <b:Year>2017</b:Year>
    <b:YearAccessed>2025</b:YearAccessed>
    <b:MonthAccessed>october</b:MonthAccessed>
    <b:DayAccessed>30</b:DayAccessed>
    <b:URL>https://www.nngroup.com/articles/service-blueprints-definition/</b:URL>
    <b:RefOrder>8</b:RefOrder>
  </b:Source>
  <b:Source>
    <b:Tag>WRA24</b:Tag>
    <b:SourceType>InternetSite</b:SourceType>
    <b:Guid>{146F2631-EF54-4E6B-8114-6FA2BC7DF4C8}</b:Guid>
    <b:Author>
      <b:Author>
        <b:NameList>
          <b:Person>
            <b:Last>WRAP</b:Last>
          </b:Person>
        </b:NameList>
      </b:Author>
    </b:Author>
    <b:Title>UK Food and Drink Pact: Food Waste Reduction Roadmap</b:Title>
    <b:Year>2024</b:Year>
    <b:YearAccessed>2025</b:YearAccessed>
    <b:MonthAccessed>October</b:MonthAccessed>
    <b:DayAccessed>29</b:DayAccessed>
    <b:URL>https://www.wrap.ngo/take-action/uk-food-drink-pact/food-waste-reduction-roadmap</b:URL>
    <b:RefOrder>4</b:RefOrder>
  </b:Source>
  <b:Source>
    <b:Tag>Ell24</b:Tag>
    <b:SourceType>InternetSite</b:SourceType>
    <b:Guid>{357FE0C8-E69E-4ABE-880A-17600E8486A4}</b:Guid>
    <b:Author>
      <b:Author>
        <b:NameList>
          <b:Person>
            <b:Last>Ellen MacArthur Foundation</b:Last>
          </b:Person>
        </b:NameList>
      </b:Author>
    </b:Author>
    <b:Title>Circular economy principles</b:Title>
    <b:Year>2024</b:Year>
    <b:YearAccessed>2025</b:YearAccessed>
    <b:MonthAccessed>October </b:MonthAccessed>
    <b:DayAccessed>30 </b:DayAccessed>
    <b:URL>https://www.ellenmacarthurfoundation.org/circular-economy-principles</b:URL>
    <b:RefOrder>2</b:RefOrder>
  </b:Source>
</b:Sources>
</file>

<file path=customXml/itemProps1.xml><?xml version="1.0" encoding="utf-8"?>
<ds:datastoreItem xmlns:ds="http://schemas.openxmlformats.org/officeDocument/2006/customXml" ds:itemID="{BD49D44D-D4FE-4242-B231-A83EF13BA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7</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dc:creator>
  <cp:keywords/>
  <dc:description/>
  <cp:lastModifiedBy>Moryom Qureshi</cp:lastModifiedBy>
  <cp:revision>19</cp:revision>
  <dcterms:created xsi:type="dcterms:W3CDTF">2025-10-30T10:08:00Z</dcterms:created>
  <dcterms:modified xsi:type="dcterms:W3CDTF">2025-11-14T09:20:00Z</dcterms:modified>
</cp:coreProperties>
</file>