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7D18E" w14:textId="4A6DB765" w:rsidR="00156498" w:rsidRPr="00D72EA7" w:rsidRDefault="00156498">
      <w:pPr>
        <w:rPr>
          <w:rFonts w:cstheme="minorHAnsi"/>
        </w:rPr>
      </w:pPr>
      <w:r w:rsidRPr="00D72EA7">
        <w:rPr>
          <w:rFonts w:cstheme="minorHAnsi"/>
        </w:rPr>
        <w:t xml:space="preserve">Human Development ECEY4001/C </w:t>
      </w:r>
    </w:p>
    <w:p w14:paraId="175D7247" w14:textId="77777777" w:rsidR="00156498" w:rsidRPr="00D72EA7" w:rsidRDefault="00156498">
      <w:pPr>
        <w:rPr>
          <w:rFonts w:cstheme="minorHAnsi"/>
        </w:rPr>
      </w:pPr>
    </w:p>
    <w:p w14:paraId="4C690CB9" w14:textId="294192D8" w:rsidR="00156498" w:rsidRPr="00D72EA7" w:rsidRDefault="00156498" w:rsidP="00D72EA7">
      <w:pPr>
        <w:jc w:val="center"/>
        <w:rPr>
          <w:rFonts w:cstheme="minorHAnsi"/>
          <w:b/>
          <w:bCs/>
          <w:u w:val="single"/>
        </w:rPr>
      </w:pPr>
      <w:r w:rsidRPr="00D72EA7">
        <w:rPr>
          <w:rFonts w:cstheme="minorHAnsi"/>
          <w:b/>
          <w:bCs/>
          <w:u w:val="single"/>
        </w:rPr>
        <w:t xml:space="preserve">Handbook for the significance of </w:t>
      </w:r>
      <w:r w:rsidRPr="00D72EA7">
        <w:rPr>
          <w:rFonts w:cstheme="minorHAnsi"/>
          <w:b/>
          <w:bCs/>
          <w:u w:val="single"/>
        </w:rPr>
        <w:t xml:space="preserve">effective communication for young children’s learning and development during transitions. </w:t>
      </w:r>
    </w:p>
    <w:p w14:paraId="4924AF74" w14:textId="77777777"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Theme="minorHAnsi" w:hAnsiTheme="minorHAnsi" w:cstheme="minorHAnsi"/>
          <w:color w:val="0D0D0D"/>
          <w:sz w:val="22"/>
          <w:szCs w:val="22"/>
        </w:rPr>
      </w:pPr>
      <w:r w:rsidRPr="00D72EA7">
        <w:rPr>
          <w:rFonts w:asciiTheme="minorHAnsi" w:hAnsiTheme="minorHAnsi" w:cstheme="minorHAnsi"/>
          <w:color w:val="0D0D0D"/>
          <w:sz w:val="22"/>
          <w:szCs w:val="22"/>
        </w:rPr>
        <w:t>Welcome to the Handbook on the Significance of Effective Communication for Young Children’s Learning and Development During Transitions. This handbook is a valuable resource aimed at educators, caregivers, and professionals working with young children, providing essential guidance on the pivotal role of communication during transitions in fostering optimal learning and development.</w:t>
      </w:r>
    </w:p>
    <w:p w14:paraId="1F6BC89D" w14:textId="77777777"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Theme="minorHAnsi" w:hAnsiTheme="minorHAnsi" w:cstheme="minorHAnsi"/>
          <w:color w:val="0D0D0D"/>
          <w:sz w:val="22"/>
          <w:szCs w:val="22"/>
        </w:rPr>
      </w:pPr>
      <w:r w:rsidRPr="00D72EA7">
        <w:rPr>
          <w:rStyle w:val="Strong"/>
          <w:rFonts w:asciiTheme="minorHAnsi" w:hAnsiTheme="minorHAnsi" w:cstheme="minorHAnsi"/>
          <w:color w:val="0D0D0D"/>
          <w:sz w:val="22"/>
          <w:szCs w:val="22"/>
          <w:bdr w:val="single" w:sz="2" w:space="0" w:color="E3E3E3" w:frame="1"/>
        </w:rPr>
        <w:t>Purpose of the Handbook</w:t>
      </w:r>
    </w:p>
    <w:p w14:paraId="04FBEFDA" w14:textId="77777777"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Theme="minorHAnsi" w:hAnsiTheme="minorHAnsi" w:cstheme="minorHAnsi"/>
          <w:color w:val="0D0D0D"/>
          <w:sz w:val="22"/>
          <w:szCs w:val="22"/>
        </w:rPr>
      </w:pPr>
      <w:r w:rsidRPr="00D72EA7">
        <w:rPr>
          <w:rFonts w:asciiTheme="minorHAnsi" w:hAnsiTheme="minorHAnsi" w:cstheme="minorHAnsi"/>
          <w:color w:val="0D0D0D"/>
          <w:sz w:val="22"/>
          <w:szCs w:val="22"/>
        </w:rPr>
        <w:t>The primary purpose of this handbook is to underscore the critical importance of effective communication during transitions in young children's lives. It serves as a practical guide for educators and caregivers, offering strategies and insights to facilitate smooth transitions that support children's emotional well-being, cognitive development, and overall learning outcomes.</w:t>
      </w:r>
    </w:p>
    <w:p w14:paraId="502D363E" w14:textId="77777777"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Theme="minorHAnsi" w:hAnsiTheme="minorHAnsi" w:cstheme="minorHAnsi"/>
          <w:color w:val="0D0D0D"/>
          <w:sz w:val="22"/>
          <w:szCs w:val="22"/>
        </w:rPr>
      </w:pPr>
      <w:r w:rsidRPr="00D72EA7">
        <w:rPr>
          <w:rStyle w:val="Strong"/>
          <w:rFonts w:asciiTheme="minorHAnsi" w:hAnsiTheme="minorHAnsi" w:cstheme="minorHAnsi"/>
          <w:color w:val="0D0D0D"/>
          <w:sz w:val="22"/>
          <w:szCs w:val="22"/>
          <w:bdr w:val="single" w:sz="2" w:space="0" w:color="E3E3E3" w:frame="1"/>
        </w:rPr>
        <w:t>Target Audience</w:t>
      </w:r>
    </w:p>
    <w:p w14:paraId="7186BD44" w14:textId="4FF8A244"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Theme="minorHAnsi" w:hAnsiTheme="minorHAnsi" w:cstheme="minorHAnsi"/>
          <w:color w:val="0D0D0D"/>
          <w:sz w:val="22"/>
          <w:szCs w:val="22"/>
        </w:rPr>
      </w:pPr>
      <w:r w:rsidRPr="00D72EA7">
        <w:rPr>
          <w:rFonts w:asciiTheme="minorHAnsi" w:hAnsiTheme="minorHAnsi" w:cstheme="minorHAnsi"/>
          <w:color w:val="0D0D0D"/>
          <w:sz w:val="22"/>
          <w:szCs w:val="22"/>
        </w:rPr>
        <w:t xml:space="preserve">This handbook is specifically designed for educators, caregivers, and professionals working with young children in various settings such as early childhood education </w:t>
      </w:r>
      <w:r w:rsidRPr="00D72EA7">
        <w:rPr>
          <w:rFonts w:asciiTheme="minorHAnsi" w:hAnsiTheme="minorHAnsi" w:cstheme="minorHAnsi"/>
          <w:color w:val="0D0D0D"/>
          <w:sz w:val="22"/>
          <w:szCs w:val="22"/>
        </w:rPr>
        <w:t>centres</w:t>
      </w:r>
      <w:r w:rsidRPr="00D72EA7">
        <w:rPr>
          <w:rFonts w:asciiTheme="minorHAnsi" w:hAnsiTheme="minorHAnsi" w:cstheme="minorHAnsi"/>
          <w:color w:val="0D0D0D"/>
          <w:sz w:val="22"/>
          <w:szCs w:val="22"/>
        </w:rPr>
        <w:t>, preschools, daycare facilities, and community organizations. It also serves as a valuable resource for parents and guardians seeking to enhance their understanding of the significance of communication during transitions in their children's lives.</w:t>
      </w:r>
    </w:p>
    <w:p w14:paraId="5917C440" w14:textId="77777777"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Theme="minorHAnsi" w:hAnsiTheme="minorHAnsi" w:cstheme="minorHAnsi"/>
          <w:color w:val="0D0D0D"/>
          <w:sz w:val="22"/>
          <w:szCs w:val="22"/>
        </w:rPr>
      </w:pPr>
      <w:r w:rsidRPr="00D72EA7">
        <w:rPr>
          <w:rStyle w:val="Strong"/>
          <w:rFonts w:asciiTheme="minorHAnsi" w:hAnsiTheme="minorHAnsi" w:cstheme="minorHAnsi"/>
          <w:color w:val="0D0D0D"/>
          <w:sz w:val="22"/>
          <w:szCs w:val="22"/>
          <w:bdr w:val="single" w:sz="2" w:space="0" w:color="E3E3E3" w:frame="1"/>
        </w:rPr>
        <w:t>Importance</w:t>
      </w:r>
    </w:p>
    <w:p w14:paraId="7FD0B079" w14:textId="77777777"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Theme="minorHAnsi" w:hAnsiTheme="minorHAnsi" w:cstheme="minorHAnsi"/>
          <w:color w:val="0D0D0D"/>
          <w:sz w:val="22"/>
          <w:szCs w:val="22"/>
        </w:rPr>
      </w:pPr>
      <w:r w:rsidRPr="00D72EA7">
        <w:rPr>
          <w:rFonts w:asciiTheme="minorHAnsi" w:hAnsiTheme="minorHAnsi" w:cstheme="minorHAnsi"/>
          <w:color w:val="0D0D0D"/>
          <w:sz w:val="22"/>
          <w:szCs w:val="22"/>
        </w:rPr>
        <w:t>Effective communication during transitions is crucial as it provides young children with a sense of security, continuity, and predictability, which are essential for their overall well-being and development. Clear and supportive communication helps children navigate changes in routines, environments, and social interactions, fostering a positive transition experience and minimizing stress or anxiety.</w:t>
      </w:r>
    </w:p>
    <w:p w14:paraId="040F2160" w14:textId="77777777"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Theme="minorHAnsi" w:hAnsiTheme="minorHAnsi" w:cstheme="minorHAnsi"/>
          <w:color w:val="0D0D0D"/>
          <w:sz w:val="22"/>
          <w:szCs w:val="22"/>
        </w:rPr>
      </w:pPr>
      <w:r w:rsidRPr="00D72EA7">
        <w:rPr>
          <w:rStyle w:val="Strong"/>
          <w:rFonts w:asciiTheme="minorHAnsi" w:hAnsiTheme="minorHAnsi" w:cstheme="minorHAnsi"/>
          <w:color w:val="0D0D0D"/>
          <w:sz w:val="22"/>
          <w:szCs w:val="22"/>
          <w:bdr w:val="single" w:sz="2" w:space="0" w:color="E3E3E3" w:frame="1"/>
        </w:rPr>
        <w:t>Supporting Practice</w:t>
      </w:r>
    </w:p>
    <w:p w14:paraId="53800676" w14:textId="77777777"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Theme="minorHAnsi" w:hAnsiTheme="minorHAnsi" w:cstheme="minorHAnsi"/>
          <w:color w:val="0D0D0D"/>
          <w:sz w:val="22"/>
          <w:szCs w:val="22"/>
        </w:rPr>
      </w:pPr>
      <w:r w:rsidRPr="00D72EA7">
        <w:rPr>
          <w:rFonts w:asciiTheme="minorHAnsi" w:hAnsiTheme="minorHAnsi" w:cstheme="minorHAnsi"/>
          <w:color w:val="0D0D0D"/>
          <w:sz w:val="22"/>
          <w:szCs w:val="22"/>
        </w:rPr>
        <w:t>This handbook offers practical strategies and evidence-based practices to support educators and caregivers in facilitating effective communication during transitions. It provides guidance on creating transition plans, establishing consistent routines, using visual supports, and promoting positive interactions to enhance communication and ensure smooth transitions for young children.</w:t>
      </w:r>
    </w:p>
    <w:p w14:paraId="7184CB9C" w14:textId="77777777"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Theme="minorHAnsi" w:hAnsiTheme="minorHAnsi" w:cstheme="minorHAnsi"/>
          <w:color w:val="0D0D0D"/>
          <w:sz w:val="22"/>
          <w:szCs w:val="22"/>
        </w:rPr>
      </w:pPr>
      <w:r w:rsidRPr="00D72EA7">
        <w:rPr>
          <w:rStyle w:val="Strong"/>
          <w:rFonts w:asciiTheme="minorHAnsi" w:hAnsiTheme="minorHAnsi" w:cstheme="minorHAnsi"/>
          <w:color w:val="0D0D0D"/>
          <w:sz w:val="22"/>
          <w:szCs w:val="22"/>
          <w:bdr w:val="single" w:sz="2" w:space="0" w:color="E3E3E3" w:frame="1"/>
        </w:rPr>
        <w:t>Impact on Children’s Outcomes</w:t>
      </w:r>
    </w:p>
    <w:p w14:paraId="0E840B59" w14:textId="759B60D0"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Theme="minorHAnsi" w:hAnsiTheme="minorHAnsi" w:cstheme="minorHAnsi"/>
          <w:color w:val="0D0D0D"/>
          <w:sz w:val="22"/>
          <w:szCs w:val="22"/>
        </w:rPr>
      </w:pPr>
      <w:r w:rsidRPr="00D72EA7">
        <w:rPr>
          <w:rFonts w:asciiTheme="minorHAnsi" w:hAnsiTheme="minorHAnsi" w:cstheme="minorHAnsi"/>
          <w:color w:val="0D0D0D"/>
          <w:sz w:val="22"/>
          <w:szCs w:val="22"/>
        </w:rPr>
        <w:t xml:space="preserve">By emphasizing effective communication during transitions, this handbook positively influences children's outcomes across various domains of development. It promotes emotional regulation, social competence, and resilience, leading to improved </w:t>
      </w:r>
      <w:r w:rsidRPr="00D72EA7">
        <w:rPr>
          <w:rFonts w:asciiTheme="minorHAnsi" w:hAnsiTheme="minorHAnsi" w:cstheme="minorHAnsi"/>
          <w:color w:val="0D0D0D"/>
          <w:sz w:val="22"/>
          <w:szCs w:val="22"/>
        </w:rPr>
        <w:t>behavioural</w:t>
      </w:r>
      <w:r w:rsidRPr="00D72EA7">
        <w:rPr>
          <w:rFonts w:asciiTheme="minorHAnsi" w:hAnsiTheme="minorHAnsi" w:cstheme="minorHAnsi"/>
          <w:color w:val="0D0D0D"/>
          <w:sz w:val="22"/>
          <w:szCs w:val="22"/>
        </w:rPr>
        <w:t xml:space="preserve"> outcomes, increased engagement in learning activities, and enhanced overall well-being for young children.</w:t>
      </w:r>
    </w:p>
    <w:p w14:paraId="7AB4098E" w14:textId="77777777"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Theme="minorHAnsi" w:hAnsiTheme="minorHAnsi" w:cstheme="minorHAnsi"/>
          <w:color w:val="0D0D0D"/>
          <w:sz w:val="22"/>
          <w:szCs w:val="22"/>
        </w:rPr>
      </w:pPr>
      <w:r w:rsidRPr="00D72EA7">
        <w:rPr>
          <w:rStyle w:val="Strong"/>
          <w:rFonts w:asciiTheme="minorHAnsi" w:hAnsiTheme="minorHAnsi" w:cstheme="minorHAnsi"/>
          <w:color w:val="0D0D0D"/>
          <w:sz w:val="22"/>
          <w:szCs w:val="22"/>
          <w:bdr w:val="single" w:sz="2" w:space="0" w:color="E3E3E3" w:frame="1"/>
        </w:rPr>
        <w:lastRenderedPageBreak/>
        <w:t>Improving Quality</w:t>
      </w:r>
    </w:p>
    <w:p w14:paraId="67DF7D93" w14:textId="77777777"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Theme="minorHAnsi" w:hAnsiTheme="minorHAnsi" w:cstheme="minorHAnsi"/>
          <w:color w:val="0D0D0D"/>
          <w:sz w:val="22"/>
          <w:szCs w:val="22"/>
        </w:rPr>
      </w:pPr>
      <w:r w:rsidRPr="00D72EA7">
        <w:rPr>
          <w:rFonts w:asciiTheme="minorHAnsi" w:hAnsiTheme="minorHAnsi" w:cstheme="minorHAnsi"/>
          <w:color w:val="0D0D0D"/>
          <w:sz w:val="22"/>
          <w:szCs w:val="22"/>
        </w:rPr>
        <w:t>By equipping educators and caregivers with the necessary knowledge and skills to effectively communicate during transitions, this handbook contributes to the overall quality of early childhood education and care programs. It fosters a supportive and nurturing environment that prioritizes children's needs and promotes positive developmental outcomes, thereby enhancing the overall quality of educational experiences for young children.</w:t>
      </w:r>
    </w:p>
    <w:p w14:paraId="03E16D50" w14:textId="4830C49E"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0" w:afterAutospacing="0"/>
        <w:rPr>
          <w:rFonts w:asciiTheme="minorHAnsi" w:hAnsiTheme="minorHAnsi" w:cstheme="minorHAnsi"/>
          <w:color w:val="0D0D0D"/>
          <w:sz w:val="22"/>
          <w:szCs w:val="22"/>
        </w:rPr>
      </w:pPr>
      <w:r w:rsidRPr="00D72EA7">
        <w:rPr>
          <w:rFonts w:asciiTheme="minorHAnsi" w:hAnsiTheme="minorHAnsi" w:cstheme="minorHAnsi"/>
          <w:color w:val="0D0D0D"/>
          <w:sz w:val="22"/>
          <w:szCs w:val="22"/>
        </w:rPr>
        <w:t>This</w:t>
      </w:r>
      <w:r w:rsidRPr="00D72EA7">
        <w:rPr>
          <w:rFonts w:asciiTheme="minorHAnsi" w:hAnsiTheme="minorHAnsi" w:cstheme="minorHAnsi"/>
          <w:color w:val="0D0D0D"/>
          <w:sz w:val="22"/>
          <w:szCs w:val="22"/>
        </w:rPr>
        <w:t xml:space="preserve"> handbook serves as a valuable resource for educators, caregivers, and professionals working with young children, highlighting the significance of effective communication during transitions in supporting optimal learning and development outcomes. Through practical guidance and evidence-based strategies, it empowers stakeholders to create nurturing environments that promote positive transition experiences for young children.</w:t>
      </w:r>
    </w:p>
    <w:p w14:paraId="342B5204" w14:textId="77777777"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0" w:afterAutospacing="0"/>
        <w:rPr>
          <w:rFonts w:asciiTheme="minorHAnsi" w:hAnsiTheme="minorHAnsi" w:cstheme="minorHAnsi"/>
          <w:b/>
          <w:bCs/>
          <w:color w:val="0D0D0D"/>
          <w:sz w:val="22"/>
          <w:szCs w:val="22"/>
          <w:u w:val="single"/>
        </w:rPr>
      </w:pPr>
      <w:r w:rsidRPr="00D72EA7">
        <w:rPr>
          <w:rFonts w:asciiTheme="minorHAnsi" w:hAnsiTheme="minorHAnsi" w:cstheme="minorHAnsi"/>
          <w:b/>
          <w:bCs/>
          <w:color w:val="0D0D0D"/>
          <w:sz w:val="22"/>
          <w:szCs w:val="22"/>
          <w:u w:val="single"/>
        </w:rPr>
        <w:t xml:space="preserve">Types of Attachment </w:t>
      </w:r>
    </w:p>
    <w:p w14:paraId="702A8FDA" w14:textId="4DEA64D6"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0" w:afterAutospacing="0"/>
        <w:rPr>
          <w:rFonts w:asciiTheme="minorHAnsi" w:hAnsiTheme="minorHAnsi" w:cstheme="minorHAnsi"/>
          <w:b/>
          <w:bCs/>
          <w:color w:val="0D0D0D"/>
          <w:sz w:val="22"/>
          <w:szCs w:val="22"/>
          <w:u w:val="single"/>
        </w:rPr>
      </w:pPr>
      <w:r w:rsidRPr="00D72EA7">
        <w:rPr>
          <w:rFonts w:asciiTheme="minorHAnsi" w:hAnsiTheme="minorHAnsi" w:cstheme="minorHAnsi"/>
          <w:color w:val="0D0D0D"/>
          <w:sz w:val="22"/>
          <w:szCs w:val="22"/>
        </w:rPr>
        <w:t>Attachment theory, pioneered by psychologist John Bowlby, posits that the quality of early relationships between infants and their caregivers profoundly influences the child's socioemotional development. One of the central tenets of attachment theory is the classification of different types of attachment styles that infants develop based on their interactions with primary caregivers. These attachment styles, initially identified by Mary Ainsworth through the "Strange Situation" experiment, play a crucial role in shaping individuals' interpersonal relationships and emotional regulation throughout their lives.</w:t>
      </w:r>
    </w:p>
    <w:p w14:paraId="2BDD9615" w14:textId="77777777" w:rsidR="00D72EA7" w:rsidRPr="00D72EA7" w:rsidRDefault="00D72EA7" w:rsidP="00D72EA7">
      <w:pPr>
        <w:pStyle w:val="NormalWeb"/>
        <w:spacing w:after="0"/>
        <w:rPr>
          <w:rFonts w:asciiTheme="minorHAnsi" w:hAnsiTheme="minorHAnsi" w:cstheme="minorHAnsi"/>
          <w:color w:val="0D0D0D"/>
          <w:sz w:val="22"/>
          <w:szCs w:val="22"/>
        </w:rPr>
      </w:pPr>
      <w:r w:rsidRPr="00D72EA7">
        <w:rPr>
          <w:rFonts w:asciiTheme="minorHAnsi" w:hAnsiTheme="minorHAnsi" w:cstheme="minorHAnsi"/>
          <w:color w:val="0D0D0D"/>
          <w:sz w:val="22"/>
          <w:szCs w:val="22"/>
        </w:rPr>
        <w:t>The first type of attachment is known as secure attachment. Children with secure attachment exhibit a healthy balance between seeking proximity to their caregivers for comfort and exploration of their environment. They trust their caregivers to meet their needs and feel secure in their presence. Securely attached children are often more resilient, have higher self-esteem, and develop positive relationships with others later in life. This type of attachment corresponds to Maslow's concept of belongingness and love needs, as individuals with secure attachment styles feel a sense of connection and acceptance within their social relationships.</w:t>
      </w:r>
    </w:p>
    <w:p w14:paraId="6ED36F14" w14:textId="77777777" w:rsidR="00D72EA7" w:rsidRPr="00D72EA7" w:rsidRDefault="00D72EA7" w:rsidP="00D72EA7">
      <w:pPr>
        <w:pStyle w:val="NormalWeb"/>
        <w:spacing w:after="0"/>
        <w:rPr>
          <w:rFonts w:asciiTheme="minorHAnsi" w:hAnsiTheme="minorHAnsi" w:cstheme="minorHAnsi"/>
          <w:color w:val="0D0D0D"/>
          <w:sz w:val="22"/>
          <w:szCs w:val="22"/>
        </w:rPr>
      </w:pPr>
      <w:r w:rsidRPr="00D72EA7">
        <w:rPr>
          <w:rFonts w:asciiTheme="minorHAnsi" w:hAnsiTheme="minorHAnsi" w:cstheme="minorHAnsi"/>
          <w:color w:val="0D0D0D"/>
          <w:sz w:val="22"/>
          <w:szCs w:val="22"/>
        </w:rPr>
        <w:t>In contrast, insecure attachment encompasses three subtypes: avoidant, ambivalent/resistant, and disorganized attachment. Children with avoidant attachment tend to avoid or minimize interactions with their caregivers and may appear indifferent when reunited with them after separation. They may have learned to suppress their attachment needs due to inconsistent or unresponsive caregiving. This attachment style is associated with Maslow's theory in that individuals may struggle with fulfilling their belongingness and love needs, leading to difficulties in forming close and trusting relationships.</w:t>
      </w:r>
    </w:p>
    <w:p w14:paraId="40594F19" w14:textId="1BC5639F" w:rsidR="00D72EA7" w:rsidRPr="00D72EA7" w:rsidRDefault="00D72EA7" w:rsidP="00D72EA7">
      <w:pPr>
        <w:pStyle w:val="NormalWeb"/>
        <w:spacing w:after="0"/>
        <w:rPr>
          <w:rFonts w:asciiTheme="minorHAnsi" w:hAnsiTheme="minorHAnsi" w:cstheme="minorHAnsi"/>
          <w:color w:val="0D0D0D"/>
          <w:sz w:val="22"/>
          <w:szCs w:val="22"/>
        </w:rPr>
      </w:pPr>
      <w:r w:rsidRPr="00D72EA7">
        <w:rPr>
          <w:rFonts w:asciiTheme="minorHAnsi" w:hAnsiTheme="minorHAnsi" w:cstheme="minorHAnsi"/>
          <w:color w:val="0D0D0D"/>
          <w:sz w:val="22"/>
          <w:szCs w:val="22"/>
        </w:rPr>
        <w:t xml:space="preserve">Ambivalent/resistant attachment is characterized by a child's clinginess and ambivalence towards their caregiver. These children often exhibit anxiety and distress when separated from their caregiver but may display resistance or anger upon reunion. Ambivalent attachment may develop in response to inconsistent caregiving, where the caregiver's responsiveness is unpredictable. Individuals with this attachment style may struggle to develop a sense of security in their relationships, impacting their ability to </w:t>
      </w:r>
      <w:r w:rsidRPr="00D72EA7">
        <w:rPr>
          <w:rFonts w:asciiTheme="minorHAnsi" w:hAnsiTheme="minorHAnsi" w:cstheme="minorHAnsi"/>
          <w:color w:val="0D0D0D"/>
          <w:sz w:val="22"/>
          <w:szCs w:val="22"/>
        </w:rPr>
        <w:t>fulfil</w:t>
      </w:r>
      <w:r w:rsidRPr="00D72EA7">
        <w:rPr>
          <w:rFonts w:asciiTheme="minorHAnsi" w:hAnsiTheme="minorHAnsi" w:cstheme="minorHAnsi"/>
          <w:color w:val="0D0D0D"/>
          <w:sz w:val="22"/>
          <w:szCs w:val="22"/>
        </w:rPr>
        <w:t xml:space="preserve"> belongingness and love needs as outlined by Maslow.</w:t>
      </w:r>
    </w:p>
    <w:p w14:paraId="3D3C3D3C" w14:textId="4256717B" w:rsidR="00D72EA7" w:rsidRPr="00D72EA7" w:rsidRDefault="00D72EA7" w:rsidP="00D72EA7">
      <w:pPr>
        <w:pStyle w:val="NormalWeb"/>
        <w:spacing w:after="0"/>
        <w:rPr>
          <w:rFonts w:asciiTheme="minorHAnsi" w:hAnsiTheme="minorHAnsi" w:cstheme="minorHAnsi"/>
          <w:color w:val="0D0D0D"/>
          <w:sz w:val="22"/>
          <w:szCs w:val="22"/>
        </w:rPr>
      </w:pPr>
      <w:r w:rsidRPr="00D72EA7">
        <w:rPr>
          <w:rFonts w:asciiTheme="minorHAnsi" w:hAnsiTheme="minorHAnsi" w:cstheme="minorHAnsi"/>
          <w:color w:val="0D0D0D"/>
          <w:sz w:val="22"/>
          <w:szCs w:val="22"/>
        </w:rPr>
        <w:t xml:space="preserve">Disorganized attachment is the fourth attachment style identified, characterized by a lack of a consistent pattern of </w:t>
      </w:r>
      <w:r w:rsidRPr="00D72EA7">
        <w:rPr>
          <w:rFonts w:asciiTheme="minorHAnsi" w:hAnsiTheme="minorHAnsi" w:cstheme="minorHAnsi"/>
          <w:color w:val="0D0D0D"/>
          <w:sz w:val="22"/>
          <w:szCs w:val="22"/>
        </w:rPr>
        <w:t>behaviour</w:t>
      </w:r>
      <w:r w:rsidRPr="00D72EA7">
        <w:rPr>
          <w:rFonts w:asciiTheme="minorHAnsi" w:hAnsiTheme="minorHAnsi" w:cstheme="minorHAnsi"/>
          <w:color w:val="0D0D0D"/>
          <w:sz w:val="22"/>
          <w:szCs w:val="22"/>
        </w:rPr>
        <w:t xml:space="preserve"> in response to caregivers. Children with disorganized attachment may display contradictory </w:t>
      </w:r>
      <w:r w:rsidRPr="00D72EA7">
        <w:rPr>
          <w:rFonts w:asciiTheme="minorHAnsi" w:hAnsiTheme="minorHAnsi" w:cstheme="minorHAnsi"/>
          <w:color w:val="0D0D0D"/>
          <w:sz w:val="22"/>
          <w:szCs w:val="22"/>
        </w:rPr>
        <w:t>behaviours</w:t>
      </w:r>
      <w:r w:rsidRPr="00D72EA7">
        <w:rPr>
          <w:rFonts w:asciiTheme="minorHAnsi" w:hAnsiTheme="minorHAnsi" w:cstheme="minorHAnsi"/>
          <w:color w:val="0D0D0D"/>
          <w:sz w:val="22"/>
          <w:szCs w:val="22"/>
        </w:rPr>
        <w:t xml:space="preserve">, such as seeking comfort while simultaneously avoiding or showing fear towards their caregiver. This attachment style often arises in the context of severe </w:t>
      </w:r>
      <w:r w:rsidRPr="00D72EA7">
        <w:rPr>
          <w:rFonts w:asciiTheme="minorHAnsi" w:hAnsiTheme="minorHAnsi" w:cstheme="minorHAnsi"/>
          <w:color w:val="0D0D0D"/>
          <w:sz w:val="22"/>
          <w:szCs w:val="22"/>
        </w:rPr>
        <w:lastRenderedPageBreak/>
        <w:t xml:space="preserve">caregiver neglect, abuse, or unresolved trauma. Individuals with disorganized attachment may struggle to form stable and secure relationships, hindering their ability to </w:t>
      </w:r>
      <w:proofErr w:type="spellStart"/>
      <w:r w:rsidRPr="00D72EA7">
        <w:rPr>
          <w:rFonts w:asciiTheme="minorHAnsi" w:hAnsiTheme="minorHAnsi" w:cstheme="minorHAnsi"/>
          <w:color w:val="0D0D0D"/>
          <w:sz w:val="22"/>
          <w:szCs w:val="22"/>
        </w:rPr>
        <w:t>fulfill</w:t>
      </w:r>
      <w:proofErr w:type="spellEnd"/>
      <w:r w:rsidRPr="00D72EA7">
        <w:rPr>
          <w:rFonts w:asciiTheme="minorHAnsi" w:hAnsiTheme="minorHAnsi" w:cstheme="minorHAnsi"/>
          <w:color w:val="0D0D0D"/>
          <w:sz w:val="22"/>
          <w:szCs w:val="22"/>
        </w:rPr>
        <w:t xml:space="preserve"> their belongingness and love needs according to Maslow's hierarchy.</w:t>
      </w:r>
    </w:p>
    <w:p w14:paraId="4B0607C1" w14:textId="16D24DFA"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color w:val="0D0D0D"/>
          <w:sz w:val="22"/>
          <w:szCs w:val="22"/>
        </w:rPr>
        <w:t>In conclusion, attachment theory offers valuable insights into the different types of attachment styles that emerge in early childhood and their impact on individuals' socioemotional development. By understanding these attachment styles and their corresponding implications for interpersonal relationships, caregivers and professionals can provide targeted interventions to support healthy attachment formation and promote positive developmental outcomes. This understanding also aligns with Maslow's hierarchy of needs, emphasizing the importance of secure attachments in fulfilling individuals' belongingness and love needs, which are foundational for their overall well-being and development.</w:t>
      </w:r>
    </w:p>
    <w:p w14:paraId="1E324627" w14:textId="55E01B29" w:rsidR="00D72EA7" w:rsidRPr="00D72EA7" w:rsidRDefault="00D72EA7" w:rsidP="00D72EA7">
      <w:pPr>
        <w:pStyle w:val="NormalWeb"/>
        <w:rPr>
          <w:rFonts w:asciiTheme="minorHAnsi" w:hAnsiTheme="minorHAnsi" w:cstheme="minorHAnsi"/>
          <w:b/>
          <w:bCs/>
          <w:color w:val="0D0D0D"/>
          <w:sz w:val="22"/>
          <w:szCs w:val="22"/>
          <w:u w:val="single"/>
        </w:rPr>
      </w:pPr>
      <w:r w:rsidRPr="00D72EA7">
        <w:rPr>
          <w:rFonts w:asciiTheme="minorHAnsi" w:hAnsiTheme="minorHAnsi" w:cstheme="minorHAnsi"/>
          <w:b/>
          <w:bCs/>
          <w:color w:val="0D0D0D"/>
          <w:sz w:val="22"/>
          <w:szCs w:val="22"/>
          <w:u w:val="single"/>
        </w:rPr>
        <w:t>Potential effects of insecure attachment</w:t>
      </w:r>
    </w:p>
    <w:p w14:paraId="3E1FB588" w14:textId="77777777"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color w:val="0D0D0D"/>
          <w:sz w:val="22"/>
          <w:szCs w:val="22"/>
        </w:rPr>
        <w:t>Insecure attachment, stemming from inconsistent or inadequate caregiving during infancy, can significantly impact individuals' socioemotional development and overall well-being. This section of the handbook aims to explore the potential effects of insecure attachment in a concise and accessible manner.</w:t>
      </w:r>
    </w:p>
    <w:p w14:paraId="618402B0" w14:textId="77777777"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b/>
          <w:bCs/>
          <w:color w:val="0D0D0D"/>
          <w:sz w:val="22"/>
          <w:szCs w:val="22"/>
        </w:rPr>
        <w:t>Low Self-Esteem</w:t>
      </w:r>
    </w:p>
    <w:p w14:paraId="20680370" w14:textId="77777777"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color w:val="0D0D0D"/>
          <w:sz w:val="22"/>
          <w:szCs w:val="22"/>
        </w:rPr>
        <w:t>One notable effect of insecure attachment is low self-esteem. Children who experience insecure attachment may develop a negative perception of themselves and their worth. This can manifest as feelings of inadequacy, self-doubt, and a lack of confidence in their abilities. Low self-esteem may persist into adulthood, impacting individuals' relationships, academic and career pursuits, and overall well-being.</w:t>
      </w:r>
    </w:p>
    <w:p w14:paraId="5158AFEF" w14:textId="77777777"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b/>
          <w:bCs/>
          <w:color w:val="0D0D0D"/>
          <w:sz w:val="22"/>
          <w:szCs w:val="22"/>
        </w:rPr>
        <w:t>Reduces Ability to Bond</w:t>
      </w:r>
    </w:p>
    <w:p w14:paraId="52625245" w14:textId="77777777"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color w:val="0D0D0D"/>
          <w:sz w:val="22"/>
          <w:szCs w:val="22"/>
        </w:rPr>
        <w:t>Insecure attachment can also reduce the ability to form strong bonds with others. Children who have not experienced consistent caregiving may struggle to trust and connect with others, leading to difficulties in forming meaningful and lasting relationships. This can impact their social interactions, intimacy, and sense of belonging in various contexts throughout their lives.</w:t>
      </w:r>
    </w:p>
    <w:p w14:paraId="20FAF0DE" w14:textId="77777777"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b/>
          <w:bCs/>
          <w:color w:val="0D0D0D"/>
          <w:sz w:val="22"/>
          <w:szCs w:val="22"/>
        </w:rPr>
        <w:t>Reduces Ability to Empathize</w:t>
      </w:r>
    </w:p>
    <w:p w14:paraId="55F73948" w14:textId="77777777"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color w:val="0D0D0D"/>
          <w:sz w:val="22"/>
          <w:szCs w:val="22"/>
        </w:rPr>
        <w:t>Additionally, insecure attachment may reduce the ability to empathize with others. Children who have not received consistent emotional support and validation from caregivers may struggle to understand and relate to the emotions and experiences of others. This can hinder their ability to develop empathy, compassion, and interpersonal skills, impacting their relationships and social interactions.</w:t>
      </w:r>
    </w:p>
    <w:p w14:paraId="085D67AF" w14:textId="77777777"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color w:val="0D0D0D"/>
          <w:sz w:val="22"/>
          <w:szCs w:val="22"/>
        </w:rPr>
        <w:t>Understanding the potential effects of insecure attachment is vital for caregivers, educators, and professionals working with children. By recognizing these effects, individuals can implement strategies to provide appropriate support and interventions that promote healthy development and well-being in children affected by insecure attachment.</w:t>
      </w:r>
    </w:p>
    <w:p w14:paraId="6C8B16B8" w14:textId="77777777" w:rsidR="00D72EA7" w:rsidRDefault="00D72EA7" w:rsidP="00D72EA7">
      <w:pPr>
        <w:pStyle w:val="NormalWeb"/>
        <w:rPr>
          <w:rFonts w:asciiTheme="minorHAnsi" w:hAnsiTheme="minorHAnsi" w:cstheme="minorHAnsi"/>
          <w:b/>
          <w:bCs/>
          <w:color w:val="0D0D0D"/>
          <w:sz w:val="22"/>
          <w:szCs w:val="22"/>
          <w:u w:val="single"/>
        </w:rPr>
      </w:pPr>
    </w:p>
    <w:p w14:paraId="4CCEDC0C" w14:textId="77777777" w:rsidR="00D72EA7" w:rsidRDefault="00D72EA7" w:rsidP="00D72EA7">
      <w:pPr>
        <w:pStyle w:val="NormalWeb"/>
        <w:rPr>
          <w:rFonts w:asciiTheme="minorHAnsi" w:hAnsiTheme="minorHAnsi" w:cstheme="minorHAnsi"/>
          <w:b/>
          <w:bCs/>
          <w:color w:val="0D0D0D"/>
          <w:sz w:val="22"/>
          <w:szCs w:val="22"/>
          <w:u w:val="single"/>
        </w:rPr>
      </w:pPr>
    </w:p>
    <w:p w14:paraId="5B496C1C" w14:textId="2EF374A6" w:rsidR="00D72EA7" w:rsidRDefault="00D72EA7" w:rsidP="00D72EA7">
      <w:pPr>
        <w:pStyle w:val="NormalWeb"/>
        <w:rPr>
          <w:rFonts w:asciiTheme="minorHAnsi" w:hAnsiTheme="minorHAnsi" w:cstheme="minorHAnsi"/>
          <w:b/>
          <w:bCs/>
          <w:color w:val="0D0D0D"/>
          <w:sz w:val="22"/>
          <w:szCs w:val="22"/>
          <w:u w:val="single"/>
        </w:rPr>
      </w:pPr>
      <w:r w:rsidRPr="00D72EA7">
        <w:rPr>
          <w:rFonts w:asciiTheme="minorHAnsi" w:hAnsiTheme="minorHAnsi" w:cstheme="minorHAnsi"/>
          <w:b/>
          <w:bCs/>
          <w:color w:val="0D0D0D"/>
          <w:sz w:val="22"/>
          <w:szCs w:val="22"/>
          <w:u w:val="single"/>
        </w:rPr>
        <w:lastRenderedPageBreak/>
        <w:t xml:space="preserve">Bronfenbrenner’s Ecological Theory </w:t>
      </w:r>
    </w:p>
    <w:p w14:paraId="1B9C9417" w14:textId="1720AAE9" w:rsidR="00D72EA7" w:rsidRPr="00D72EA7" w:rsidRDefault="00D72EA7" w:rsidP="00D72EA7">
      <w:pPr>
        <w:pStyle w:val="NormalWeb"/>
        <w:rPr>
          <w:rFonts w:asciiTheme="minorHAnsi" w:hAnsiTheme="minorHAnsi" w:cstheme="minorHAnsi"/>
          <w:b/>
          <w:bCs/>
          <w:color w:val="0D0D0D"/>
          <w:sz w:val="22"/>
          <w:szCs w:val="22"/>
          <w:u w:val="single"/>
        </w:rPr>
      </w:pPr>
      <w:r w:rsidRPr="00D72EA7">
        <w:rPr>
          <w:rFonts w:asciiTheme="minorHAnsi" w:hAnsiTheme="minorHAnsi" w:cstheme="minorHAnsi"/>
          <w:color w:val="0D0D0D"/>
          <w:sz w:val="22"/>
          <w:szCs w:val="22"/>
        </w:rPr>
        <w:t>Bronfenbrenner's Ecological Theory, also known as the Bioecological Model, is a widely recognized framework in developmental psychology that emphasizes the multifaceted influences shaping human development. Proposed by psychologist Urie Bronfenbrenner, this theory posits that individuals are embedded within a series of interconnected environmental systems that collectively influence their development over time.</w:t>
      </w:r>
      <w:r w:rsidRPr="00D72EA7">
        <w:rPr>
          <w:rFonts w:asciiTheme="minorHAnsi" w:hAnsiTheme="minorHAnsi" w:cstheme="minorHAnsi"/>
          <w:color w:val="0D0D0D"/>
          <w:sz w:val="22"/>
          <w:szCs w:val="22"/>
        </w:rPr>
        <w:t xml:space="preserve"> </w:t>
      </w:r>
      <w:r w:rsidRPr="00D72EA7">
        <w:rPr>
          <w:rFonts w:asciiTheme="minorHAnsi" w:hAnsiTheme="minorHAnsi" w:cstheme="minorHAnsi"/>
          <w:color w:val="0D0D0D"/>
          <w:sz w:val="22"/>
          <w:szCs w:val="22"/>
        </w:rPr>
        <w:t xml:space="preserve">At the core of Bronfenbrenner's theory are four key systems or "ecological levels" that interact to impact human development. These levels include the microsystem, mesosystem, </w:t>
      </w:r>
      <w:proofErr w:type="spellStart"/>
      <w:r w:rsidRPr="00D72EA7">
        <w:rPr>
          <w:rFonts w:asciiTheme="minorHAnsi" w:hAnsiTheme="minorHAnsi" w:cstheme="minorHAnsi"/>
          <w:color w:val="0D0D0D"/>
          <w:sz w:val="22"/>
          <w:szCs w:val="22"/>
        </w:rPr>
        <w:t>exosystem</w:t>
      </w:r>
      <w:proofErr w:type="spellEnd"/>
      <w:r w:rsidRPr="00D72EA7">
        <w:rPr>
          <w:rFonts w:asciiTheme="minorHAnsi" w:hAnsiTheme="minorHAnsi" w:cstheme="minorHAnsi"/>
          <w:color w:val="0D0D0D"/>
          <w:sz w:val="22"/>
          <w:szCs w:val="22"/>
        </w:rPr>
        <w:t xml:space="preserve">, and macrosystem. The microsystem refers to the immediate environments and interactions that directly influence an individual, such as family, school, and peer groups. The mesosystem encompasses the connections between various microsystems, such as the relationship between home and school environments. The </w:t>
      </w:r>
      <w:proofErr w:type="spellStart"/>
      <w:r w:rsidRPr="00D72EA7">
        <w:rPr>
          <w:rFonts w:asciiTheme="minorHAnsi" w:hAnsiTheme="minorHAnsi" w:cstheme="minorHAnsi"/>
          <w:color w:val="0D0D0D"/>
          <w:sz w:val="22"/>
          <w:szCs w:val="22"/>
        </w:rPr>
        <w:t>exosystem</w:t>
      </w:r>
      <w:proofErr w:type="spellEnd"/>
      <w:r w:rsidRPr="00D72EA7">
        <w:rPr>
          <w:rFonts w:asciiTheme="minorHAnsi" w:hAnsiTheme="minorHAnsi" w:cstheme="minorHAnsi"/>
          <w:color w:val="0D0D0D"/>
          <w:sz w:val="22"/>
          <w:szCs w:val="22"/>
        </w:rPr>
        <w:t xml:space="preserve"> comprises broader societal institutions and structures that indirectly influence development, such as the parent's workplace or local community resources. Finally, the macrosystem encompasses the cultural values, beliefs, and societal norms that shape the other systems.</w:t>
      </w:r>
      <w:r w:rsidRPr="00D72EA7">
        <w:rPr>
          <w:rFonts w:asciiTheme="minorHAnsi" w:hAnsiTheme="minorHAnsi" w:cstheme="minorHAnsi"/>
          <w:color w:val="0D0D0D"/>
          <w:sz w:val="22"/>
          <w:szCs w:val="22"/>
        </w:rPr>
        <w:t xml:space="preserve"> </w:t>
      </w:r>
      <w:r w:rsidRPr="00D72EA7">
        <w:rPr>
          <w:rFonts w:asciiTheme="minorHAnsi" w:hAnsiTheme="minorHAnsi" w:cstheme="minorHAnsi"/>
          <w:color w:val="0D0D0D"/>
          <w:sz w:val="22"/>
          <w:szCs w:val="22"/>
        </w:rPr>
        <w:t>Bronfenbrenner's Ecological Theory highlights the dynamic interplay between these systems and emphasizes the importance of considering multiple levels of influence on human development. This framework recognizes that individuals are not passive recipients of their environments but actively shape and are shaped by the contexts in which they live.</w:t>
      </w:r>
      <w:r w:rsidRPr="00D72EA7">
        <w:rPr>
          <w:rFonts w:asciiTheme="minorHAnsi" w:hAnsiTheme="minorHAnsi" w:cstheme="minorHAnsi"/>
          <w:color w:val="0D0D0D"/>
          <w:sz w:val="22"/>
          <w:szCs w:val="22"/>
        </w:rPr>
        <w:t xml:space="preserve"> </w:t>
      </w:r>
      <w:r w:rsidRPr="00D72EA7">
        <w:rPr>
          <w:rFonts w:asciiTheme="minorHAnsi" w:hAnsiTheme="minorHAnsi" w:cstheme="minorHAnsi"/>
          <w:color w:val="0D0D0D"/>
          <w:sz w:val="22"/>
          <w:szCs w:val="22"/>
        </w:rPr>
        <w:t>Bronfenbrenner's Ecological Theory has been widely influential in various fields, including psychology, education, and social work. It has informed research, policy, and interventions aimed at promoting positive development across the lifespan by considering the complex interactions between individuals and their environments.</w:t>
      </w:r>
    </w:p>
    <w:p w14:paraId="0BB89FAE" w14:textId="44D2A08A" w:rsidR="00D72EA7" w:rsidRPr="00D72EA7" w:rsidRDefault="00D72EA7" w:rsidP="00D72EA7">
      <w:pPr>
        <w:pStyle w:val="NormalWeb"/>
        <w:rPr>
          <w:rFonts w:asciiTheme="minorHAnsi" w:hAnsiTheme="minorHAnsi" w:cstheme="minorHAnsi"/>
          <w:b/>
          <w:bCs/>
          <w:color w:val="0D0D0D"/>
          <w:sz w:val="22"/>
          <w:szCs w:val="22"/>
          <w:u w:val="single"/>
        </w:rPr>
      </w:pPr>
      <w:r w:rsidRPr="00D72EA7">
        <w:rPr>
          <w:rFonts w:asciiTheme="minorHAnsi" w:hAnsiTheme="minorHAnsi" w:cstheme="minorHAnsi"/>
          <w:b/>
          <w:bCs/>
          <w:color w:val="0D0D0D"/>
          <w:sz w:val="22"/>
          <w:szCs w:val="22"/>
          <w:u w:val="single"/>
        </w:rPr>
        <w:t>The importance of both care and education for children under 7 years old</w:t>
      </w:r>
    </w:p>
    <w:p w14:paraId="50DA3495" w14:textId="3F17B647"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color w:val="0D0D0D"/>
          <w:sz w:val="22"/>
          <w:szCs w:val="22"/>
        </w:rPr>
        <w:t>The importance of both care and education for children under 7 years old cannot be overstated, as it plays a crucial role in fostering holistic development and laying the foundation for future success. This integration of care and education is rooted in various theories of human development, emphasizing the interconnectedness of physical, cognitive, social, and emotional domains during the early years.</w:t>
      </w:r>
    </w:p>
    <w:p w14:paraId="5E201A5C" w14:textId="2335D5F2"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color w:val="0D0D0D"/>
          <w:sz w:val="22"/>
          <w:szCs w:val="22"/>
        </w:rPr>
        <w:t>C</w:t>
      </w:r>
      <w:r w:rsidRPr="00D72EA7">
        <w:rPr>
          <w:rFonts w:asciiTheme="minorHAnsi" w:hAnsiTheme="minorHAnsi" w:cstheme="minorHAnsi"/>
          <w:color w:val="0D0D0D"/>
          <w:sz w:val="22"/>
          <w:szCs w:val="22"/>
        </w:rPr>
        <w:t>are and education are essential for promoting optimal physical development in young children. Adequate nutrition, health care, and safe environments provided through caregiving practices support children's physical growth, motor skills, and overall well-being. Concurrently, early educational experiences that encourage physical activity, exploration, and sensory stimulation contribute to the development of gross and fine motor skills essential for daily functioning and later academic success (Berk, 2018).</w:t>
      </w:r>
    </w:p>
    <w:p w14:paraId="10A01A49" w14:textId="2C9702E2"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color w:val="0D0D0D"/>
          <w:sz w:val="22"/>
          <w:szCs w:val="22"/>
        </w:rPr>
        <w:t>during the early years</w:t>
      </w:r>
      <w:r w:rsidRPr="00D72EA7">
        <w:rPr>
          <w:rFonts w:asciiTheme="minorHAnsi" w:hAnsiTheme="minorHAnsi" w:cstheme="minorHAnsi"/>
          <w:color w:val="0D0D0D"/>
          <w:sz w:val="22"/>
          <w:szCs w:val="22"/>
        </w:rPr>
        <w:t xml:space="preserve">, education and care </w:t>
      </w:r>
      <w:r w:rsidRPr="00D72EA7">
        <w:rPr>
          <w:rFonts w:asciiTheme="minorHAnsi" w:hAnsiTheme="minorHAnsi" w:cstheme="minorHAnsi"/>
          <w:color w:val="0D0D0D"/>
          <w:sz w:val="22"/>
          <w:szCs w:val="22"/>
        </w:rPr>
        <w:t>vital for cognitive development. Caregivers' responsive interactions and nurturing relationships provide a secure base for children to explore their environment, fostering cognitive skills such as problem-solving, attention, and memory (Bronfenbrenner &amp; Morris, 2006). Educational activities that stimulate curiosity, critical thinking, and language development further enhance cognitive growth and lay the groundwork for future academic achievement.</w:t>
      </w:r>
    </w:p>
    <w:p w14:paraId="691D1458" w14:textId="336F5A27"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color w:val="0D0D0D"/>
          <w:sz w:val="22"/>
          <w:szCs w:val="22"/>
        </w:rPr>
        <w:t>It is also very significant as it plays an</w:t>
      </w:r>
      <w:r w:rsidRPr="00D72EA7">
        <w:rPr>
          <w:rFonts w:asciiTheme="minorHAnsi" w:hAnsiTheme="minorHAnsi" w:cstheme="minorHAnsi"/>
          <w:color w:val="0D0D0D"/>
          <w:sz w:val="22"/>
          <w:szCs w:val="22"/>
        </w:rPr>
        <w:t xml:space="preserve"> instrumental in supporting social and emotional development in young children. Positive caregiving practices, such as warmth, responsiveness, and consistency, help children develop secure attachments and emotional regulation skills crucial for building healthy relationships and managing emotions (Shonkoff et al., 2012). Early educational experiences that promote social interaction, cooperation, empathy, and conflict resolution skills contribute to the development of prosocial </w:t>
      </w:r>
      <w:r w:rsidRPr="00D72EA7">
        <w:rPr>
          <w:rFonts w:asciiTheme="minorHAnsi" w:hAnsiTheme="minorHAnsi" w:cstheme="minorHAnsi"/>
          <w:color w:val="0D0D0D"/>
          <w:sz w:val="22"/>
          <w:szCs w:val="22"/>
        </w:rPr>
        <w:t>behaviours</w:t>
      </w:r>
      <w:r w:rsidRPr="00D72EA7">
        <w:rPr>
          <w:rFonts w:asciiTheme="minorHAnsi" w:hAnsiTheme="minorHAnsi" w:cstheme="minorHAnsi"/>
          <w:color w:val="0D0D0D"/>
          <w:sz w:val="22"/>
          <w:szCs w:val="22"/>
        </w:rPr>
        <w:t xml:space="preserve"> and emotional competence.</w:t>
      </w:r>
    </w:p>
    <w:p w14:paraId="6D236E03" w14:textId="3E45FB3B"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color w:val="0D0D0D"/>
          <w:sz w:val="22"/>
          <w:szCs w:val="22"/>
        </w:rPr>
        <w:lastRenderedPageBreak/>
        <w:t>T</w:t>
      </w:r>
      <w:r w:rsidRPr="00D72EA7">
        <w:rPr>
          <w:rFonts w:asciiTheme="minorHAnsi" w:hAnsiTheme="minorHAnsi" w:cstheme="minorHAnsi"/>
          <w:color w:val="0D0D0D"/>
          <w:sz w:val="22"/>
          <w:szCs w:val="22"/>
        </w:rPr>
        <w:t>he integration of care and education is essential for fostering holistic development in children under 7 years old. By addressing physical, cognitive, social, and emotional needs through caregiving and educational practices, children are provided with a solid foundation for lifelong learning, well-being, and success.</w:t>
      </w:r>
    </w:p>
    <w:p w14:paraId="7E0702EA" w14:textId="5D82A1B1" w:rsidR="00D72EA7" w:rsidRPr="00D72EA7" w:rsidRDefault="00D72EA7" w:rsidP="00D72EA7">
      <w:pPr>
        <w:pStyle w:val="NormalWeb"/>
        <w:rPr>
          <w:rFonts w:asciiTheme="minorHAnsi" w:hAnsiTheme="minorHAnsi" w:cstheme="minorHAnsi"/>
          <w:b/>
          <w:bCs/>
          <w:color w:val="0D0D0D"/>
          <w:sz w:val="22"/>
          <w:szCs w:val="22"/>
          <w:u w:val="single"/>
        </w:rPr>
      </w:pPr>
      <w:r w:rsidRPr="00D72EA7">
        <w:rPr>
          <w:rFonts w:asciiTheme="minorHAnsi" w:hAnsiTheme="minorHAnsi" w:cstheme="minorHAnsi"/>
          <w:b/>
          <w:bCs/>
          <w:color w:val="0D0D0D"/>
          <w:sz w:val="22"/>
          <w:szCs w:val="22"/>
          <w:u w:val="single"/>
        </w:rPr>
        <w:t>Role of the adult</w:t>
      </w:r>
    </w:p>
    <w:p w14:paraId="4882C2F1" w14:textId="77777777"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color w:val="0D0D0D"/>
          <w:sz w:val="22"/>
          <w:szCs w:val="22"/>
        </w:rPr>
        <w:t>The role of the adult in child development is multifaceted and crucial for fostering optimal growth and well-being in children. This section of the handbook aims to explore the significant roles that adults play in supporting children's development, focusing on key areas such as caregiving, education, and emotional support.</w:t>
      </w:r>
    </w:p>
    <w:p w14:paraId="5B7D6D58" w14:textId="77777777"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b/>
          <w:bCs/>
          <w:color w:val="0D0D0D"/>
          <w:sz w:val="22"/>
          <w:szCs w:val="22"/>
        </w:rPr>
        <w:t>Caregiving:</w:t>
      </w:r>
      <w:r w:rsidRPr="00D72EA7">
        <w:rPr>
          <w:rFonts w:asciiTheme="minorHAnsi" w:hAnsiTheme="minorHAnsi" w:cstheme="minorHAnsi"/>
          <w:color w:val="0D0D0D"/>
          <w:sz w:val="22"/>
          <w:szCs w:val="22"/>
        </w:rPr>
        <w:t xml:space="preserve"> One of the primary roles of adults in child development is providing caregiving that meets the physical, emotional, and social needs of children. Caregivers play a vital role in ensuring children's safety, health, and nutrition. They create nurturing environments that promote exploration, play, and positive interactions. Responsive caregiving, characterized by warmth, sensitivity, and consistency, fosters secure attachments and emotional regulation in children (Bowlby, 1969).</w:t>
      </w:r>
    </w:p>
    <w:p w14:paraId="75D8A1FB" w14:textId="77777777"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b/>
          <w:bCs/>
          <w:color w:val="0D0D0D"/>
          <w:sz w:val="22"/>
          <w:szCs w:val="22"/>
        </w:rPr>
        <w:t>Education:</w:t>
      </w:r>
      <w:r w:rsidRPr="00D72EA7">
        <w:rPr>
          <w:rFonts w:asciiTheme="minorHAnsi" w:hAnsiTheme="minorHAnsi" w:cstheme="minorHAnsi"/>
          <w:color w:val="0D0D0D"/>
          <w:sz w:val="22"/>
          <w:szCs w:val="22"/>
        </w:rPr>
        <w:t xml:space="preserve"> Adults also play a crucial role in facilitating children's educational experiences. They serve as guides and facilitators, supporting children's learning through hands-on activities, language-rich interactions, and meaningful experiences. Educators create stimulating environments that promote curiosity, critical thinking, and problem-solving skills in children. They adapt teaching strategies to meet individual learning needs and provide opportunities for children to explore and discover their interests (Piaget, 1952).</w:t>
      </w:r>
    </w:p>
    <w:p w14:paraId="12CB124C" w14:textId="7A6E890B"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b/>
          <w:bCs/>
          <w:color w:val="0D0D0D"/>
          <w:sz w:val="22"/>
          <w:szCs w:val="22"/>
        </w:rPr>
        <w:t>Emotional Support:</w:t>
      </w:r>
      <w:r w:rsidRPr="00D72EA7">
        <w:rPr>
          <w:rFonts w:asciiTheme="minorHAnsi" w:hAnsiTheme="minorHAnsi" w:cstheme="minorHAnsi"/>
          <w:color w:val="0D0D0D"/>
          <w:sz w:val="22"/>
          <w:szCs w:val="22"/>
        </w:rPr>
        <w:t xml:space="preserve"> Another essential role of adults in child development is providing emotional support and guidance. Adults help children navigate their emotions, understand their feelings, and develop coping strategies for managing stress and adversity. They create safe and supportive spaces where children feel valued, respected, and heard. Adults model positive social </w:t>
      </w:r>
      <w:r w:rsidRPr="00D72EA7">
        <w:rPr>
          <w:rFonts w:asciiTheme="minorHAnsi" w:hAnsiTheme="minorHAnsi" w:cstheme="minorHAnsi"/>
          <w:color w:val="0D0D0D"/>
          <w:sz w:val="22"/>
          <w:szCs w:val="22"/>
        </w:rPr>
        <w:t>behaviours</w:t>
      </w:r>
      <w:r w:rsidRPr="00D72EA7">
        <w:rPr>
          <w:rFonts w:asciiTheme="minorHAnsi" w:hAnsiTheme="minorHAnsi" w:cstheme="minorHAnsi"/>
          <w:color w:val="0D0D0D"/>
          <w:sz w:val="22"/>
          <w:szCs w:val="22"/>
        </w:rPr>
        <w:t>, empathy, and conflict resolution skills, which help children develop strong social-emotional competencies (Erikson, 1963).</w:t>
      </w:r>
      <w:r w:rsidRPr="00D72EA7">
        <w:rPr>
          <w:rFonts w:asciiTheme="minorHAnsi" w:hAnsiTheme="minorHAnsi" w:cstheme="minorHAnsi"/>
          <w:color w:val="0D0D0D"/>
          <w:sz w:val="22"/>
          <w:szCs w:val="22"/>
        </w:rPr>
        <w:t xml:space="preserve"> </w:t>
      </w:r>
    </w:p>
    <w:p w14:paraId="498DFF42" w14:textId="5781A31A" w:rsidR="00D72EA7" w:rsidRPr="00D72EA7" w:rsidRDefault="00D72EA7" w:rsidP="00D72EA7">
      <w:pPr>
        <w:pStyle w:val="NormalWeb"/>
        <w:rPr>
          <w:rFonts w:asciiTheme="minorHAnsi" w:hAnsiTheme="minorHAnsi" w:cstheme="minorHAnsi"/>
          <w:color w:val="0D0D0D"/>
          <w:sz w:val="22"/>
          <w:szCs w:val="22"/>
        </w:rPr>
      </w:pPr>
      <w:r w:rsidRPr="00D72EA7">
        <w:rPr>
          <w:rFonts w:asciiTheme="minorHAnsi" w:hAnsiTheme="minorHAnsi" w:cstheme="minorHAnsi"/>
          <w:color w:val="0D0D0D"/>
          <w:sz w:val="22"/>
          <w:szCs w:val="22"/>
          <w:shd w:val="clear" w:color="auto" w:fill="FFFFFF"/>
        </w:rPr>
        <w:t>Adults</w:t>
      </w:r>
      <w:r w:rsidRPr="00D72EA7">
        <w:rPr>
          <w:rFonts w:asciiTheme="minorHAnsi" w:hAnsiTheme="minorHAnsi" w:cstheme="minorHAnsi"/>
          <w:color w:val="0D0D0D"/>
          <w:sz w:val="22"/>
          <w:szCs w:val="22"/>
          <w:shd w:val="clear" w:color="auto" w:fill="FFFFFF"/>
        </w:rPr>
        <w:t xml:space="preserve"> play integral roles in child development by providing caregiving, facilitating educational experiences, and offering emotional support. By fulfilling these roles with warmth, sensitivity, and intentionality, adults contribute to fostering children's holistic development and well-being.</w:t>
      </w:r>
    </w:p>
    <w:p w14:paraId="7F7B0A14" w14:textId="77777777" w:rsidR="00D72EA7" w:rsidRDefault="00D72EA7" w:rsidP="00D72EA7">
      <w:pPr>
        <w:pStyle w:val="NormalWeb"/>
        <w:rPr>
          <w:rFonts w:ascii="Calibri" w:hAnsi="Calibri" w:cs="Calibri"/>
          <w:color w:val="0D0D0D"/>
        </w:rPr>
      </w:pPr>
    </w:p>
    <w:p w14:paraId="70F91132" w14:textId="77777777" w:rsidR="00D72EA7" w:rsidRDefault="00D72EA7" w:rsidP="00D72EA7">
      <w:pPr>
        <w:pStyle w:val="NormalWeb"/>
        <w:rPr>
          <w:rFonts w:ascii="Calibri" w:hAnsi="Calibri" w:cs="Calibri"/>
          <w:color w:val="0D0D0D"/>
        </w:rPr>
      </w:pPr>
    </w:p>
    <w:p w14:paraId="3F1175B1" w14:textId="77777777" w:rsidR="00D72EA7" w:rsidRPr="00D72EA7" w:rsidRDefault="00D72EA7" w:rsidP="00D72EA7">
      <w:pPr>
        <w:pStyle w:val="NormalWeb"/>
        <w:rPr>
          <w:rFonts w:ascii="Calibri" w:hAnsi="Calibri" w:cs="Calibri"/>
          <w:color w:val="0D0D0D"/>
        </w:rPr>
      </w:pPr>
    </w:p>
    <w:p w14:paraId="1372FF05" w14:textId="57134DC8" w:rsidR="00D72EA7" w:rsidRDefault="00D72EA7" w:rsidP="00D72EA7">
      <w:pPr>
        <w:pStyle w:val="NormalWeb"/>
        <w:rPr>
          <w:rFonts w:ascii="Calibri" w:hAnsi="Calibri" w:cs="Calibri"/>
          <w:color w:val="0D0D0D"/>
        </w:rPr>
      </w:pPr>
    </w:p>
    <w:p w14:paraId="5CD8F30D" w14:textId="77777777" w:rsidR="00D72EA7" w:rsidRDefault="00D72EA7" w:rsidP="00D72EA7">
      <w:pPr>
        <w:pStyle w:val="NormalWeb"/>
        <w:rPr>
          <w:rFonts w:ascii="Calibri" w:hAnsi="Calibri" w:cs="Calibri"/>
          <w:color w:val="0D0D0D"/>
        </w:rPr>
      </w:pPr>
    </w:p>
    <w:p w14:paraId="036DEB9F" w14:textId="77777777" w:rsidR="00D72EA7" w:rsidRDefault="00D72EA7" w:rsidP="00D72EA7">
      <w:pPr>
        <w:pStyle w:val="NormalWeb"/>
        <w:rPr>
          <w:rFonts w:ascii="Calibri" w:hAnsi="Calibri" w:cs="Calibri"/>
          <w:color w:val="0D0D0D"/>
        </w:rPr>
      </w:pPr>
    </w:p>
    <w:p w14:paraId="603E654F" w14:textId="77777777" w:rsidR="00764298" w:rsidRDefault="00764298" w:rsidP="00D72EA7">
      <w:pPr>
        <w:pStyle w:val="NormalWeb"/>
        <w:rPr>
          <w:rFonts w:ascii="Calibri" w:hAnsi="Calibri" w:cs="Calibri"/>
          <w:color w:val="0D0D0D"/>
        </w:rPr>
      </w:pPr>
    </w:p>
    <w:p w14:paraId="0149283C" w14:textId="7F57A413" w:rsidR="00D72EA7" w:rsidRDefault="00D72EA7" w:rsidP="00D72EA7">
      <w:pPr>
        <w:pStyle w:val="NormalWeb"/>
        <w:rPr>
          <w:rFonts w:ascii="Calibri" w:hAnsi="Calibri" w:cs="Calibri"/>
          <w:color w:val="0D0D0D"/>
        </w:rPr>
      </w:pPr>
      <w:r>
        <w:rPr>
          <w:rFonts w:ascii="Calibri" w:hAnsi="Calibri" w:cs="Calibri"/>
          <w:color w:val="0D0D0D"/>
        </w:rPr>
        <w:lastRenderedPageBreak/>
        <w:t>References:</w:t>
      </w:r>
    </w:p>
    <w:p w14:paraId="31F45B8F" w14:textId="64098987" w:rsidR="00D72EA7" w:rsidRPr="00D72EA7" w:rsidRDefault="00D72EA7" w:rsidP="00D72EA7">
      <w:pPr>
        <w:pStyle w:val="NormalWeb"/>
        <w:rPr>
          <w:rFonts w:asciiTheme="minorHAnsi" w:hAnsiTheme="minorHAnsi" w:cstheme="minorHAnsi"/>
          <w:color w:val="0D0D0D"/>
          <w:sz w:val="22"/>
          <w:szCs w:val="22"/>
          <w:shd w:val="clear" w:color="auto" w:fill="FFFFFF"/>
        </w:rPr>
      </w:pPr>
      <w:r w:rsidRPr="00D72EA7">
        <w:rPr>
          <w:rFonts w:asciiTheme="minorHAnsi" w:hAnsiTheme="minorHAnsi" w:cstheme="minorHAnsi"/>
          <w:color w:val="0D0D0D"/>
          <w:sz w:val="22"/>
          <w:szCs w:val="22"/>
          <w:shd w:val="clear" w:color="auto" w:fill="FFFFFF"/>
        </w:rPr>
        <w:t>Bowlby, J. (1969). Attachment and Loss: Attachment (Vol. 1). New York: Basic Books.</w:t>
      </w:r>
    </w:p>
    <w:p w14:paraId="314745AA" w14:textId="216BD91A" w:rsidR="00D72EA7" w:rsidRPr="00D72EA7" w:rsidRDefault="00D72EA7" w:rsidP="00D72EA7">
      <w:pPr>
        <w:pStyle w:val="NormalWeb"/>
        <w:rPr>
          <w:rFonts w:asciiTheme="minorHAnsi" w:hAnsiTheme="minorHAnsi" w:cstheme="minorHAnsi"/>
          <w:color w:val="0D0D0D"/>
          <w:sz w:val="22"/>
          <w:szCs w:val="22"/>
          <w:shd w:val="clear" w:color="auto" w:fill="FFFFFF"/>
        </w:rPr>
      </w:pPr>
      <w:r w:rsidRPr="00D72EA7">
        <w:rPr>
          <w:rFonts w:asciiTheme="minorHAnsi" w:hAnsiTheme="minorHAnsi" w:cstheme="minorHAnsi"/>
          <w:color w:val="0D0D0D"/>
          <w:sz w:val="22"/>
          <w:szCs w:val="22"/>
          <w:shd w:val="clear" w:color="auto" w:fill="FFFFFF"/>
        </w:rPr>
        <w:t>Maslow, A. H. (1943). A Theory of Human Motivation. Psychological Review, 50(4), 370-396.</w:t>
      </w:r>
    </w:p>
    <w:p w14:paraId="21003748" w14:textId="77777777" w:rsidR="00D72EA7" w:rsidRPr="00D72EA7" w:rsidRDefault="00D72EA7" w:rsidP="00D72EA7">
      <w:p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eastAsia="Times New Roman" w:cstheme="minorHAnsi"/>
          <w:color w:val="000000"/>
          <w:kern w:val="0"/>
          <w:lang w:eastAsia="en-GB"/>
          <w14:ligatures w14:val="none"/>
        </w:rPr>
      </w:pPr>
      <w:r w:rsidRPr="00D72EA7">
        <w:rPr>
          <w:rFonts w:eastAsia="Times New Roman" w:cstheme="minorHAnsi"/>
          <w:color w:val="000000"/>
          <w:kern w:val="0"/>
          <w:lang w:eastAsia="en-GB"/>
          <w14:ligatures w14:val="none"/>
        </w:rPr>
        <w:t>Bronfenbrenner, U. (1979). The ecology of human development: Experiments by nature and design. Cambridge, MA: Harvard University Press.</w:t>
      </w:r>
    </w:p>
    <w:p w14:paraId="5D03E2BB" w14:textId="77777777" w:rsidR="00D72EA7" w:rsidRPr="00D72EA7" w:rsidRDefault="00D72EA7" w:rsidP="00D72EA7">
      <w:pPr>
        <w:pBdr>
          <w:top w:val="single" w:sz="2" w:space="0" w:color="E3E3E3"/>
          <w:left w:val="single" w:sz="2" w:space="5" w:color="E3E3E3"/>
          <w:bottom w:val="single" w:sz="2" w:space="0" w:color="E3E3E3"/>
          <w:right w:val="single" w:sz="2" w:space="0" w:color="E3E3E3"/>
        </w:pBdr>
        <w:shd w:val="clear" w:color="auto" w:fill="FFFFFF"/>
        <w:spacing w:after="100" w:line="240" w:lineRule="auto"/>
        <w:rPr>
          <w:rFonts w:eastAsia="Times New Roman" w:cstheme="minorHAnsi"/>
          <w:color w:val="000000"/>
          <w:kern w:val="0"/>
          <w:lang w:eastAsia="en-GB"/>
          <w14:ligatures w14:val="none"/>
        </w:rPr>
      </w:pPr>
    </w:p>
    <w:p w14:paraId="20557663" w14:textId="407B80AA" w:rsidR="00D72EA7" w:rsidRPr="00D72EA7" w:rsidRDefault="00D72EA7" w:rsidP="00D72EA7">
      <w:pPr>
        <w:pBdr>
          <w:top w:val="single" w:sz="2" w:space="0" w:color="E3E3E3"/>
          <w:left w:val="single" w:sz="2" w:space="5" w:color="E3E3E3"/>
          <w:bottom w:val="single" w:sz="2" w:space="0" w:color="E3E3E3"/>
          <w:right w:val="single" w:sz="2" w:space="0" w:color="E3E3E3"/>
        </w:pBdr>
        <w:shd w:val="clear" w:color="auto" w:fill="FFFFFF"/>
        <w:spacing w:after="100" w:line="240" w:lineRule="auto"/>
        <w:rPr>
          <w:rFonts w:eastAsia="Times New Roman" w:cstheme="minorHAnsi"/>
          <w:color w:val="000000"/>
          <w:kern w:val="0"/>
          <w:lang w:eastAsia="en-GB"/>
          <w14:ligatures w14:val="none"/>
        </w:rPr>
      </w:pPr>
      <w:r w:rsidRPr="00D72EA7">
        <w:rPr>
          <w:rFonts w:eastAsia="Times New Roman" w:cstheme="minorHAnsi"/>
          <w:color w:val="000000"/>
          <w:kern w:val="0"/>
          <w:lang w:eastAsia="en-GB"/>
          <w14:ligatures w14:val="none"/>
        </w:rPr>
        <w:t>Bronfenbrenner, U., &amp; Morris, P. A. (2006). The bioecological model of human development. In R. M. Lerner &amp; W. Damon (Eds.), Handbook of child psychology: Theoretical models of human development (pp. 793-828). Hoboken, NJ: John Wiley &amp; Sons, Inc.</w:t>
      </w:r>
    </w:p>
    <w:p w14:paraId="4E2A0C6B" w14:textId="77777777" w:rsidR="00D72EA7" w:rsidRPr="00D72EA7" w:rsidRDefault="00D72EA7" w:rsidP="00D72EA7">
      <w:pPr>
        <w:pBdr>
          <w:top w:val="single" w:sz="2" w:space="0" w:color="E3E3E3"/>
          <w:left w:val="single" w:sz="2" w:space="5" w:color="E3E3E3"/>
          <w:bottom w:val="single" w:sz="2" w:space="0" w:color="E3E3E3"/>
          <w:right w:val="single" w:sz="2" w:space="0" w:color="E3E3E3"/>
        </w:pBdr>
        <w:shd w:val="clear" w:color="auto" w:fill="FFFFFF"/>
        <w:spacing w:after="100" w:line="240" w:lineRule="auto"/>
        <w:rPr>
          <w:rFonts w:eastAsia="Times New Roman" w:cstheme="minorHAnsi"/>
          <w:color w:val="000000"/>
          <w:kern w:val="0"/>
          <w:lang w:eastAsia="en-GB"/>
          <w14:ligatures w14:val="none"/>
        </w:rPr>
      </w:pPr>
    </w:p>
    <w:p w14:paraId="1AC42CCB" w14:textId="5326E851" w:rsidR="00D72EA7" w:rsidRPr="00D72EA7" w:rsidRDefault="00D72EA7" w:rsidP="00D72EA7">
      <w:pPr>
        <w:pBdr>
          <w:top w:val="single" w:sz="2" w:space="0" w:color="E3E3E3"/>
          <w:left w:val="single" w:sz="2" w:space="5" w:color="E3E3E3"/>
          <w:bottom w:val="single" w:sz="2" w:space="0" w:color="E3E3E3"/>
          <w:right w:val="single" w:sz="2" w:space="0" w:color="E3E3E3"/>
        </w:pBdr>
        <w:shd w:val="clear" w:color="auto" w:fill="FFFFFF"/>
        <w:spacing w:after="100" w:line="240" w:lineRule="auto"/>
        <w:rPr>
          <w:rFonts w:cstheme="minorHAnsi"/>
          <w:color w:val="0D0D0D"/>
          <w:shd w:val="clear" w:color="auto" w:fill="FFFFFF"/>
        </w:rPr>
      </w:pPr>
      <w:r w:rsidRPr="00D72EA7">
        <w:rPr>
          <w:rFonts w:cstheme="minorHAnsi"/>
          <w:color w:val="0D0D0D"/>
          <w:shd w:val="clear" w:color="auto" w:fill="FFFFFF"/>
        </w:rPr>
        <w:t>B</w:t>
      </w:r>
      <w:r w:rsidRPr="00D72EA7">
        <w:rPr>
          <w:rFonts w:cstheme="minorHAnsi"/>
          <w:color w:val="0D0D0D"/>
          <w:shd w:val="clear" w:color="auto" w:fill="FFFFFF"/>
        </w:rPr>
        <w:t>erk, L. E. (2018). Development through the lifespan (7th ed.). Boston, MA: Pearson.</w:t>
      </w:r>
    </w:p>
    <w:p w14:paraId="46C04E84" w14:textId="77777777" w:rsidR="00D72EA7" w:rsidRPr="00D72EA7" w:rsidRDefault="00D72EA7" w:rsidP="00D72EA7">
      <w:pPr>
        <w:pBdr>
          <w:top w:val="single" w:sz="2" w:space="0" w:color="E3E3E3"/>
          <w:left w:val="single" w:sz="2" w:space="5" w:color="E3E3E3"/>
          <w:bottom w:val="single" w:sz="2" w:space="0" w:color="E3E3E3"/>
          <w:right w:val="single" w:sz="2" w:space="0" w:color="E3E3E3"/>
        </w:pBdr>
        <w:shd w:val="clear" w:color="auto" w:fill="FFFFFF"/>
        <w:spacing w:after="100" w:line="240" w:lineRule="auto"/>
        <w:rPr>
          <w:rFonts w:cstheme="minorHAnsi"/>
          <w:color w:val="0D0D0D"/>
          <w:shd w:val="clear" w:color="auto" w:fill="FFFFFF"/>
        </w:rPr>
      </w:pPr>
    </w:p>
    <w:p w14:paraId="08A3FFB8" w14:textId="005E5741" w:rsidR="00D72EA7" w:rsidRPr="00D72EA7" w:rsidRDefault="00D72EA7" w:rsidP="00D72EA7">
      <w:pPr>
        <w:pBdr>
          <w:top w:val="single" w:sz="2" w:space="0" w:color="E3E3E3"/>
          <w:left w:val="single" w:sz="2" w:space="5" w:color="E3E3E3"/>
          <w:bottom w:val="single" w:sz="2" w:space="0" w:color="E3E3E3"/>
          <w:right w:val="single" w:sz="2" w:space="0" w:color="E3E3E3"/>
        </w:pBdr>
        <w:shd w:val="clear" w:color="auto" w:fill="FFFFFF"/>
        <w:spacing w:after="100" w:line="240" w:lineRule="auto"/>
        <w:rPr>
          <w:rFonts w:eastAsia="Times New Roman" w:cstheme="minorHAnsi"/>
          <w:color w:val="000000"/>
          <w:kern w:val="0"/>
          <w:lang w:eastAsia="en-GB"/>
          <w14:ligatures w14:val="none"/>
        </w:rPr>
      </w:pPr>
      <w:r w:rsidRPr="00D72EA7">
        <w:rPr>
          <w:rFonts w:eastAsia="Times New Roman" w:cstheme="minorHAnsi"/>
          <w:color w:val="000000"/>
          <w:kern w:val="0"/>
          <w:lang w:eastAsia="en-GB"/>
          <w14:ligatures w14:val="none"/>
        </w:rPr>
        <w:t xml:space="preserve">Shonkoff, J. P., Garner, A. S., Siegel, B. S., Dobbins, M. I., Earls, M. F., McGuinn, L., ... &amp; Wood, D. L. (2012). The lifelong effects of early childhood adversity and toxic stress. </w:t>
      </w:r>
      <w:r w:rsidRPr="00D72EA7">
        <w:rPr>
          <w:rFonts w:eastAsia="Times New Roman" w:cstheme="minorHAnsi"/>
          <w:color w:val="000000"/>
          <w:kern w:val="0"/>
          <w:lang w:eastAsia="en-GB"/>
          <w14:ligatures w14:val="none"/>
        </w:rPr>
        <w:t>Paediatrics</w:t>
      </w:r>
      <w:r w:rsidRPr="00D72EA7">
        <w:rPr>
          <w:rFonts w:eastAsia="Times New Roman" w:cstheme="minorHAnsi"/>
          <w:color w:val="000000"/>
          <w:kern w:val="0"/>
          <w:lang w:eastAsia="en-GB"/>
          <w14:ligatures w14:val="none"/>
        </w:rPr>
        <w:t>, 129(1), e232-e246.</w:t>
      </w:r>
    </w:p>
    <w:p w14:paraId="2620FF93" w14:textId="77777777" w:rsidR="00D72EA7" w:rsidRPr="00D72EA7" w:rsidRDefault="00D72EA7" w:rsidP="00D72EA7">
      <w:pPr>
        <w:pBdr>
          <w:top w:val="single" w:sz="2" w:space="0" w:color="E3E3E3"/>
          <w:left w:val="single" w:sz="2" w:space="5" w:color="E3E3E3"/>
          <w:bottom w:val="single" w:sz="2" w:space="0" w:color="E3E3E3"/>
          <w:right w:val="single" w:sz="2" w:space="0" w:color="E3E3E3"/>
        </w:pBdr>
        <w:shd w:val="clear" w:color="auto" w:fill="FFFFFF"/>
        <w:spacing w:after="100" w:line="240" w:lineRule="auto"/>
        <w:rPr>
          <w:rFonts w:eastAsia="Times New Roman" w:cstheme="minorHAnsi"/>
          <w:color w:val="000000"/>
          <w:kern w:val="0"/>
          <w:lang w:eastAsia="en-GB"/>
          <w14:ligatures w14:val="none"/>
        </w:rPr>
      </w:pPr>
    </w:p>
    <w:p w14:paraId="6B7B07C7" w14:textId="77777777" w:rsidR="00D72EA7" w:rsidRPr="00D72EA7" w:rsidRDefault="00D72EA7" w:rsidP="00D72EA7">
      <w:p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eastAsia="Times New Roman" w:cstheme="minorHAnsi"/>
          <w:color w:val="0D0D0D"/>
          <w:kern w:val="0"/>
          <w:lang w:eastAsia="en-GB"/>
          <w14:ligatures w14:val="none"/>
        </w:rPr>
      </w:pPr>
      <w:r w:rsidRPr="00D72EA7">
        <w:rPr>
          <w:rFonts w:eastAsia="Times New Roman" w:cstheme="minorHAnsi"/>
          <w:color w:val="0D0D0D"/>
          <w:kern w:val="0"/>
          <w:lang w:eastAsia="en-GB"/>
          <w14:ligatures w14:val="none"/>
        </w:rPr>
        <w:t>Piaget, J. (1952). The Origins of Intelligence in Children. New York: International Universities Press.</w:t>
      </w:r>
    </w:p>
    <w:p w14:paraId="0A355195" w14:textId="77777777" w:rsidR="00D72EA7" w:rsidRPr="00D72EA7" w:rsidRDefault="00D72EA7" w:rsidP="00D72EA7">
      <w:p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eastAsia="Times New Roman" w:cstheme="minorHAnsi"/>
          <w:color w:val="0D0D0D"/>
          <w:kern w:val="0"/>
          <w:lang w:eastAsia="en-GB"/>
          <w14:ligatures w14:val="none"/>
        </w:rPr>
      </w:pPr>
    </w:p>
    <w:p w14:paraId="69E64A98" w14:textId="347BBE03" w:rsidR="00D72EA7" w:rsidRDefault="00D72EA7" w:rsidP="00D72EA7">
      <w:p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eastAsia="Times New Roman" w:cstheme="minorHAnsi"/>
          <w:color w:val="0D0D0D"/>
          <w:kern w:val="0"/>
          <w:lang w:eastAsia="en-GB"/>
          <w14:ligatures w14:val="none"/>
        </w:rPr>
      </w:pPr>
      <w:r w:rsidRPr="00D72EA7">
        <w:rPr>
          <w:rFonts w:eastAsia="Times New Roman" w:cstheme="minorHAnsi"/>
          <w:color w:val="0D0D0D"/>
          <w:kern w:val="0"/>
          <w:lang w:eastAsia="en-GB"/>
          <w14:ligatures w14:val="none"/>
        </w:rPr>
        <w:t>Erikson, E. H. (1963). Childhood and Society. New York: Norton &amp; Company.</w:t>
      </w:r>
    </w:p>
    <w:p w14:paraId="0225ED75" w14:textId="77777777" w:rsidR="00D72EA7" w:rsidRPr="00D72EA7" w:rsidRDefault="00D72EA7" w:rsidP="00D72EA7">
      <w:p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eastAsia="Times New Roman" w:cstheme="minorHAnsi"/>
          <w:color w:val="0D0D0D"/>
          <w:kern w:val="0"/>
          <w:lang w:eastAsia="en-GB"/>
          <w14:ligatures w14:val="none"/>
        </w:rPr>
      </w:pPr>
    </w:p>
    <w:p w14:paraId="2F7BA568" w14:textId="77777777" w:rsidR="00D72EA7" w:rsidRDefault="00D72EA7" w:rsidP="00D72EA7">
      <w:pPr>
        <w:pBdr>
          <w:top w:val="single" w:sz="2" w:space="0" w:color="E3E3E3"/>
          <w:left w:val="single" w:sz="2" w:space="5" w:color="E3E3E3"/>
          <w:bottom w:val="single" w:sz="2" w:space="0" w:color="E3E3E3"/>
          <w:right w:val="single" w:sz="2" w:space="0" w:color="E3E3E3"/>
        </w:pBdr>
        <w:shd w:val="clear" w:color="auto" w:fill="FFFFFF"/>
        <w:spacing w:after="100" w:line="240" w:lineRule="auto"/>
        <w:rPr>
          <w:rFonts w:eastAsia="Times New Roman" w:cstheme="minorHAnsi"/>
          <w:color w:val="000000"/>
          <w:kern w:val="0"/>
          <w:lang w:eastAsia="en-GB"/>
          <w14:ligatures w14:val="none"/>
        </w:rPr>
      </w:pPr>
    </w:p>
    <w:p w14:paraId="10C432EB" w14:textId="77777777" w:rsidR="00D72EA7" w:rsidRPr="00D72EA7" w:rsidRDefault="00D72EA7" w:rsidP="00D72EA7">
      <w:pPr>
        <w:pBdr>
          <w:top w:val="single" w:sz="2" w:space="0" w:color="E3E3E3"/>
          <w:left w:val="single" w:sz="2" w:space="5" w:color="E3E3E3"/>
          <w:bottom w:val="single" w:sz="2" w:space="0" w:color="E3E3E3"/>
          <w:right w:val="single" w:sz="2" w:space="0" w:color="E3E3E3"/>
        </w:pBdr>
        <w:shd w:val="clear" w:color="auto" w:fill="FFFFFF"/>
        <w:spacing w:after="100" w:line="240" w:lineRule="auto"/>
        <w:rPr>
          <w:rFonts w:eastAsia="Times New Roman" w:cstheme="minorHAnsi"/>
          <w:color w:val="000000"/>
          <w:kern w:val="0"/>
          <w:lang w:eastAsia="en-GB"/>
          <w14:ligatures w14:val="none"/>
        </w:rPr>
      </w:pPr>
    </w:p>
    <w:p w14:paraId="09AB7468" w14:textId="77777777" w:rsidR="00D72EA7" w:rsidRPr="00D72EA7" w:rsidRDefault="00D72EA7" w:rsidP="00D72EA7">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D72EA7">
        <w:rPr>
          <w:rFonts w:ascii="Arial" w:eastAsia="Times New Roman" w:hAnsi="Arial" w:cs="Arial"/>
          <w:vanish/>
          <w:kern w:val="0"/>
          <w:sz w:val="16"/>
          <w:szCs w:val="16"/>
          <w:lang w:eastAsia="en-GB"/>
          <w14:ligatures w14:val="none"/>
        </w:rPr>
        <w:t>Top of Form</w:t>
      </w:r>
    </w:p>
    <w:p w14:paraId="0F6E19E6" w14:textId="77777777" w:rsidR="00D72EA7" w:rsidRDefault="00D72EA7" w:rsidP="00D72EA7">
      <w:pPr>
        <w:pStyle w:val="NormalWeb"/>
        <w:rPr>
          <w:rFonts w:ascii="Calibri" w:hAnsi="Calibri" w:cs="Calibri"/>
          <w:color w:val="0D0D0D"/>
        </w:rPr>
      </w:pPr>
    </w:p>
    <w:p w14:paraId="71246D56" w14:textId="4DDF5F0E" w:rsidR="00D72EA7" w:rsidRPr="00D72EA7" w:rsidRDefault="00D72EA7" w:rsidP="00D72EA7">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0" w:afterAutospacing="0"/>
        <w:rPr>
          <w:rFonts w:ascii="Calibri" w:hAnsi="Calibri" w:cs="Calibri"/>
          <w:b/>
          <w:bCs/>
          <w:color w:val="0D0D0D"/>
          <w:sz w:val="22"/>
          <w:szCs w:val="22"/>
          <w:u w:val="single"/>
        </w:rPr>
      </w:pPr>
    </w:p>
    <w:p w14:paraId="1E1FC1C5" w14:textId="77777777" w:rsidR="00156498" w:rsidRPr="00156498" w:rsidRDefault="00156498" w:rsidP="00156498">
      <w:pPr>
        <w:rPr>
          <w:b/>
          <w:bCs/>
          <w:u w:val="single"/>
        </w:rPr>
      </w:pPr>
    </w:p>
    <w:sectPr w:rsidR="00156498" w:rsidRPr="001564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41219"/>
    <w:multiLevelType w:val="multilevel"/>
    <w:tmpl w:val="191C8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DAE412C"/>
    <w:multiLevelType w:val="multilevel"/>
    <w:tmpl w:val="D4729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11748991">
    <w:abstractNumId w:val="1"/>
  </w:num>
  <w:num w:numId="2" w16cid:durableId="268972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498"/>
    <w:rsid w:val="00075579"/>
    <w:rsid w:val="00156498"/>
    <w:rsid w:val="00386544"/>
    <w:rsid w:val="004F6D77"/>
    <w:rsid w:val="00764298"/>
    <w:rsid w:val="0084012A"/>
    <w:rsid w:val="00D72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60465"/>
  <w15:chartTrackingRefBased/>
  <w15:docId w15:val="{5C278B91-1138-4B12-96CD-8C534A845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72EA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72EA7"/>
    <w:rPr>
      <w:b/>
      <w:bCs/>
    </w:rPr>
  </w:style>
  <w:style w:type="paragraph" w:styleId="z-TopofForm">
    <w:name w:val="HTML Top of Form"/>
    <w:basedOn w:val="Normal"/>
    <w:next w:val="Normal"/>
    <w:link w:val="z-TopofFormChar"/>
    <w:hidden/>
    <w:uiPriority w:val="99"/>
    <w:semiHidden/>
    <w:unhideWhenUsed/>
    <w:rsid w:val="00D72EA7"/>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D72EA7"/>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75585">
      <w:bodyDiv w:val="1"/>
      <w:marLeft w:val="0"/>
      <w:marRight w:val="0"/>
      <w:marTop w:val="0"/>
      <w:marBottom w:val="0"/>
      <w:divBdr>
        <w:top w:val="none" w:sz="0" w:space="0" w:color="auto"/>
        <w:left w:val="none" w:sz="0" w:space="0" w:color="auto"/>
        <w:bottom w:val="none" w:sz="0" w:space="0" w:color="auto"/>
        <w:right w:val="none" w:sz="0" w:space="0" w:color="auto"/>
      </w:divBdr>
    </w:div>
    <w:div w:id="120923533">
      <w:bodyDiv w:val="1"/>
      <w:marLeft w:val="0"/>
      <w:marRight w:val="0"/>
      <w:marTop w:val="0"/>
      <w:marBottom w:val="0"/>
      <w:divBdr>
        <w:top w:val="none" w:sz="0" w:space="0" w:color="auto"/>
        <w:left w:val="none" w:sz="0" w:space="0" w:color="auto"/>
        <w:bottom w:val="none" w:sz="0" w:space="0" w:color="auto"/>
        <w:right w:val="none" w:sz="0" w:space="0" w:color="auto"/>
      </w:divBdr>
    </w:div>
    <w:div w:id="217474109">
      <w:bodyDiv w:val="1"/>
      <w:marLeft w:val="0"/>
      <w:marRight w:val="0"/>
      <w:marTop w:val="0"/>
      <w:marBottom w:val="0"/>
      <w:divBdr>
        <w:top w:val="none" w:sz="0" w:space="0" w:color="auto"/>
        <w:left w:val="none" w:sz="0" w:space="0" w:color="auto"/>
        <w:bottom w:val="none" w:sz="0" w:space="0" w:color="auto"/>
        <w:right w:val="none" w:sz="0" w:space="0" w:color="auto"/>
      </w:divBdr>
    </w:div>
    <w:div w:id="269240919">
      <w:bodyDiv w:val="1"/>
      <w:marLeft w:val="0"/>
      <w:marRight w:val="0"/>
      <w:marTop w:val="0"/>
      <w:marBottom w:val="0"/>
      <w:divBdr>
        <w:top w:val="none" w:sz="0" w:space="0" w:color="auto"/>
        <w:left w:val="none" w:sz="0" w:space="0" w:color="auto"/>
        <w:bottom w:val="none" w:sz="0" w:space="0" w:color="auto"/>
        <w:right w:val="none" w:sz="0" w:space="0" w:color="auto"/>
      </w:divBdr>
    </w:div>
    <w:div w:id="578636728">
      <w:bodyDiv w:val="1"/>
      <w:marLeft w:val="0"/>
      <w:marRight w:val="0"/>
      <w:marTop w:val="0"/>
      <w:marBottom w:val="0"/>
      <w:divBdr>
        <w:top w:val="none" w:sz="0" w:space="0" w:color="auto"/>
        <w:left w:val="none" w:sz="0" w:space="0" w:color="auto"/>
        <w:bottom w:val="none" w:sz="0" w:space="0" w:color="auto"/>
        <w:right w:val="none" w:sz="0" w:space="0" w:color="auto"/>
      </w:divBdr>
      <w:divsChild>
        <w:div w:id="928807957">
          <w:marLeft w:val="0"/>
          <w:marRight w:val="0"/>
          <w:marTop w:val="0"/>
          <w:marBottom w:val="0"/>
          <w:divBdr>
            <w:top w:val="single" w:sz="2" w:space="0" w:color="E3E3E3"/>
            <w:left w:val="single" w:sz="2" w:space="0" w:color="E3E3E3"/>
            <w:bottom w:val="single" w:sz="2" w:space="0" w:color="E3E3E3"/>
            <w:right w:val="single" w:sz="2" w:space="0" w:color="E3E3E3"/>
          </w:divBdr>
          <w:divsChild>
            <w:div w:id="2038461456">
              <w:marLeft w:val="0"/>
              <w:marRight w:val="0"/>
              <w:marTop w:val="0"/>
              <w:marBottom w:val="0"/>
              <w:divBdr>
                <w:top w:val="single" w:sz="2" w:space="0" w:color="E3E3E3"/>
                <w:left w:val="single" w:sz="2" w:space="0" w:color="E3E3E3"/>
                <w:bottom w:val="single" w:sz="2" w:space="0" w:color="E3E3E3"/>
                <w:right w:val="single" w:sz="2" w:space="0" w:color="E3E3E3"/>
              </w:divBdr>
              <w:divsChild>
                <w:div w:id="908267754">
                  <w:marLeft w:val="0"/>
                  <w:marRight w:val="0"/>
                  <w:marTop w:val="0"/>
                  <w:marBottom w:val="0"/>
                  <w:divBdr>
                    <w:top w:val="single" w:sz="2" w:space="0" w:color="E3E3E3"/>
                    <w:left w:val="single" w:sz="2" w:space="0" w:color="E3E3E3"/>
                    <w:bottom w:val="single" w:sz="2" w:space="0" w:color="E3E3E3"/>
                    <w:right w:val="single" w:sz="2" w:space="0" w:color="E3E3E3"/>
                  </w:divBdr>
                  <w:divsChild>
                    <w:div w:id="1818954277">
                      <w:marLeft w:val="0"/>
                      <w:marRight w:val="0"/>
                      <w:marTop w:val="0"/>
                      <w:marBottom w:val="0"/>
                      <w:divBdr>
                        <w:top w:val="single" w:sz="2" w:space="0" w:color="E3E3E3"/>
                        <w:left w:val="single" w:sz="2" w:space="0" w:color="E3E3E3"/>
                        <w:bottom w:val="single" w:sz="2" w:space="0" w:color="E3E3E3"/>
                        <w:right w:val="single" w:sz="2" w:space="0" w:color="E3E3E3"/>
                      </w:divBdr>
                      <w:divsChild>
                        <w:div w:id="1112475414">
                          <w:marLeft w:val="0"/>
                          <w:marRight w:val="0"/>
                          <w:marTop w:val="0"/>
                          <w:marBottom w:val="0"/>
                          <w:divBdr>
                            <w:top w:val="single" w:sz="2" w:space="0" w:color="E3E3E3"/>
                            <w:left w:val="single" w:sz="2" w:space="0" w:color="E3E3E3"/>
                            <w:bottom w:val="single" w:sz="2" w:space="0" w:color="E3E3E3"/>
                            <w:right w:val="single" w:sz="2" w:space="0" w:color="E3E3E3"/>
                          </w:divBdr>
                          <w:divsChild>
                            <w:div w:id="1133711563">
                              <w:marLeft w:val="0"/>
                              <w:marRight w:val="0"/>
                              <w:marTop w:val="100"/>
                              <w:marBottom w:val="100"/>
                              <w:divBdr>
                                <w:top w:val="single" w:sz="2" w:space="0" w:color="E3E3E3"/>
                                <w:left w:val="single" w:sz="2" w:space="0" w:color="E3E3E3"/>
                                <w:bottom w:val="single" w:sz="2" w:space="0" w:color="E3E3E3"/>
                                <w:right w:val="single" w:sz="2" w:space="0" w:color="E3E3E3"/>
                              </w:divBdr>
                              <w:divsChild>
                                <w:div w:id="1022518064">
                                  <w:marLeft w:val="0"/>
                                  <w:marRight w:val="0"/>
                                  <w:marTop w:val="0"/>
                                  <w:marBottom w:val="0"/>
                                  <w:divBdr>
                                    <w:top w:val="single" w:sz="2" w:space="0" w:color="E3E3E3"/>
                                    <w:left w:val="single" w:sz="2" w:space="0" w:color="E3E3E3"/>
                                    <w:bottom w:val="single" w:sz="2" w:space="0" w:color="E3E3E3"/>
                                    <w:right w:val="single" w:sz="2" w:space="0" w:color="E3E3E3"/>
                                  </w:divBdr>
                                  <w:divsChild>
                                    <w:div w:id="1683777601">
                                      <w:marLeft w:val="0"/>
                                      <w:marRight w:val="0"/>
                                      <w:marTop w:val="0"/>
                                      <w:marBottom w:val="0"/>
                                      <w:divBdr>
                                        <w:top w:val="single" w:sz="2" w:space="0" w:color="E3E3E3"/>
                                        <w:left w:val="single" w:sz="2" w:space="0" w:color="E3E3E3"/>
                                        <w:bottom w:val="single" w:sz="2" w:space="0" w:color="E3E3E3"/>
                                        <w:right w:val="single" w:sz="2" w:space="0" w:color="E3E3E3"/>
                                      </w:divBdr>
                                      <w:divsChild>
                                        <w:div w:id="180558656">
                                          <w:marLeft w:val="0"/>
                                          <w:marRight w:val="0"/>
                                          <w:marTop w:val="0"/>
                                          <w:marBottom w:val="0"/>
                                          <w:divBdr>
                                            <w:top w:val="single" w:sz="2" w:space="0" w:color="E3E3E3"/>
                                            <w:left w:val="single" w:sz="2" w:space="0" w:color="E3E3E3"/>
                                            <w:bottom w:val="single" w:sz="2" w:space="0" w:color="E3E3E3"/>
                                            <w:right w:val="single" w:sz="2" w:space="0" w:color="E3E3E3"/>
                                          </w:divBdr>
                                          <w:divsChild>
                                            <w:div w:id="280379256">
                                              <w:marLeft w:val="0"/>
                                              <w:marRight w:val="0"/>
                                              <w:marTop w:val="0"/>
                                              <w:marBottom w:val="0"/>
                                              <w:divBdr>
                                                <w:top w:val="single" w:sz="2" w:space="0" w:color="E3E3E3"/>
                                                <w:left w:val="single" w:sz="2" w:space="0" w:color="E3E3E3"/>
                                                <w:bottom w:val="single" w:sz="2" w:space="0" w:color="E3E3E3"/>
                                                <w:right w:val="single" w:sz="2" w:space="0" w:color="E3E3E3"/>
                                              </w:divBdr>
                                              <w:divsChild>
                                                <w:div w:id="670374571">
                                                  <w:marLeft w:val="0"/>
                                                  <w:marRight w:val="0"/>
                                                  <w:marTop w:val="0"/>
                                                  <w:marBottom w:val="0"/>
                                                  <w:divBdr>
                                                    <w:top w:val="single" w:sz="2" w:space="0" w:color="E3E3E3"/>
                                                    <w:left w:val="single" w:sz="2" w:space="0" w:color="E3E3E3"/>
                                                    <w:bottom w:val="single" w:sz="2" w:space="0" w:color="E3E3E3"/>
                                                    <w:right w:val="single" w:sz="2" w:space="0" w:color="E3E3E3"/>
                                                  </w:divBdr>
                                                  <w:divsChild>
                                                    <w:div w:id="16805447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83670760">
          <w:marLeft w:val="0"/>
          <w:marRight w:val="0"/>
          <w:marTop w:val="0"/>
          <w:marBottom w:val="0"/>
          <w:divBdr>
            <w:top w:val="none" w:sz="0" w:space="0" w:color="auto"/>
            <w:left w:val="none" w:sz="0" w:space="0" w:color="auto"/>
            <w:bottom w:val="none" w:sz="0" w:space="0" w:color="auto"/>
            <w:right w:val="none" w:sz="0" w:space="0" w:color="auto"/>
          </w:divBdr>
        </w:div>
      </w:divsChild>
    </w:div>
    <w:div w:id="764115090">
      <w:bodyDiv w:val="1"/>
      <w:marLeft w:val="0"/>
      <w:marRight w:val="0"/>
      <w:marTop w:val="0"/>
      <w:marBottom w:val="0"/>
      <w:divBdr>
        <w:top w:val="none" w:sz="0" w:space="0" w:color="auto"/>
        <w:left w:val="none" w:sz="0" w:space="0" w:color="auto"/>
        <w:bottom w:val="none" w:sz="0" w:space="0" w:color="auto"/>
        <w:right w:val="none" w:sz="0" w:space="0" w:color="auto"/>
      </w:divBdr>
    </w:div>
    <w:div w:id="842663755">
      <w:bodyDiv w:val="1"/>
      <w:marLeft w:val="0"/>
      <w:marRight w:val="0"/>
      <w:marTop w:val="0"/>
      <w:marBottom w:val="0"/>
      <w:divBdr>
        <w:top w:val="none" w:sz="0" w:space="0" w:color="auto"/>
        <w:left w:val="none" w:sz="0" w:space="0" w:color="auto"/>
        <w:bottom w:val="none" w:sz="0" w:space="0" w:color="auto"/>
        <w:right w:val="none" w:sz="0" w:space="0" w:color="auto"/>
      </w:divBdr>
    </w:div>
    <w:div w:id="871378469">
      <w:bodyDiv w:val="1"/>
      <w:marLeft w:val="0"/>
      <w:marRight w:val="0"/>
      <w:marTop w:val="0"/>
      <w:marBottom w:val="0"/>
      <w:divBdr>
        <w:top w:val="none" w:sz="0" w:space="0" w:color="auto"/>
        <w:left w:val="none" w:sz="0" w:space="0" w:color="auto"/>
        <w:bottom w:val="none" w:sz="0" w:space="0" w:color="auto"/>
        <w:right w:val="none" w:sz="0" w:space="0" w:color="auto"/>
      </w:divBdr>
    </w:div>
    <w:div w:id="1218590607">
      <w:bodyDiv w:val="1"/>
      <w:marLeft w:val="0"/>
      <w:marRight w:val="0"/>
      <w:marTop w:val="0"/>
      <w:marBottom w:val="0"/>
      <w:divBdr>
        <w:top w:val="none" w:sz="0" w:space="0" w:color="auto"/>
        <w:left w:val="none" w:sz="0" w:space="0" w:color="auto"/>
        <w:bottom w:val="none" w:sz="0" w:space="0" w:color="auto"/>
        <w:right w:val="none" w:sz="0" w:space="0" w:color="auto"/>
      </w:divBdr>
    </w:div>
    <w:div w:id="1282614330">
      <w:bodyDiv w:val="1"/>
      <w:marLeft w:val="0"/>
      <w:marRight w:val="0"/>
      <w:marTop w:val="0"/>
      <w:marBottom w:val="0"/>
      <w:divBdr>
        <w:top w:val="none" w:sz="0" w:space="0" w:color="auto"/>
        <w:left w:val="none" w:sz="0" w:space="0" w:color="auto"/>
        <w:bottom w:val="none" w:sz="0" w:space="0" w:color="auto"/>
        <w:right w:val="none" w:sz="0" w:space="0" w:color="auto"/>
      </w:divBdr>
    </w:div>
    <w:div w:id="1447962259">
      <w:bodyDiv w:val="1"/>
      <w:marLeft w:val="0"/>
      <w:marRight w:val="0"/>
      <w:marTop w:val="0"/>
      <w:marBottom w:val="0"/>
      <w:divBdr>
        <w:top w:val="none" w:sz="0" w:space="0" w:color="auto"/>
        <w:left w:val="none" w:sz="0" w:space="0" w:color="auto"/>
        <w:bottom w:val="none" w:sz="0" w:space="0" w:color="auto"/>
        <w:right w:val="none" w:sz="0" w:space="0" w:color="auto"/>
      </w:divBdr>
      <w:divsChild>
        <w:div w:id="2129742554">
          <w:marLeft w:val="0"/>
          <w:marRight w:val="0"/>
          <w:marTop w:val="0"/>
          <w:marBottom w:val="0"/>
          <w:divBdr>
            <w:top w:val="single" w:sz="2" w:space="0" w:color="E3E3E3"/>
            <w:left w:val="single" w:sz="2" w:space="0" w:color="E3E3E3"/>
            <w:bottom w:val="single" w:sz="2" w:space="0" w:color="E3E3E3"/>
            <w:right w:val="single" w:sz="2" w:space="0" w:color="E3E3E3"/>
          </w:divBdr>
          <w:divsChild>
            <w:div w:id="14885073">
              <w:marLeft w:val="0"/>
              <w:marRight w:val="0"/>
              <w:marTop w:val="0"/>
              <w:marBottom w:val="0"/>
              <w:divBdr>
                <w:top w:val="single" w:sz="2" w:space="0" w:color="E3E3E3"/>
                <w:left w:val="single" w:sz="2" w:space="0" w:color="E3E3E3"/>
                <w:bottom w:val="single" w:sz="2" w:space="0" w:color="E3E3E3"/>
                <w:right w:val="single" w:sz="2" w:space="0" w:color="E3E3E3"/>
              </w:divBdr>
              <w:divsChild>
                <w:div w:id="1179277949">
                  <w:marLeft w:val="0"/>
                  <w:marRight w:val="0"/>
                  <w:marTop w:val="0"/>
                  <w:marBottom w:val="0"/>
                  <w:divBdr>
                    <w:top w:val="single" w:sz="2" w:space="0" w:color="E3E3E3"/>
                    <w:left w:val="single" w:sz="2" w:space="0" w:color="E3E3E3"/>
                    <w:bottom w:val="single" w:sz="2" w:space="0" w:color="E3E3E3"/>
                    <w:right w:val="single" w:sz="2" w:space="0" w:color="E3E3E3"/>
                  </w:divBdr>
                  <w:divsChild>
                    <w:div w:id="849418430">
                      <w:marLeft w:val="0"/>
                      <w:marRight w:val="0"/>
                      <w:marTop w:val="0"/>
                      <w:marBottom w:val="0"/>
                      <w:divBdr>
                        <w:top w:val="single" w:sz="2" w:space="0" w:color="E3E3E3"/>
                        <w:left w:val="single" w:sz="2" w:space="0" w:color="E3E3E3"/>
                        <w:bottom w:val="single" w:sz="2" w:space="0" w:color="E3E3E3"/>
                        <w:right w:val="single" w:sz="2" w:space="0" w:color="E3E3E3"/>
                      </w:divBdr>
                      <w:divsChild>
                        <w:div w:id="761529522">
                          <w:marLeft w:val="0"/>
                          <w:marRight w:val="0"/>
                          <w:marTop w:val="0"/>
                          <w:marBottom w:val="0"/>
                          <w:divBdr>
                            <w:top w:val="single" w:sz="2" w:space="0" w:color="E3E3E3"/>
                            <w:left w:val="single" w:sz="2" w:space="0" w:color="E3E3E3"/>
                            <w:bottom w:val="single" w:sz="2" w:space="0" w:color="E3E3E3"/>
                            <w:right w:val="single" w:sz="2" w:space="0" w:color="E3E3E3"/>
                          </w:divBdr>
                          <w:divsChild>
                            <w:div w:id="1854144947">
                              <w:marLeft w:val="0"/>
                              <w:marRight w:val="0"/>
                              <w:marTop w:val="100"/>
                              <w:marBottom w:val="100"/>
                              <w:divBdr>
                                <w:top w:val="single" w:sz="2" w:space="0" w:color="E3E3E3"/>
                                <w:left w:val="single" w:sz="2" w:space="0" w:color="E3E3E3"/>
                                <w:bottom w:val="single" w:sz="2" w:space="0" w:color="E3E3E3"/>
                                <w:right w:val="single" w:sz="2" w:space="0" w:color="E3E3E3"/>
                              </w:divBdr>
                              <w:divsChild>
                                <w:div w:id="437599796">
                                  <w:marLeft w:val="0"/>
                                  <w:marRight w:val="0"/>
                                  <w:marTop w:val="0"/>
                                  <w:marBottom w:val="0"/>
                                  <w:divBdr>
                                    <w:top w:val="single" w:sz="2" w:space="0" w:color="E3E3E3"/>
                                    <w:left w:val="single" w:sz="2" w:space="0" w:color="E3E3E3"/>
                                    <w:bottom w:val="single" w:sz="2" w:space="0" w:color="E3E3E3"/>
                                    <w:right w:val="single" w:sz="2" w:space="0" w:color="E3E3E3"/>
                                  </w:divBdr>
                                  <w:divsChild>
                                    <w:div w:id="177040175">
                                      <w:marLeft w:val="0"/>
                                      <w:marRight w:val="0"/>
                                      <w:marTop w:val="0"/>
                                      <w:marBottom w:val="0"/>
                                      <w:divBdr>
                                        <w:top w:val="single" w:sz="2" w:space="0" w:color="E3E3E3"/>
                                        <w:left w:val="single" w:sz="2" w:space="0" w:color="E3E3E3"/>
                                        <w:bottom w:val="single" w:sz="2" w:space="0" w:color="E3E3E3"/>
                                        <w:right w:val="single" w:sz="2" w:space="0" w:color="E3E3E3"/>
                                      </w:divBdr>
                                      <w:divsChild>
                                        <w:div w:id="1413284154">
                                          <w:marLeft w:val="0"/>
                                          <w:marRight w:val="0"/>
                                          <w:marTop w:val="0"/>
                                          <w:marBottom w:val="0"/>
                                          <w:divBdr>
                                            <w:top w:val="single" w:sz="2" w:space="0" w:color="E3E3E3"/>
                                            <w:left w:val="single" w:sz="2" w:space="0" w:color="E3E3E3"/>
                                            <w:bottom w:val="single" w:sz="2" w:space="0" w:color="E3E3E3"/>
                                            <w:right w:val="single" w:sz="2" w:space="0" w:color="E3E3E3"/>
                                          </w:divBdr>
                                          <w:divsChild>
                                            <w:div w:id="1329165719">
                                              <w:marLeft w:val="0"/>
                                              <w:marRight w:val="0"/>
                                              <w:marTop w:val="0"/>
                                              <w:marBottom w:val="0"/>
                                              <w:divBdr>
                                                <w:top w:val="single" w:sz="2" w:space="0" w:color="E3E3E3"/>
                                                <w:left w:val="single" w:sz="2" w:space="0" w:color="E3E3E3"/>
                                                <w:bottom w:val="single" w:sz="2" w:space="0" w:color="E3E3E3"/>
                                                <w:right w:val="single" w:sz="2" w:space="0" w:color="E3E3E3"/>
                                              </w:divBdr>
                                              <w:divsChild>
                                                <w:div w:id="1569917114">
                                                  <w:marLeft w:val="0"/>
                                                  <w:marRight w:val="0"/>
                                                  <w:marTop w:val="0"/>
                                                  <w:marBottom w:val="0"/>
                                                  <w:divBdr>
                                                    <w:top w:val="single" w:sz="2" w:space="0" w:color="E3E3E3"/>
                                                    <w:left w:val="single" w:sz="2" w:space="0" w:color="E3E3E3"/>
                                                    <w:bottom w:val="single" w:sz="2" w:space="0" w:color="E3E3E3"/>
                                                    <w:right w:val="single" w:sz="2" w:space="0" w:color="E3E3E3"/>
                                                  </w:divBdr>
                                                  <w:divsChild>
                                                    <w:div w:id="5072540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46001707">
          <w:marLeft w:val="0"/>
          <w:marRight w:val="0"/>
          <w:marTop w:val="0"/>
          <w:marBottom w:val="0"/>
          <w:divBdr>
            <w:top w:val="none" w:sz="0" w:space="0" w:color="auto"/>
            <w:left w:val="none" w:sz="0" w:space="0" w:color="auto"/>
            <w:bottom w:val="none" w:sz="0" w:space="0" w:color="auto"/>
            <w:right w:val="none" w:sz="0" w:space="0" w:color="auto"/>
          </w:divBdr>
        </w:div>
      </w:divsChild>
    </w:div>
    <w:div w:id="1588611718">
      <w:bodyDiv w:val="1"/>
      <w:marLeft w:val="0"/>
      <w:marRight w:val="0"/>
      <w:marTop w:val="0"/>
      <w:marBottom w:val="0"/>
      <w:divBdr>
        <w:top w:val="none" w:sz="0" w:space="0" w:color="auto"/>
        <w:left w:val="none" w:sz="0" w:space="0" w:color="auto"/>
        <w:bottom w:val="none" w:sz="0" w:space="0" w:color="auto"/>
        <w:right w:val="none" w:sz="0" w:space="0" w:color="auto"/>
      </w:divBdr>
    </w:div>
    <w:div w:id="1737123413">
      <w:bodyDiv w:val="1"/>
      <w:marLeft w:val="0"/>
      <w:marRight w:val="0"/>
      <w:marTop w:val="0"/>
      <w:marBottom w:val="0"/>
      <w:divBdr>
        <w:top w:val="none" w:sz="0" w:space="0" w:color="auto"/>
        <w:left w:val="none" w:sz="0" w:space="0" w:color="auto"/>
        <w:bottom w:val="none" w:sz="0" w:space="0" w:color="auto"/>
        <w:right w:val="none" w:sz="0" w:space="0" w:color="auto"/>
      </w:divBdr>
    </w:div>
    <w:div w:id="1951623178">
      <w:bodyDiv w:val="1"/>
      <w:marLeft w:val="0"/>
      <w:marRight w:val="0"/>
      <w:marTop w:val="0"/>
      <w:marBottom w:val="0"/>
      <w:divBdr>
        <w:top w:val="none" w:sz="0" w:space="0" w:color="auto"/>
        <w:left w:val="none" w:sz="0" w:space="0" w:color="auto"/>
        <w:bottom w:val="none" w:sz="0" w:space="0" w:color="auto"/>
        <w:right w:val="none" w:sz="0" w:space="0" w:color="auto"/>
      </w:divBdr>
    </w:div>
    <w:div w:id="2047752888">
      <w:bodyDiv w:val="1"/>
      <w:marLeft w:val="0"/>
      <w:marRight w:val="0"/>
      <w:marTop w:val="0"/>
      <w:marBottom w:val="0"/>
      <w:divBdr>
        <w:top w:val="none" w:sz="0" w:space="0" w:color="auto"/>
        <w:left w:val="none" w:sz="0" w:space="0" w:color="auto"/>
        <w:bottom w:val="none" w:sz="0" w:space="0" w:color="auto"/>
        <w:right w:val="none" w:sz="0" w:space="0" w:color="auto"/>
      </w:divBdr>
      <w:divsChild>
        <w:div w:id="169878544">
          <w:marLeft w:val="0"/>
          <w:marRight w:val="0"/>
          <w:marTop w:val="0"/>
          <w:marBottom w:val="0"/>
          <w:divBdr>
            <w:top w:val="single" w:sz="2" w:space="0" w:color="E3E3E3"/>
            <w:left w:val="single" w:sz="2" w:space="0" w:color="E3E3E3"/>
            <w:bottom w:val="single" w:sz="2" w:space="0" w:color="E3E3E3"/>
            <w:right w:val="single" w:sz="2" w:space="0" w:color="E3E3E3"/>
          </w:divBdr>
          <w:divsChild>
            <w:div w:id="1386024564">
              <w:marLeft w:val="0"/>
              <w:marRight w:val="0"/>
              <w:marTop w:val="0"/>
              <w:marBottom w:val="0"/>
              <w:divBdr>
                <w:top w:val="single" w:sz="2" w:space="0" w:color="E3E3E3"/>
                <w:left w:val="single" w:sz="2" w:space="0" w:color="E3E3E3"/>
                <w:bottom w:val="single" w:sz="2" w:space="0" w:color="E3E3E3"/>
                <w:right w:val="single" w:sz="2" w:space="0" w:color="E3E3E3"/>
              </w:divBdr>
              <w:divsChild>
                <w:div w:id="1572109566">
                  <w:marLeft w:val="0"/>
                  <w:marRight w:val="0"/>
                  <w:marTop w:val="0"/>
                  <w:marBottom w:val="0"/>
                  <w:divBdr>
                    <w:top w:val="single" w:sz="2" w:space="0" w:color="E3E3E3"/>
                    <w:left w:val="single" w:sz="2" w:space="0" w:color="E3E3E3"/>
                    <w:bottom w:val="single" w:sz="2" w:space="0" w:color="E3E3E3"/>
                    <w:right w:val="single" w:sz="2" w:space="0" w:color="E3E3E3"/>
                  </w:divBdr>
                  <w:divsChild>
                    <w:div w:id="1807426945">
                      <w:marLeft w:val="0"/>
                      <w:marRight w:val="0"/>
                      <w:marTop w:val="0"/>
                      <w:marBottom w:val="0"/>
                      <w:divBdr>
                        <w:top w:val="single" w:sz="2" w:space="0" w:color="E3E3E3"/>
                        <w:left w:val="single" w:sz="2" w:space="0" w:color="E3E3E3"/>
                        <w:bottom w:val="single" w:sz="2" w:space="0" w:color="E3E3E3"/>
                        <w:right w:val="single" w:sz="2" w:space="0" w:color="E3E3E3"/>
                      </w:divBdr>
                      <w:divsChild>
                        <w:div w:id="724184573">
                          <w:marLeft w:val="0"/>
                          <w:marRight w:val="0"/>
                          <w:marTop w:val="0"/>
                          <w:marBottom w:val="0"/>
                          <w:divBdr>
                            <w:top w:val="single" w:sz="2" w:space="0" w:color="E3E3E3"/>
                            <w:left w:val="single" w:sz="2" w:space="0" w:color="E3E3E3"/>
                            <w:bottom w:val="single" w:sz="2" w:space="0" w:color="E3E3E3"/>
                            <w:right w:val="single" w:sz="2" w:space="0" w:color="E3E3E3"/>
                          </w:divBdr>
                          <w:divsChild>
                            <w:div w:id="186254891">
                              <w:marLeft w:val="0"/>
                              <w:marRight w:val="0"/>
                              <w:marTop w:val="100"/>
                              <w:marBottom w:val="100"/>
                              <w:divBdr>
                                <w:top w:val="single" w:sz="2" w:space="0" w:color="E3E3E3"/>
                                <w:left w:val="single" w:sz="2" w:space="0" w:color="E3E3E3"/>
                                <w:bottom w:val="single" w:sz="2" w:space="0" w:color="E3E3E3"/>
                                <w:right w:val="single" w:sz="2" w:space="0" w:color="E3E3E3"/>
                              </w:divBdr>
                              <w:divsChild>
                                <w:div w:id="684284304">
                                  <w:marLeft w:val="0"/>
                                  <w:marRight w:val="0"/>
                                  <w:marTop w:val="0"/>
                                  <w:marBottom w:val="0"/>
                                  <w:divBdr>
                                    <w:top w:val="single" w:sz="2" w:space="0" w:color="E3E3E3"/>
                                    <w:left w:val="single" w:sz="2" w:space="0" w:color="E3E3E3"/>
                                    <w:bottom w:val="single" w:sz="2" w:space="0" w:color="E3E3E3"/>
                                    <w:right w:val="single" w:sz="2" w:space="0" w:color="E3E3E3"/>
                                  </w:divBdr>
                                  <w:divsChild>
                                    <w:div w:id="450393651">
                                      <w:marLeft w:val="0"/>
                                      <w:marRight w:val="0"/>
                                      <w:marTop w:val="0"/>
                                      <w:marBottom w:val="0"/>
                                      <w:divBdr>
                                        <w:top w:val="single" w:sz="2" w:space="0" w:color="E3E3E3"/>
                                        <w:left w:val="single" w:sz="2" w:space="0" w:color="E3E3E3"/>
                                        <w:bottom w:val="single" w:sz="2" w:space="0" w:color="E3E3E3"/>
                                        <w:right w:val="single" w:sz="2" w:space="0" w:color="E3E3E3"/>
                                      </w:divBdr>
                                      <w:divsChild>
                                        <w:div w:id="1920098101">
                                          <w:marLeft w:val="0"/>
                                          <w:marRight w:val="0"/>
                                          <w:marTop w:val="0"/>
                                          <w:marBottom w:val="0"/>
                                          <w:divBdr>
                                            <w:top w:val="single" w:sz="2" w:space="0" w:color="E3E3E3"/>
                                            <w:left w:val="single" w:sz="2" w:space="0" w:color="E3E3E3"/>
                                            <w:bottom w:val="single" w:sz="2" w:space="0" w:color="E3E3E3"/>
                                            <w:right w:val="single" w:sz="2" w:space="0" w:color="E3E3E3"/>
                                          </w:divBdr>
                                          <w:divsChild>
                                            <w:div w:id="1747073868">
                                              <w:marLeft w:val="0"/>
                                              <w:marRight w:val="0"/>
                                              <w:marTop w:val="0"/>
                                              <w:marBottom w:val="0"/>
                                              <w:divBdr>
                                                <w:top w:val="single" w:sz="2" w:space="0" w:color="E3E3E3"/>
                                                <w:left w:val="single" w:sz="2" w:space="0" w:color="E3E3E3"/>
                                                <w:bottom w:val="single" w:sz="2" w:space="0" w:color="E3E3E3"/>
                                                <w:right w:val="single" w:sz="2" w:space="0" w:color="E3E3E3"/>
                                              </w:divBdr>
                                              <w:divsChild>
                                                <w:div w:id="237207220">
                                                  <w:marLeft w:val="0"/>
                                                  <w:marRight w:val="0"/>
                                                  <w:marTop w:val="0"/>
                                                  <w:marBottom w:val="0"/>
                                                  <w:divBdr>
                                                    <w:top w:val="single" w:sz="2" w:space="0" w:color="E3E3E3"/>
                                                    <w:left w:val="single" w:sz="2" w:space="0" w:color="E3E3E3"/>
                                                    <w:bottom w:val="single" w:sz="2" w:space="0" w:color="E3E3E3"/>
                                                    <w:right w:val="single" w:sz="2" w:space="0" w:color="E3E3E3"/>
                                                  </w:divBdr>
                                                  <w:divsChild>
                                                    <w:div w:id="11737654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488860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6</Pages>
  <Words>2497</Words>
  <Characters>14237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 (2316947)</dc:creator>
  <cp:keywords/>
  <dc:description/>
  <cp:lastModifiedBy>Mohammed Ahmed (2316947)</cp:lastModifiedBy>
  <cp:revision>2</cp:revision>
  <dcterms:created xsi:type="dcterms:W3CDTF">2024-02-18T19:54:00Z</dcterms:created>
  <dcterms:modified xsi:type="dcterms:W3CDTF">2024-02-18T20:41:00Z</dcterms:modified>
</cp:coreProperties>
</file>