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4837B6" w:rsidRDefault="004837B6" w:rsidP="004837B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Rosie Hughes</w:t>
            </w:r>
          </w:p>
          <w:p w:rsidR="004837B6" w:rsidRDefault="004837B6" w:rsidP="004837B6">
            <w:pPr>
              <w:overflowPunct/>
              <w:autoSpaceDE/>
              <w:autoSpaceDN/>
              <w:adjustRightInd/>
              <w:ind w:right="-957"/>
              <w:textAlignment w:val="auto"/>
              <w:rPr>
                <w:rFonts w:ascii="Times New Roman" w:hAnsi="Times New Roman" w:cs="Times New Roman"/>
                <w:b/>
                <w:color w:val="auto"/>
                <w:sz w:val="48"/>
              </w:rPr>
            </w:pPr>
          </w:p>
          <w:p w:rsidR="004837B6" w:rsidRDefault="004837B6" w:rsidP="004837B6">
            <w:pPr>
              <w:overflowPunct/>
              <w:textAlignment w:val="auto"/>
              <w:rPr>
                <w:rFonts w:ascii="Calibri" w:hAnsi="Calibri" w:cs="Calibri"/>
                <w:sz w:val="22"/>
                <w:szCs w:val="22"/>
              </w:rPr>
            </w:pPr>
            <w:r>
              <w:rPr>
                <w:rFonts w:ascii="Times New Roman" w:hAnsi="Times New Roman" w:cs="Times New Roman"/>
                <w:b/>
                <w:color w:val="auto"/>
                <w:sz w:val="48"/>
              </w:rPr>
              <w:t xml:space="preserve">Email address: </w:t>
            </w:r>
            <w:hyperlink r:id="rId11" w:history="1">
              <w:r w:rsidRPr="00790ED7">
                <w:rPr>
                  <w:rStyle w:val="Hyperlink"/>
                  <w:rFonts w:ascii="Times New Roman" w:hAnsi="Times New Roman" w:cs="Times New Roman"/>
                  <w:b/>
                  <w:sz w:val="48"/>
                  <w:szCs w:val="48"/>
                </w:rPr>
                <w:t>2237489@student.uwtsd.ac.uk/</w:t>
              </w:r>
            </w:hyperlink>
            <w:r>
              <w:rPr>
                <w:rFonts w:ascii="Times New Roman" w:hAnsi="Times New Roman" w:cs="Times New Roman"/>
                <w:b/>
                <w:sz w:val="48"/>
                <w:szCs w:val="48"/>
              </w:rPr>
              <w:t xml:space="preserve"> </w:t>
            </w:r>
            <w:hyperlink r:id="rId12" w:history="1">
              <w:r w:rsidRPr="00790ED7">
                <w:rPr>
                  <w:rStyle w:val="Hyperlink"/>
                  <w:rFonts w:ascii="Times New Roman" w:hAnsi="Times New Roman" w:cs="Times New Roman"/>
                  <w:b/>
                  <w:sz w:val="48"/>
                  <w:szCs w:val="48"/>
                </w:rPr>
                <w:t>rosie.hughes@wrexham.gov.uk</w:t>
              </w:r>
            </w:hyperlink>
            <w:r>
              <w:rPr>
                <w:rFonts w:ascii="Times New Roman" w:hAnsi="Times New Roman" w:cs="Times New Roman"/>
                <w:b/>
                <w:sz w:val="48"/>
                <w:szCs w:val="48"/>
              </w:rPr>
              <w:t xml:space="preserve"> </w:t>
            </w:r>
          </w:p>
          <w:p w:rsidR="004837B6" w:rsidRDefault="004837B6" w:rsidP="004837B6">
            <w:pPr>
              <w:overflowPunct/>
              <w:autoSpaceDE/>
              <w:autoSpaceDN/>
              <w:adjustRightInd/>
              <w:ind w:right="-957"/>
              <w:textAlignment w:val="auto"/>
              <w:rPr>
                <w:rFonts w:ascii="Times New Roman" w:hAnsi="Times New Roman" w:cs="Times New Roman"/>
                <w:b/>
                <w:color w:val="auto"/>
                <w:sz w:val="48"/>
              </w:rPr>
            </w:pPr>
          </w:p>
          <w:p w:rsidR="004837B6" w:rsidRPr="005D3F07" w:rsidRDefault="004837B6" w:rsidP="004837B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rsidR="004837B6" w:rsidRDefault="004837B6" w:rsidP="004837B6">
            <w:pPr>
              <w:overflowPunct/>
              <w:autoSpaceDE/>
              <w:autoSpaceDN/>
              <w:adjustRightInd/>
              <w:ind w:right="-957"/>
              <w:textAlignment w:val="auto"/>
              <w:rPr>
                <w:rFonts w:ascii="Times New Roman" w:hAnsi="Times New Roman" w:cs="Times New Roman"/>
                <w:b/>
                <w:sz w:val="48"/>
                <w:szCs w:val="48"/>
              </w:rPr>
            </w:pPr>
            <w:r w:rsidRPr="00C21922">
              <w:rPr>
                <w:rFonts w:ascii="Times New Roman" w:hAnsi="Times New Roman" w:cs="Times New Roman"/>
                <w:b/>
                <w:sz w:val="48"/>
                <w:szCs w:val="48"/>
              </w:rPr>
              <w:t>2237489</w:t>
            </w:r>
          </w:p>
          <w:p w:rsidR="004837B6" w:rsidRPr="005D3F07" w:rsidRDefault="004837B6" w:rsidP="004837B6">
            <w:pPr>
              <w:overflowPunct/>
              <w:autoSpaceDE/>
              <w:autoSpaceDN/>
              <w:adjustRightInd/>
              <w:ind w:right="-957"/>
              <w:textAlignment w:val="auto"/>
              <w:rPr>
                <w:rFonts w:ascii="Times New Roman" w:hAnsi="Times New Roman" w:cs="Times New Roman"/>
                <w:b/>
                <w:color w:val="auto"/>
                <w:sz w:val="48"/>
              </w:rPr>
            </w:pPr>
          </w:p>
          <w:p w:rsidR="0085230E" w:rsidRPr="005D3F07" w:rsidRDefault="004837B6" w:rsidP="004837B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bookmarkStart w:id="0" w:name="_GoBack"/>
            <w:bookmarkEnd w:id="0"/>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D3203C" w:rsidRDefault="00D3203C" w:rsidP="00EE5BC3">
      <w:pPr>
        <w:jc w:val="center"/>
        <w:rPr>
          <w:b/>
          <w:sz w:val="24"/>
          <w:szCs w:val="24"/>
        </w:rPr>
      </w:pPr>
    </w:p>
    <w:p w:rsidR="000D0BB6" w:rsidRPr="00EE5BC3" w:rsidRDefault="00337FEF" w:rsidP="00EE5BC3">
      <w:pPr>
        <w:jc w:val="center"/>
        <w:rPr>
          <w:b/>
          <w:sz w:val="28"/>
          <w:szCs w:val="28"/>
        </w:rPr>
      </w:pPr>
      <w:r w:rsidRPr="00EE5BC3">
        <w:rPr>
          <w:b/>
          <w:sz w:val="28"/>
          <w:szCs w:val="28"/>
        </w:rPr>
        <w:t>Task 4</w:t>
      </w:r>
    </w:p>
    <w:p w:rsidR="00002C7A" w:rsidRPr="00EE5BC3" w:rsidRDefault="00002C7A" w:rsidP="00EE5BC3">
      <w:pPr>
        <w:jc w:val="center"/>
        <w:rPr>
          <w:b/>
          <w:sz w:val="28"/>
          <w:szCs w:val="28"/>
        </w:rPr>
      </w:pPr>
    </w:p>
    <w:p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rsidR="000D0BB6" w:rsidRPr="008B28E7" w:rsidRDefault="000D0BB6" w:rsidP="00FF7EBB">
      <w:pPr>
        <w:jc w:val="both"/>
        <w:rPr>
          <w:b/>
          <w:sz w:val="24"/>
          <w:szCs w:val="24"/>
        </w:rPr>
      </w:pPr>
    </w:p>
    <w:p w:rsidR="00337FEF" w:rsidRPr="00EE5BC3" w:rsidRDefault="008B28E7" w:rsidP="00FF7EBB">
      <w:pPr>
        <w:ind w:left="-90"/>
        <w:jc w:val="both"/>
        <w:rPr>
          <w:b/>
          <w:i/>
          <w:sz w:val="24"/>
          <w:szCs w:val="24"/>
        </w:rPr>
      </w:pPr>
      <w:r w:rsidRPr="00EE5BC3">
        <w:rPr>
          <w:b/>
          <w:i/>
          <w:sz w:val="24"/>
          <w:szCs w:val="24"/>
        </w:rPr>
        <w:t xml:space="preserve">Guidance: </w:t>
      </w:r>
    </w:p>
    <w:p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Default="006108C9" w:rsidP="00FF7EBB">
            <w:pPr>
              <w:jc w:val="both"/>
              <w:rPr>
                <w:sz w:val="24"/>
                <w:szCs w:val="24"/>
              </w:rPr>
            </w:pPr>
          </w:p>
          <w:p w:rsidR="00004379" w:rsidRDefault="00004379" w:rsidP="00004379"/>
          <w:p w:rsidR="00004379" w:rsidRDefault="00004379" w:rsidP="00004379">
            <w:r>
              <w:t xml:space="preserve">The Social Services and Wellbeing (Wales) Act (2014) (SSWA) is a significant piece of legislation used within Adults Social Services. It outlines the responsibilities placed on Welsh Local Authorities (LA) it has in safeguarding Adults at risk within their communities as well as their role in promoting the well-being of these adults and highlighting the importance in prevention and early interventions. </w:t>
            </w:r>
          </w:p>
          <w:p w:rsidR="00004379" w:rsidRDefault="00004379" w:rsidP="00004379"/>
          <w:p w:rsidR="00004379" w:rsidRDefault="00004379" w:rsidP="00004379">
            <w:r>
              <w:t>The Mental Capacity Act (2005) (MCA), is also another vital piece of legislation used within Adults Social Services. The MCA is used to empower adults, who have an impairment or disturbance of the mind to make their own decisions regarding healthcare and finances as far as possible and provides the legal framework for making decisions for those who are unable to. It has five key principles being presume capacity; the right to make unwise decisions; decisions being made in the least restrictive way; decisions being made in the best interest of the individual; collaborative working with family and friends. It also provides instructions around Legal Power of Attorney, Court of Protection and Deprivation of Liberties.</w:t>
            </w:r>
          </w:p>
          <w:p w:rsidR="00004379" w:rsidRDefault="00004379" w:rsidP="00004379"/>
          <w:p w:rsidR="00004379" w:rsidRDefault="00004379" w:rsidP="00004379">
            <w:r>
              <w:t>The Mental Health Act (2005), is also used alongside other legislation. This Act explores the criteria for detention. The roles and responsibilities of the multi-disciplinary team as well as stating sections of detentions and safeguarding responsibilities.</w:t>
            </w:r>
          </w:p>
          <w:p w:rsidR="00004379" w:rsidRDefault="00004379" w:rsidP="00004379"/>
          <w:p w:rsidR="00004379" w:rsidRDefault="00004379" w:rsidP="00004379">
            <w:r>
              <w:t xml:space="preserve">The SSWA is used alongside other legislation such as the Human Rights Act 1998, which outlines an individual’s rights to life, liberty and security and LAs are expected to safeguard these rights. The Equality Act (2010) also provides further protection to protected characteristics such as age, gender, disability and require all safeguarding procedures and policies to comply with this. </w:t>
            </w:r>
          </w:p>
          <w:p w:rsidR="00004379" w:rsidRDefault="00004379" w:rsidP="00004379"/>
          <w:p w:rsidR="00004379" w:rsidRDefault="00004379" w:rsidP="00004379">
            <w:r>
              <w:t xml:space="preserve">In terms of National policies, arguably the most important of these would be the All Wales Adult Protection Policy and Procedures. These guidelines ensure a consistent approach to safeguarding across Wales and lay out the roles and responsibilities of the different agencies and lay out clear guidelines or who, when and how safeguarding referrals are made. </w:t>
            </w:r>
          </w:p>
          <w:p w:rsidR="00004379" w:rsidRDefault="00004379" w:rsidP="00004379"/>
          <w:p w:rsidR="00004379" w:rsidRDefault="00004379" w:rsidP="00004379">
            <w:r>
              <w:t xml:space="preserve">The National Service Framework for Older People in Wales is also a significant National policy and this sets out the standard for the delivery of health and social care services. </w:t>
            </w:r>
          </w:p>
          <w:p w:rsidR="00004379" w:rsidRDefault="00004379" w:rsidP="00004379"/>
          <w:p w:rsidR="00004379" w:rsidRDefault="00004379" w:rsidP="00004379">
            <w:r>
              <w:t xml:space="preserve">Looking locally at policies and procedures, the Local Safeguarding Adults Board (LSABs) are set up in each LA and these are responsible for coordinating and implementing local policies and procedures from national guidance. Given that every LA has an LSAB, they are able to tailor these to meet the specific needs of their residents. </w:t>
            </w:r>
          </w:p>
          <w:p w:rsidR="00004379" w:rsidRDefault="00004379" w:rsidP="00004379"/>
          <w:p w:rsidR="00004379" w:rsidRDefault="00004379" w:rsidP="00004379">
            <w:r>
              <w:t xml:space="preserve">Whilst every LA has a LSAB, some will also have a Multi-agency Safeguarding Hub (MASH) team, who bring together all the relevant different agencies, such as health, social care and police, together to provide a coordinated and multi-agency response to safeguarding concerns. </w:t>
            </w:r>
          </w:p>
          <w:p w:rsidR="00004379" w:rsidRDefault="00004379" w:rsidP="00004379"/>
          <w:p w:rsidR="00004379" w:rsidRDefault="00004379" w:rsidP="00004379">
            <w:r>
              <w:t>Organizational policies and procedures, can be seen within each LA and their policies and procedures they use for safeguarding purposes. These will be in line with national and local policies and procedures and allow for a more specific response to the needs of their own community. Likewise, care providers will also have their own policies and procedures.</w:t>
            </w:r>
          </w:p>
          <w:p w:rsidR="00004379" w:rsidRDefault="00004379" w:rsidP="00004379"/>
          <w:p w:rsidR="00004379" w:rsidRDefault="00004379" w:rsidP="00004379"/>
          <w:p w:rsidR="00FC0334" w:rsidRDefault="00004379" w:rsidP="00004379">
            <w:pPr>
              <w:jc w:val="right"/>
              <w:rPr>
                <w:sz w:val="24"/>
                <w:szCs w:val="24"/>
              </w:rPr>
            </w:pPr>
            <w:r>
              <w:rPr>
                <w:b/>
                <w:u w:val="single"/>
              </w:rPr>
              <w:t>510</w:t>
            </w:r>
            <w:r w:rsidRPr="005B5438">
              <w:rPr>
                <w:b/>
                <w:u w:val="single"/>
              </w:rPr>
              <w:t xml:space="preserve"> WORDS</w:t>
            </w: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Pr="006108C9" w:rsidRDefault="00FC0334" w:rsidP="00FF7EBB">
            <w:pPr>
              <w:jc w:val="both"/>
              <w:rPr>
                <w:sz w:val="24"/>
                <w:szCs w:val="24"/>
              </w:rPr>
            </w:pPr>
          </w:p>
          <w:p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rsidR="007A628F" w:rsidRPr="008B28E7" w:rsidRDefault="007A628F" w:rsidP="00FF7EBB">
            <w:pPr>
              <w:jc w:val="both"/>
              <w:rPr>
                <w:b/>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rsidTr="00FC0334">
        <w:tc>
          <w:tcPr>
            <w:tcW w:w="10278" w:type="dxa"/>
            <w:shd w:val="clear" w:color="auto" w:fill="auto"/>
          </w:tcPr>
          <w:p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rsidR="00FC0334" w:rsidRDefault="00FC0334" w:rsidP="00FC0334">
            <w:pPr>
              <w:jc w:val="both"/>
              <w:rPr>
                <w:sz w:val="24"/>
                <w:szCs w:val="24"/>
              </w:rPr>
            </w:pPr>
          </w:p>
          <w:p w:rsidR="00004379" w:rsidRDefault="00004379" w:rsidP="00004379">
            <w:r>
              <w:t xml:space="preserve">Whilst both Adults and Children’s social care work utilises the same legislation, that being the Social Services and Wellbeing Act (2014), there is a vast difference in the safeguarding framework between them. </w:t>
            </w:r>
          </w:p>
          <w:p w:rsidR="00004379" w:rsidRDefault="00004379" w:rsidP="00004379">
            <w:r>
              <w:t xml:space="preserve">The Children Act (1989) focuses on the ‘paramountcy principle’, which means that the well-being of the child must be paramount when making decisions. The voice of the child is required to be at the forefront of all decision making about their care, as prescribed in both the SSWA (2014) and CA (1989). But it must be noted that whilst children are encouraged to participate in decision making, there is no requirement that they are able to make final decisions regarding their care and welfare. </w:t>
            </w:r>
          </w:p>
          <w:p w:rsidR="00004379" w:rsidRDefault="00004379" w:rsidP="00004379"/>
          <w:p w:rsidR="00004379" w:rsidRDefault="00004379" w:rsidP="00004379">
            <w:r>
              <w:t xml:space="preserve">One main differences in safeguarding in children’s and adults social work, is that the LA are required to carry out investigations in relation to all safeguarding concerns for children. However, the SSWA (2014), notes in section 7 that LAs should take action to safeguard adults who are at risk of abuse and/or neglect. </w:t>
            </w:r>
          </w:p>
          <w:p w:rsidR="00004379" w:rsidRDefault="00004379" w:rsidP="00004379"/>
          <w:p w:rsidR="00004379" w:rsidRDefault="00004379" w:rsidP="00004379">
            <w:r>
              <w:t xml:space="preserve">LAs have a duty of care to provide investigate any safeguarding concerns and provide care and support to a child, regardless of the child and/or families willingness to engage. In part 7, section 126 of the SSWA 2014 describes an adult at risk as ‘an adult who is experiencing abuse and neglect, has needs for care and as a result of those needs, is unable to protect themselves against abuse or neglect they’re at risk for’ (SSWA, 2014). For adults, however, every effort is mad to ensure that individuals are able to make their own decisions. </w:t>
            </w:r>
          </w:p>
          <w:p w:rsidR="00004379" w:rsidRDefault="00004379" w:rsidP="00004379"/>
          <w:p w:rsidR="00004379" w:rsidRDefault="00004379" w:rsidP="00004379">
            <w:r>
              <w:t xml:space="preserve">The Mental Capacity Act (2005) (MCA) outlines its five principles that every person must be presumed to have capacity and that unwise decisions must be respected. This means an adult is able to decline any support identified in being needed to safeguard themselves and any unwise decisions must be respected unless they have an impairment or disturbance of the mind and there are concerns around their capacity. In this instance a capacity assessment must take place before the individual is required to make a decision and if they are deemed to lack capacity, </w:t>
            </w:r>
          </w:p>
          <w:p w:rsidR="00004379" w:rsidRDefault="00004379" w:rsidP="00004379"/>
          <w:p w:rsidR="00004379" w:rsidRDefault="00004379" w:rsidP="00004379">
            <w:r>
              <w:t xml:space="preserve">One of the main differences is funding and access to provisions. Whilst the LA are duty bound as stated in Part 6 of the SSWB (2014) for assessing needs, providing services and follow up with reviews to care plans. Adults, however are expected to contribute financially to any support or services they require. Part 4 of the SSWA </w:t>
            </w:r>
            <w:r>
              <w:lastRenderedPageBreak/>
              <w:t xml:space="preserve">(2014), prescribes that LA are required to conduct financial assessments, taking into account income, savings and property to determine how much they should contribute. </w:t>
            </w:r>
          </w:p>
          <w:p w:rsidR="00004379" w:rsidRDefault="00004379" w:rsidP="00004379"/>
          <w:p w:rsidR="00004379" w:rsidRDefault="00004379" w:rsidP="00004379"/>
          <w:p w:rsidR="00004379" w:rsidRPr="00004379" w:rsidRDefault="00004379" w:rsidP="00004379">
            <w:pPr>
              <w:jc w:val="right"/>
              <w:rPr>
                <w:b/>
                <w:sz w:val="24"/>
                <w:szCs w:val="24"/>
                <w:u w:val="single"/>
              </w:rPr>
            </w:pPr>
            <w:r w:rsidRPr="00004379">
              <w:rPr>
                <w:b/>
                <w:sz w:val="24"/>
                <w:szCs w:val="24"/>
                <w:u w:val="single"/>
              </w:rPr>
              <w:t>440 words</w:t>
            </w: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Pr="006108C9" w:rsidRDefault="00FC0334" w:rsidP="00FC0334">
            <w:pPr>
              <w:jc w:val="both"/>
              <w:rPr>
                <w:sz w:val="24"/>
                <w:szCs w:val="24"/>
              </w:rPr>
            </w:pPr>
          </w:p>
          <w:p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rsidR="00FC0334" w:rsidRPr="006108C9" w:rsidRDefault="00FC0334" w:rsidP="00FC0334">
            <w:pPr>
              <w:jc w:val="both"/>
              <w:rPr>
                <w:sz w:val="24"/>
                <w:szCs w:val="24"/>
              </w:rPr>
            </w:pPr>
          </w:p>
        </w:tc>
      </w:tr>
    </w:tbl>
    <w:p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B7B" w:rsidRDefault="003A3B7B">
      <w:r>
        <w:separator/>
      </w:r>
    </w:p>
  </w:endnote>
  <w:endnote w:type="continuationSeparator" w:id="0">
    <w:p w:rsidR="003A3B7B" w:rsidRDefault="003A3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4837B6">
      <w:rPr>
        <w:noProof/>
      </w:rPr>
      <w:t>5</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B7B" w:rsidRDefault="003A3B7B">
      <w:r>
        <w:separator/>
      </w:r>
    </w:p>
  </w:footnote>
  <w:footnote w:type="continuationSeparator" w:id="0">
    <w:p w:rsidR="003A3B7B" w:rsidRDefault="003A3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BE06AD"/>
    <w:multiLevelType w:val="hybridMultilevel"/>
    <w:tmpl w:val="7398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1"/>
  </w:num>
  <w:num w:numId="53">
    <w:abstractNumId w:val="2"/>
  </w:num>
  <w:num w:numId="54">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379"/>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5DE6"/>
    <w:rsid w:val="001961CF"/>
    <w:rsid w:val="001A59BB"/>
    <w:rsid w:val="001A607E"/>
    <w:rsid w:val="001A6A51"/>
    <w:rsid w:val="001A79C4"/>
    <w:rsid w:val="001B331A"/>
    <w:rsid w:val="001C0237"/>
    <w:rsid w:val="001C0E74"/>
    <w:rsid w:val="001C4DB8"/>
    <w:rsid w:val="001C50B8"/>
    <w:rsid w:val="001D229F"/>
    <w:rsid w:val="001E2EB6"/>
    <w:rsid w:val="001F4552"/>
    <w:rsid w:val="001F5B21"/>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1AC"/>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B7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37B6"/>
    <w:rsid w:val="00484CE3"/>
    <w:rsid w:val="00487BB0"/>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D12"/>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74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FA1"/>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6E5B"/>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94D12"/>
    <w:pPr>
      <w:ind w:left="720"/>
      <w:contextualSpacing/>
    </w:pPr>
  </w:style>
  <w:style w:type="paragraph" w:customStyle="1" w:styleId="Default">
    <w:name w:val="Default"/>
    <w:rsid w:val="00594D12"/>
    <w:pPr>
      <w:autoSpaceDE w:val="0"/>
      <w:autoSpaceDN w:val="0"/>
      <w:adjustRightInd w:val="0"/>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756562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osie.hughes@wrexham.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37489@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C9F4E9-98C1-4B69-BB0F-0245AD8B8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Pages>
  <Words>1156</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Rosie Hughes</cp:lastModifiedBy>
  <cp:revision>6</cp:revision>
  <cp:lastPrinted>2024-02-05T15:25:00Z</cp:lastPrinted>
  <dcterms:created xsi:type="dcterms:W3CDTF">2024-02-05T16:12:00Z</dcterms:created>
  <dcterms:modified xsi:type="dcterms:W3CDTF">2024-10-03T12:04:00Z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