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CAD5D" w14:textId="77777777" w:rsidR="00717080" w:rsidRDefault="00717080" w:rsidP="00717080">
      <w:pPr>
        <w:jc w:val="center"/>
        <w:rPr>
          <w:rFonts w:ascii="Arial" w:hAnsi="Arial" w:cs="Arial"/>
          <w:b/>
          <w:bCs/>
        </w:rPr>
      </w:pPr>
    </w:p>
    <w:p w14:paraId="293BAEA3" w14:textId="77777777" w:rsidR="00D51D91" w:rsidRPr="00D51D91" w:rsidRDefault="00D51D91" w:rsidP="00D51D91">
      <w:pPr>
        <w:spacing w:line="360" w:lineRule="auto"/>
        <w:jc w:val="center"/>
        <w:rPr>
          <w:rFonts w:ascii="Times New Roman" w:hAnsi="Times New Roman"/>
          <w:kern w:val="0"/>
          <w:szCs w:val="22"/>
          <w14:ligatures w14:val="none"/>
        </w:rPr>
      </w:pPr>
      <w:r w:rsidRPr="00D51D91">
        <w:rPr>
          <w:rFonts w:ascii="Arial" w:hAnsi="Arial" w:cs="Arial"/>
          <w:b/>
          <w:bCs/>
          <w:noProof/>
          <w:kern w:val="0"/>
          <w:szCs w:val="22"/>
          <w14:ligatures w14:val="none"/>
        </w:rPr>
        <w:drawing>
          <wp:inline distT="0" distB="0" distL="0" distR="0" wp14:anchorId="2D4B0779" wp14:editId="326A8466">
            <wp:extent cx="3284220" cy="16078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84220" cy="1607820"/>
                    </a:xfrm>
                    <a:prstGeom prst="rect">
                      <a:avLst/>
                    </a:prstGeom>
                  </pic:spPr>
                </pic:pic>
              </a:graphicData>
            </a:graphic>
          </wp:inline>
        </w:drawing>
      </w:r>
    </w:p>
    <w:p w14:paraId="71A75B2F" w14:textId="77777777" w:rsidR="00D51D91" w:rsidRPr="00D51D91" w:rsidRDefault="00D51D91" w:rsidP="00D51D91">
      <w:pPr>
        <w:spacing w:line="360" w:lineRule="auto"/>
        <w:jc w:val="center"/>
        <w:rPr>
          <w:rFonts w:ascii="Arial" w:hAnsi="Arial" w:cs="Arial"/>
          <w:kern w:val="0"/>
          <w:szCs w:val="22"/>
          <w14:ligatures w14:val="none"/>
        </w:rPr>
      </w:pPr>
    </w:p>
    <w:p w14:paraId="3C620E37" w14:textId="77777777" w:rsidR="00D51D91" w:rsidRPr="00D51D91" w:rsidRDefault="00D51D91" w:rsidP="00D51D91">
      <w:pPr>
        <w:spacing w:line="360" w:lineRule="auto"/>
        <w:jc w:val="both"/>
        <w:rPr>
          <w:rFonts w:ascii="Arial" w:hAnsi="Arial" w:cs="Arial"/>
          <w:kern w:val="0"/>
          <w:sz w:val="28"/>
          <w:szCs w:val="28"/>
          <w14:ligatures w14:val="none"/>
        </w:rPr>
      </w:pPr>
      <w:r w:rsidRPr="00D51D91">
        <w:rPr>
          <w:rFonts w:ascii="Arial" w:hAnsi="Arial" w:cs="Arial"/>
          <w:kern w:val="0"/>
          <w:sz w:val="28"/>
          <w:szCs w:val="28"/>
          <w14:ligatures w14:val="none"/>
        </w:rPr>
        <w:t>Programme Name: Master of Business Administration</w:t>
      </w:r>
    </w:p>
    <w:p w14:paraId="18C81C70" w14:textId="77777777" w:rsidR="00D51D91" w:rsidRPr="00D51D91" w:rsidRDefault="00D51D91" w:rsidP="00D51D91">
      <w:pPr>
        <w:spacing w:line="360" w:lineRule="auto"/>
        <w:jc w:val="both"/>
        <w:rPr>
          <w:rFonts w:ascii="Arial" w:hAnsi="Arial" w:cs="Arial"/>
          <w:kern w:val="0"/>
          <w:sz w:val="28"/>
          <w:szCs w:val="28"/>
          <w14:ligatures w14:val="none"/>
        </w:rPr>
      </w:pPr>
      <w:r w:rsidRPr="00D51D91">
        <w:rPr>
          <w:rFonts w:ascii="Arial" w:hAnsi="Arial" w:cs="Arial"/>
          <w:kern w:val="0"/>
          <w:sz w:val="28"/>
          <w:szCs w:val="28"/>
          <w14:ligatures w14:val="none"/>
        </w:rPr>
        <w:t>Module Code: LCMB7023</w:t>
      </w:r>
    </w:p>
    <w:p w14:paraId="4FF7C0F7" w14:textId="77777777" w:rsidR="00D51D91" w:rsidRPr="00D51D91" w:rsidRDefault="00D51D91" w:rsidP="00D51D91">
      <w:pPr>
        <w:spacing w:line="360" w:lineRule="auto"/>
        <w:jc w:val="both"/>
        <w:rPr>
          <w:rFonts w:ascii="Arial" w:hAnsi="Arial" w:cs="Arial"/>
          <w:kern w:val="0"/>
          <w:sz w:val="28"/>
          <w:szCs w:val="28"/>
          <w14:ligatures w14:val="none"/>
        </w:rPr>
      </w:pPr>
      <w:r w:rsidRPr="00D51D91">
        <w:rPr>
          <w:rFonts w:ascii="Arial" w:hAnsi="Arial" w:cs="Arial"/>
          <w:kern w:val="0"/>
          <w:sz w:val="28"/>
          <w:szCs w:val="28"/>
          <w14:ligatures w14:val="none"/>
        </w:rPr>
        <w:t>Module Title: Human Capital Management</w:t>
      </w:r>
    </w:p>
    <w:p w14:paraId="6EB29A1F" w14:textId="77777777" w:rsidR="00D51D91" w:rsidRPr="00D51D91" w:rsidRDefault="00D51D91" w:rsidP="00D51D91">
      <w:pPr>
        <w:spacing w:line="360" w:lineRule="auto"/>
        <w:jc w:val="both"/>
        <w:rPr>
          <w:rFonts w:ascii="Arial" w:hAnsi="Arial" w:cs="Arial"/>
          <w:kern w:val="0"/>
          <w:sz w:val="28"/>
          <w:szCs w:val="28"/>
          <w14:ligatures w14:val="none"/>
        </w:rPr>
      </w:pPr>
      <w:r w:rsidRPr="00D51D91">
        <w:rPr>
          <w:rFonts w:ascii="Arial" w:hAnsi="Arial" w:cs="Arial"/>
          <w:kern w:val="0"/>
          <w:sz w:val="28"/>
          <w:szCs w:val="28"/>
          <w14:ligatures w14:val="none"/>
        </w:rPr>
        <w:t>Title: The Influence of National and International Labor Markets on HRM and IHRM Strategies</w:t>
      </w:r>
    </w:p>
    <w:p w14:paraId="54CF81A9" w14:textId="77777777" w:rsidR="00D51D91" w:rsidRPr="00D51D91" w:rsidRDefault="00D51D91" w:rsidP="00D51D91">
      <w:pPr>
        <w:spacing w:line="360" w:lineRule="auto"/>
        <w:jc w:val="both"/>
        <w:rPr>
          <w:rFonts w:ascii="Arial" w:hAnsi="Arial" w:cs="Arial"/>
          <w:kern w:val="0"/>
          <w:sz w:val="28"/>
          <w:szCs w:val="28"/>
          <w14:ligatures w14:val="none"/>
        </w:rPr>
      </w:pPr>
      <w:r w:rsidRPr="00D51D91">
        <w:rPr>
          <w:rFonts w:ascii="Arial" w:hAnsi="Arial" w:cs="Arial"/>
          <w:kern w:val="0"/>
          <w:sz w:val="28"/>
          <w:szCs w:val="28"/>
          <w14:ligatures w14:val="none"/>
        </w:rPr>
        <w:t>Lecturer Name: Ejike Udeogu</w:t>
      </w:r>
    </w:p>
    <w:p w14:paraId="37AE0789" w14:textId="1928BACE" w:rsidR="00D51D91" w:rsidRPr="00D51D91" w:rsidRDefault="00D51D91" w:rsidP="00D51D91">
      <w:pPr>
        <w:spacing w:line="360" w:lineRule="auto"/>
        <w:jc w:val="both"/>
        <w:rPr>
          <w:rFonts w:ascii="Arial" w:hAnsi="Arial" w:cs="Arial"/>
          <w:kern w:val="0"/>
          <w:sz w:val="28"/>
          <w:szCs w:val="28"/>
          <w14:ligatures w14:val="none"/>
        </w:rPr>
      </w:pPr>
      <w:r w:rsidRPr="00D51D91">
        <w:rPr>
          <w:rFonts w:ascii="Arial" w:hAnsi="Arial" w:cs="Arial"/>
          <w:kern w:val="0"/>
          <w:sz w:val="28"/>
          <w:szCs w:val="28"/>
          <w14:ligatures w14:val="none"/>
        </w:rPr>
        <w:t>Student Name: Himadhri Bardhan Dhrubo</w:t>
      </w:r>
    </w:p>
    <w:p w14:paraId="2A63F620" w14:textId="362D4736" w:rsidR="00D51D91" w:rsidRPr="00D51D91" w:rsidRDefault="00D51D91" w:rsidP="00D51D91">
      <w:pPr>
        <w:spacing w:line="360" w:lineRule="auto"/>
        <w:jc w:val="both"/>
        <w:rPr>
          <w:rFonts w:ascii="Arial" w:hAnsi="Arial" w:cs="Arial"/>
          <w:kern w:val="0"/>
          <w:sz w:val="28"/>
          <w:szCs w:val="28"/>
          <w14:ligatures w14:val="none"/>
        </w:rPr>
      </w:pPr>
      <w:r w:rsidRPr="00D51D91">
        <w:rPr>
          <w:rFonts w:ascii="Arial" w:hAnsi="Arial" w:cs="Arial"/>
          <w:kern w:val="0"/>
          <w:sz w:val="28"/>
          <w:szCs w:val="28"/>
          <w14:ligatures w14:val="none"/>
        </w:rPr>
        <w:t>Student ID: 2505914</w:t>
      </w:r>
    </w:p>
    <w:p w14:paraId="57E5FDEB" w14:textId="07B88234" w:rsidR="00D51D91" w:rsidRPr="00D51D91" w:rsidRDefault="00D51D91" w:rsidP="00D51D91">
      <w:pPr>
        <w:spacing w:line="360" w:lineRule="auto"/>
        <w:jc w:val="both"/>
        <w:rPr>
          <w:rFonts w:ascii="Arial" w:hAnsi="Arial" w:cs="Arial"/>
          <w:kern w:val="0"/>
          <w:sz w:val="28"/>
          <w:szCs w:val="28"/>
          <w14:ligatures w14:val="none"/>
        </w:rPr>
      </w:pPr>
      <w:r w:rsidRPr="00D51D91">
        <w:rPr>
          <w:rFonts w:ascii="Arial" w:hAnsi="Arial" w:cs="Arial"/>
          <w:kern w:val="0"/>
          <w:sz w:val="28"/>
          <w:szCs w:val="28"/>
          <w14:ligatures w14:val="none"/>
        </w:rPr>
        <w:t xml:space="preserve">Submission Date: 16th </w:t>
      </w:r>
      <w:r w:rsidR="00AA066E">
        <w:rPr>
          <w:rFonts w:ascii="Arial" w:hAnsi="Arial" w:cs="Arial"/>
          <w:kern w:val="0"/>
          <w:sz w:val="28"/>
          <w:szCs w:val="28"/>
          <w14:ligatures w14:val="none"/>
        </w:rPr>
        <w:t>October</w:t>
      </w:r>
      <w:r w:rsidRPr="00D51D91">
        <w:rPr>
          <w:rFonts w:ascii="Arial" w:hAnsi="Arial" w:cs="Arial"/>
          <w:kern w:val="0"/>
          <w:sz w:val="28"/>
          <w:szCs w:val="28"/>
          <w14:ligatures w14:val="none"/>
        </w:rPr>
        <w:t xml:space="preserve"> 2025</w:t>
      </w:r>
    </w:p>
    <w:p w14:paraId="551388B3" w14:textId="77777777" w:rsidR="00717080" w:rsidRDefault="00717080" w:rsidP="00717080">
      <w:pPr>
        <w:jc w:val="center"/>
        <w:rPr>
          <w:rFonts w:ascii="Arial" w:hAnsi="Arial" w:cs="Arial"/>
          <w:b/>
          <w:bCs/>
        </w:rPr>
      </w:pPr>
    </w:p>
    <w:p w14:paraId="6970128B" w14:textId="77777777" w:rsidR="00717080" w:rsidRDefault="00717080" w:rsidP="00717080">
      <w:pPr>
        <w:jc w:val="center"/>
        <w:rPr>
          <w:rFonts w:ascii="Arial" w:hAnsi="Arial" w:cs="Arial"/>
          <w:b/>
          <w:bCs/>
        </w:rPr>
      </w:pPr>
    </w:p>
    <w:p w14:paraId="0B843E55" w14:textId="77777777" w:rsidR="00717080" w:rsidRDefault="00717080" w:rsidP="00717080">
      <w:pPr>
        <w:jc w:val="center"/>
        <w:rPr>
          <w:rFonts w:ascii="Arial" w:hAnsi="Arial" w:cs="Arial"/>
          <w:b/>
          <w:bCs/>
        </w:rPr>
      </w:pPr>
    </w:p>
    <w:p w14:paraId="6B580291" w14:textId="77777777" w:rsidR="00717080" w:rsidRDefault="00717080" w:rsidP="00717080">
      <w:pPr>
        <w:jc w:val="center"/>
        <w:rPr>
          <w:rFonts w:ascii="Arial" w:hAnsi="Arial" w:cs="Arial"/>
          <w:b/>
          <w:bCs/>
        </w:rPr>
      </w:pPr>
    </w:p>
    <w:p w14:paraId="2A675DA7" w14:textId="77777777" w:rsidR="00717080" w:rsidRDefault="00717080" w:rsidP="00717080">
      <w:pPr>
        <w:jc w:val="center"/>
        <w:rPr>
          <w:rFonts w:ascii="Arial" w:hAnsi="Arial" w:cs="Arial"/>
          <w:b/>
          <w:bCs/>
        </w:rPr>
      </w:pPr>
    </w:p>
    <w:p w14:paraId="5A809593" w14:textId="77777777" w:rsidR="00717080" w:rsidRDefault="00717080" w:rsidP="00717080">
      <w:pPr>
        <w:jc w:val="center"/>
        <w:rPr>
          <w:rFonts w:ascii="Arial" w:hAnsi="Arial" w:cs="Arial"/>
          <w:b/>
          <w:bCs/>
        </w:rPr>
      </w:pPr>
    </w:p>
    <w:p w14:paraId="511A6CBA" w14:textId="4669E3A2" w:rsidR="00717080" w:rsidRDefault="00717080">
      <w:pPr>
        <w:rPr>
          <w:b/>
          <w:bCs/>
        </w:rPr>
      </w:pPr>
    </w:p>
    <w:sdt>
      <w:sdtPr>
        <w:rPr>
          <w:rFonts w:asciiTheme="minorHAnsi" w:eastAsiaTheme="minorHAnsi" w:hAnsiTheme="minorHAnsi" w:cstheme="minorBidi"/>
          <w:color w:val="auto"/>
          <w:kern w:val="2"/>
          <w:sz w:val="24"/>
          <w:szCs w:val="24"/>
          <w14:ligatures w14:val="standardContextual"/>
        </w:rPr>
        <w:id w:val="-564340055"/>
        <w:docPartObj>
          <w:docPartGallery w:val="Table of Contents"/>
          <w:docPartUnique/>
        </w:docPartObj>
      </w:sdtPr>
      <w:sdtEndPr>
        <w:rPr>
          <w:b/>
          <w:bCs/>
          <w:noProof/>
        </w:rPr>
      </w:sdtEndPr>
      <w:sdtContent>
        <w:p w14:paraId="7DC9EF69" w14:textId="77777777" w:rsidR="00236238" w:rsidRPr="00175982" w:rsidRDefault="00236238">
          <w:pPr>
            <w:pStyle w:val="TOCHeading"/>
            <w:rPr>
              <w:b/>
              <w:bCs/>
            </w:rPr>
          </w:pPr>
          <w:r w:rsidRPr="00175982">
            <w:rPr>
              <w:b/>
              <w:bCs/>
            </w:rPr>
            <w:t>Table of Contents</w:t>
          </w:r>
        </w:p>
        <w:p w14:paraId="46F2992A" w14:textId="1F7774EF" w:rsidR="00175982" w:rsidRPr="00175982" w:rsidRDefault="00236238">
          <w:pPr>
            <w:pStyle w:val="TOC1"/>
            <w:tabs>
              <w:tab w:val="right" w:leader="dot" w:pos="9350"/>
            </w:tabs>
            <w:rPr>
              <w:rFonts w:ascii="Arial" w:eastAsiaTheme="minorEastAsia" w:hAnsi="Arial" w:cs="Arial"/>
              <w:noProof/>
            </w:rPr>
          </w:pPr>
          <w:r>
            <w:fldChar w:fldCharType="begin"/>
          </w:r>
          <w:r>
            <w:instrText xml:space="preserve"> TOC \o "1-3" \h \z \u </w:instrText>
          </w:r>
          <w:r>
            <w:fldChar w:fldCharType="separate"/>
          </w:r>
          <w:hyperlink w:anchor="_Toc211434144" w:history="1">
            <w:r w:rsidR="00175982" w:rsidRPr="00175982">
              <w:rPr>
                <w:rStyle w:val="Hyperlink"/>
                <w:rFonts w:ascii="Arial" w:hAnsi="Arial" w:cs="Arial"/>
                <w:noProof/>
              </w:rPr>
              <w:t>Introduction</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_Toc211434144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3</w:t>
            </w:r>
            <w:r w:rsidR="00175982" w:rsidRPr="00175982">
              <w:rPr>
                <w:rFonts w:ascii="Arial" w:hAnsi="Arial" w:cs="Arial"/>
                <w:noProof/>
                <w:webHidden/>
              </w:rPr>
              <w:fldChar w:fldCharType="end"/>
            </w:r>
          </w:hyperlink>
        </w:p>
        <w:p w14:paraId="63EAAA36" w14:textId="209065B7" w:rsidR="00175982" w:rsidRPr="00175982" w:rsidRDefault="006B5110">
          <w:pPr>
            <w:pStyle w:val="TOC1"/>
            <w:tabs>
              <w:tab w:val="right" w:leader="dot" w:pos="9350"/>
            </w:tabs>
            <w:rPr>
              <w:rFonts w:ascii="Arial" w:eastAsiaTheme="minorEastAsia" w:hAnsi="Arial" w:cs="Arial"/>
              <w:noProof/>
            </w:rPr>
          </w:pPr>
          <w:hyperlink w:anchor="_Toc211434145" w:history="1">
            <w:r w:rsidR="00175982" w:rsidRPr="00175982">
              <w:rPr>
                <w:rStyle w:val="Hyperlink"/>
                <w:rFonts w:ascii="Arial" w:hAnsi="Arial" w:cs="Arial"/>
                <w:noProof/>
              </w:rPr>
              <w:t>1. Technological Advancements and Their Implications for HRM and IHRM</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_Toc211434145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3</w:t>
            </w:r>
            <w:r w:rsidR="00175982" w:rsidRPr="00175982">
              <w:rPr>
                <w:rFonts w:ascii="Arial" w:hAnsi="Arial" w:cs="Arial"/>
                <w:noProof/>
                <w:webHidden/>
              </w:rPr>
              <w:fldChar w:fldCharType="end"/>
            </w:r>
          </w:hyperlink>
        </w:p>
        <w:p w14:paraId="3C90BE2C" w14:textId="785FA9DB" w:rsidR="00175982" w:rsidRPr="00175982" w:rsidRDefault="006B5110">
          <w:pPr>
            <w:pStyle w:val="TOC2"/>
            <w:tabs>
              <w:tab w:val="right" w:leader="dot" w:pos="9350"/>
            </w:tabs>
            <w:rPr>
              <w:rFonts w:ascii="Arial" w:eastAsiaTheme="minorEastAsia" w:hAnsi="Arial" w:cs="Arial"/>
              <w:noProof/>
            </w:rPr>
          </w:pPr>
          <w:hyperlink w:anchor="_Toc211434146" w:history="1">
            <w:r w:rsidR="00175982" w:rsidRPr="00175982">
              <w:rPr>
                <w:rStyle w:val="Hyperlink"/>
                <w:rFonts w:ascii="Arial" w:hAnsi="Arial" w:cs="Arial"/>
                <w:noProof/>
              </w:rPr>
              <w:t>1.1 Reshaping Labor Markets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_Toc211434146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3</w:t>
            </w:r>
            <w:r w:rsidR="00175982" w:rsidRPr="00175982">
              <w:rPr>
                <w:rFonts w:ascii="Arial" w:hAnsi="Arial" w:cs="Arial"/>
                <w:noProof/>
                <w:webHidden/>
              </w:rPr>
              <w:fldChar w:fldCharType="end"/>
            </w:r>
          </w:hyperlink>
        </w:p>
        <w:p w14:paraId="17DC6EAF" w14:textId="024B21DE" w:rsidR="00175982" w:rsidRPr="00175982" w:rsidRDefault="006B5110">
          <w:pPr>
            <w:pStyle w:val="TOC2"/>
            <w:tabs>
              <w:tab w:val="right" w:leader="dot" w:pos="9350"/>
            </w:tabs>
            <w:rPr>
              <w:rFonts w:ascii="Arial" w:eastAsiaTheme="minorEastAsia" w:hAnsi="Arial" w:cs="Arial"/>
              <w:noProof/>
            </w:rPr>
          </w:pPr>
          <w:hyperlink w:anchor="_Toc211434147" w:history="1">
            <w:r w:rsidR="00175982" w:rsidRPr="00175982">
              <w:rPr>
                <w:rStyle w:val="Hyperlink"/>
                <w:rFonts w:ascii="Arial" w:hAnsi="Arial" w:cs="Arial"/>
                <w:noProof/>
              </w:rPr>
              <w:t>1.2 Implications for HRM and IHRM</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_Toc211434147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4</w:t>
            </w:r>
            <w:r w:rsidR="00175982" w:rsidRPr="00175982">
              <w:rPr>
                <w:rFonts w:ascii="Arial" w:hAnsi="Arial" w:cs="Arial"/>
                <w:noProof/>
                <w:webHidden/>
              </w:rPr>
              <w:fldChar w:fldCharType="end"/>
            </w:r>
          </w:hyperlink>
        </w:p>
        <w:p w14:paraId="7E8EFB19" w14:textId="2E8A59D9" w:rsidR="00175982" w:rsidRPr="00175982" w:rsidRDefault="006B5110">
          <w:pPr>
            <w:pStyle w:val="TOC2"/>
            <w:tabs>
              <w:tab w:val="right" w:leader="dot" w:pos="9350"/>
            </w:tabs>
            <w:rPr>
              <w:rFonts w:ascii="Arial" w:eastAsiaTheme="minorEastAsia" w:hAnsi="Arial" w:cs="Arial"/>
              <w:noProof/>
            </w:rPr>
          </w:pPr>
          <w:hyperlink w:anchor="_Toc211434148" w:history="1">
            <w:r w:rsidR="00175982" w:rsidRPr="00175982">
              <w:rPr>
                <w:rStyle w:val="Hyperlink"/>
                <w:rFonts w:ascii="Arial" w:hAnsi="Arial" w:cs="Arial"/>
                <w:noProof/>
              </w:rPr>
              <w:t>1.3 Strategic Outlook</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_Toc211434148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5</w:t>
            </w:r>
            <w:r w:rsidR="00175982" w:rsidRPr="00175982">
              <w:rPr>
                <w:rFonts w:ascii="Arial" w:hAnsi="Arial" w:cs="Arial"/>
                <w:noProof/>
                <w:webHidden/>
              </w:rPr>
              <w:fldChar w:fldCharType="end"/>
            </w:r>
          </w:hyperlink>
        </w:p>
        <w:p w14:paraId="4E43F1E1" w14:textId="48DCC255" w:rsidR="00175982" w:rsidRPr="00175982" w:rsidRDefault="006B5110">
          <w:pPr>
            <w:pStyle w:val="TOC1"/>
            <w:tabs>
              <w:tab w:val="right" w:leader="dot" w:pos="9350"/>
            </w:tabs>
            <w:rPr>
              <w:rFonts w:ascii="Arial" w:eastAsiaTheme="minorEastAsia" w:hAnsi="Arial" w:cs="Arial"/>
              <w:noProof/>
            </w:rPr>
          </w:pPr>
          <w:hyperlink w:anchor="_Toc211434149" w:history="1">
            <w:r w:rsidR="00175982" w:rsidRPr="00175982">
              <w:rPr>
                <w:rStyle w:val="Hyperlink"/>
                <w:rFonts w:ascii="Arial" w:hAnsi="Arial" w:cs="Arial"/>
                <w:noProof/>
              </w:rPr>
              <w:t>2. Demographic and Geopolitical Factors Influencing Employment Markets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_Toc211434149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5</w:t>
            </w:r>
            <w:r w:rsidR="00175982" w:rsidRPr="00175982">
              <w:rPr>
                <w:rFonts w:ascii="Arial" w:hAnsi="Arial" w:cs="Arial"/>
                <w:noProof/>
                <w:webHidden/>
              </w:rPr>
              <w:fldChar w:fldCharType="end"/>
            </w:r>
          </w:hyperlink>
        </w:p>
        <w:p w14:paraId="1FA33210" w14:textId="2F76E6CF" w:rsidR="00175982" w:rsidRPr="00175982" w:rsidRDefault="006B5110">
          <w:pPr>
            <w:pStyle w:val="TOC2"/>
            <w:tabs>
              <w:tab w:val="right" w:leader="dot" w:pos="9350"/>
            </w:tabs>
            <w:rPr>
              <w:rFonts w:ascii="Arial" w:eastAsiaTheme="minorEastAsia" w:hAnsi="Arial" w:cs="Arial"/>
              <w:noProof/>
            </w:rPr>
          </w:pPr>
          <w:hyperlink w:anchor="_Toc211434150" w:history="1">
            <w:r w:rsidR="00175982" w:rsidRPr="00175982">
              <w:rPr>
                <w:rStyle w:val="Hyperlink"/>
                <w:rFonts w:ascii="Arial" w:hAnsi="Arial" w:cs="Arial"/>
                <w:noProof/>
              </w:rPr>
              <w:t>2.1 Demographic Transitions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_Toc211434150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5</w:t>
            </w:r>
            <w:r w:rsidR="00175982" w:rsidRPr="00175982">
              <w:rPr>
                <w:rFonts w:ascii="Arial" w:hAnsi="Arial" w:cs="Arial"/>
                <w:noProof/>
                <w:webHidden/>
              </w:rPr>
              <w:fldChar w:fldCharType="end"/>
            </w:r>
          </w:hyperlink>
        </w:p>
        <w:p w14:paraId="52C443D0" w14:textId="20F684B0" w:rsidR="00175982" w:rsidRPr="00175982" w:rsidRDefault="006B5110">
          <w:pPr>
            <w:pStyle w:val="TOC2"/>
            <w:tabs>
              <w:tab w:val="right" w:leader="dot" w:pos="9350"/>
            </w:tabs>
            <w:rPr>
              <w:rFonts w:ascii="Arial" w:eastAsiaTheme="minorEastAsia" w:hAnsi="Arial" w:cs="Arial"/>
              <w:noProof/>
            </w:rPr>
          </w:pPr>
          <w:hyperlink w:anchor="_Toc211434151" w:history="1">
            <w:r w:rsidR="00175982" w:rsidRPr="00175982">
              <w:rPr>
                <w:rStyle w:val="Hyperlink"/>
                <w:rFonts w:ascii="Arial" w:hAnsi="Arial" w:cs="Arial"/>
                <w:noProof/>
              </w:rPr>
              <w:t>2.2 Geopolitical Influences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_Toc211434151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6</w:t>
            </w:r>
            <w:r w:rsidR="00175982" w:rsidRPr="00175982">
              <w:rPr>
                <w:rFonts w:ascii="Arial" w:hAnsi="Arial" w:cs="Arial"/>
                <w:noProof/>
                <w:webHidden/>
              </w:rPr>
              <w:fldChar w:fldCharType="end"/>
            </w:r>
          </w:hyperlink>
        </w:p>
        <w:p w14:paraId="4E6A5EA6" w14:textId="2758032D" w:rsidR="00175982" w:rsidRPr="00175982" w:rsidRDefault="006B5110">
          <w:pPr>
            <w:pStyle w:val="TOC2"/>
            <w:tabs>
              <w:tab w:val="right" w:leader="dot" w:pos="9350"/>
            </w:tabs>
            <w:rPr>
              <w:rFonts w:ascii="Arial" w:eastAsiaTheme="minorEastAsia" w:hAnsi="Arial" w:cs="Arial"/>
              <w:noProof/>
            </w:rPr>
          </w:pPr>
          <w:hyperlink w:anchor="_Toc211434152" w:history="1">
            <w:r w:rsidR="00175982" w:rsidRPr="00175982">
              <w:rPr>
                <w:rStyle w:val="Hyperlink"/>
                <w:rFonts w:ascii="Arial" w:hAnsi="Arial" w:cs="Arial"/>
                <w:noProof/>
              </w:rPr>
              <w:t>2.3 Implications for HR Professionals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_Toc211434152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6</w:t>
            </w:r>
            <w:r w:rsidR="00175982" w:rsidRPr="00175982">
              <w:rPr>
                <w:rFonts w:ascii="Arial" w:hAnsi="Arial" w:cs="Arial"/>
                <w:noProof/>
                <w:webHidden/>
              </w:rPr>
              <w:fldChar w:fldCharType="end"/>
            </w:r>
          </w:hyperlink>
        </w:p>
        <w:p w14:paraId="61BDE935" w14:textId="70288EC0" w:rsidR="00175982" w:rsidRPr="00175982" w:rsidRDefault="006B5110">
          <w:pPr>
            <w:pStyle w:val="TOC2"/>
            <w:tabs>
              <w:tab w:val="right" w:leader="dot" w:pos="9350"/>
            </w:tabs>
            <w:rPr>
              <w:rFonts w:ascii="Arial" w:eastAsiaTheme="minorEastAsia" w:hAnsi="Arial" w:cs="Arial"/>
              <w:noProof/>
            </w:rPr>
          </w:pPr>
          <w:hyperlink w:anchor="_Toc211434153" w:history="1">
            <w:r w:rsidR="00175982" w:rsidRPr="00175982">
              <w:rPr>
                <w:rStyle w:val="Hyperlink"/>
                <w:rFonts w:ascii="Arial" w:hAnsi="Arial" w:cs="Arial"/>
                <w:noProof/>
              </w:rPr>
              <w:t>2.4 Critical Evaluation</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_Toc211434153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7</w:t>
            </w:r>
            <w:r w:rsidR="00175982" w:rsidRPr="00175982">
              <w:rPr>
                <w:rFonts w:ascii="Arial" w:hAnsi="Arial" w:cs="Arial"/>
                <w:noProof/>
                <w:webHidden/>
              </w:rPr>
              <w:fldChar w:fldCharType="end"/>
            </w:r>
          </w:hyperlink>
        </w:p>
        <w:p w14:paraId="4DA88D77" w14:textId="1F82EECE" w:rsidR="00175982" w:rsidRPr="00175982" w:rsidRDefault="006B5110">
          <w:pPr>
            <w:pStyle w:val="TOC1"/>
            <w:tabs>
              <w:tab w:val="right" w:leader="dot" w:pos="9350"/>
            </w:tabs>
            <w:rPr>
              <w:rFonts w:ascii="Arial" w:eastAsiaTheme="minorEastAsia" w:hAnsi="Arial" w:cs="Arial"/>
              <w:noProof/>
            </w:rPr>
          </w:pPr>
          <w:hyperlink w:anchor="_Toc211434154" w:history="1">
            <w:r w:rsidR="00175982" w:rsidRPr="00175982">
              <w:rPr>
                <w:rStyle w:val="Hyperlink"/>
                <w:rFonts w:ascii="Arial" w:hAnsi="Arial" w:cs="Arial"/>
                <w:noProof/>
              </w:rPr>
              <w:t>3. Addressing Skills Gaps and Talent Shortages through Strategic HRM</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_Toc211434154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7</w:t>
            </w:r>
            <w:r w:rsidR="00175982" w:rsidRPr="00175982">
              <w:rPr>
                <w:rFonts w:ascii="Arial" w:hAnsi="Arial" w:cs="Arial"/>
                <w:noProof/>
                <w:webHidden/>
              </w:rPr>
              <w:fldChar w:fldCharType="end"/>
            </w:r>
          </w:hyperlink>
        </w:p>
        <w:p w14:paraId="5647E7B2" w14:textId="6B3B554F" w:rsidR="00175982" w:rsidRPr="00175982" w:rsidRDefault="006B5110">
          <w:pPr>
            <w:pStyle w:val="TOC2"/>
            <w:tabs>
              <w:tab w:val="right" w:leader="dot" w:pos="9350"/>
            </w:tabs>
            <w:rPr>
              <w:rFonts w:ascii="Arial" w:eastAsiaTheme="minorEastAsia" w:hAnsi="Arial" w:cs="Arial"/>
              <w:noProof/>
            </w:rPr>
          </w:pPr>
          <w:hyperlink w:anchor="_Toc211434155" w:history="1">
            <w:r w:rsidR="00175982" w:rsidRPr="00175982">
              <w:rPr>
                <w:rStyle w:val="Hyperlink"/>
                <w:rFonts w:ascii="Arial" w:hAnsi="Arial" w:cs="Arial"/>
                <w:noProof/>
              </w:rPr>
              <w:t>3.1 Causes of Skills Gaps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_Toc211434155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7</w:t>
            </w:r>
            <w:r w:rsidR="00175982" w:rsidRPr="00175982">
              <w:rPr>
                <w:rFonts w:ascii="Arial" w:hAnsi="Arial" w:cs="Arial"/>
                <w:noProof/>
                <w:webHidden/>
              </w:rPr>
              <w:fldChar w:fldCharType="end"/>
            </w:r>
          </w:hyperlink>
        </w:p>
        <w:p w14:paraId="1F906CDC" w14:textId="0C363758" w:rsidR="00175982" w:rsidRPr="00175982" w:rsidRDefault="006B5110">
          <w:pPr>
            <w:pStyle w:val="TOC2"/>
            <w:tabs>
              <w:tab w:val="right" w:leader="dot" w:pos="9350"/>
            </w:tabs>
            <w:rPr>
              <w:rFonts w:ascii="Arial" w:eastAsiaTheme="minorEastAsia" w:hAnsi="Arial" w:cs="Arial"/>
              <w:noProof/>
            </w:rPr>
          </w:pPr>
          <w:hyperlink w:anchor="_Toc211434156" w:history="1">
            <w:r w:rsidR="00175982" w:rsidRPr="00175982">
              <w:rPr>
                <w:rStyle w:val="Hyperlink"/>
                <w:rFonts w:ascii="Arial" w:hAnsi="Arial" w:cs="Arial"/>
                <w:noProof/>
              </w:rPr>
              <w:t>3.2 Strategic HRM Responses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_Toc211434156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8</w:t>
            </w:r>
            <w:r w:rsidR="00175982" w:rsidRPr="00175982">
              <w:rPr>
                <w:rFonts w:ascii="Arial" w:hAnsi="Arial" w:cs="Arial"/>
                <w:noProof/>
                <w:webHidden/>
              </w:rPr>
              <w:fldChar w:fldCharType="end"/>
            </w:r>
          </w:hyperlink>
        </w:p>
        <w:p w14:paraId="02ACFB8F" w14:textId="6FA60121" w:rsidR="00175982" w:rsidRPr="00175982" w:rsidRDefault="006B5110">
          <w:pPr>
            <w:pStyle w:val="TOC2"/>
            <w:tabs>
              <w:tab w:val="right" w:leader="dot" w:pos="9350"/>
            </w:tabs>
            <w:rPr>
              <w:rFonts w:ascii="Arial" w:eastAsiaTheme="minorEastAsia" w:hAnsi="Arial" w:cs="Arial"/>
              <w:noProof/>
            </w:rPr>
          </w:pPr>
          <w:hyperlink w:anchor="_Toc211434157" w:history="1">
            <w:r w:rsidR="00175982" w:rsidRPr="00175982">
              <w:rPr>
                <w:rStyle w:val="Hyperlink"/>
                <w:rFonts w:ascii="Arial" w:hAnsi="Arial" w:cs="Arial"/>
                <w:noProof/>
              </w:rPr>
              <w:t>3.3 Critical Evaluation</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_Toc211434157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9</w:t>
            </w:r>
            <w:r w:rsidR="00175982" w:rsidRPr="00175982">
              <w:rPr>
                <w:rFonts w:ascii="Arial" w:hAnsi="Arial" w:cs="Arial"/>
                <w:noProof/>
                <w:webHidden/>
              </w:rPr>
              <w:fldChar w:fldCharType="end"/>
            </w:r>
          </w:hyperlink>
        </w:p>
        <w:p w14:paraId="413B42F0" w14:textId="0F85148D" w:rsidR="00175982" w:rsidRPr="00175982" w:rsidRDefault="006B5110">
          <w:pPr>
            <w:pStyle w:val="TOC1"/>
            <w:tabs>
              <w:tab w:val="right" w:leader="dot" w:pos="9350"/>
            </w:tabs>
            <w:rPr>
              <w:rFonts w:ascii="Arial" w:eastAsiaTheme="minorEastAsia" w:hAnsi="Arial" w:cs="Arial"/>
              <w:noProof/>
            </w:rPr>
          </w:pPr>
          <w:hyperlink w:anchor="_Toc211434158" w:history="1">
            <w:r w:rsidR="00175982" w:rsidRPr="00175982">
              <w:rPr>
                <w:rStyle w:val="Hyperlink"/>
                <w:rFonts w:ascii="Arial" w:hAnsi="Arial" w:cs="Arial"/>
                <w:noProof/>
              </w:rPr>
              <w:t>4. Reflective Report: Capabilities in an International Context</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_Toc211434158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9</w:t>
            </w:r>
            <w:r w:rsidR="00175982" w:rsidRPr="00175982">
              <w:rPr>
                <w:rFonts w:ascii="Arial" w:hAnsi="Arial" w:cs="Arial"/>
                <w:noProof/>
                <w:webHidden/>
              </w:rPr>
              <w:fldChar w:fldCharType="end"/>
            </w:r>
          </w:hyperlink>
        </w:p>
        <w:p w14:paraId="1983CE8E" w14:textId="5874EDD3" w:rsidR="00175982" w:rsidRPr="00175982" w:rsidRDefault="006B5110">
          <w:pPr>
            <w:pStyle w:val="TOC2"/>
            <w:tabs>
              <w:tab w:val="right" w:leader="dot" w:pos="9350"/>
            </w:tabs>
            <w:rPr>
              <w:rFonts w:ascii="Arial" w:eastAsiaTheme="minorEastAsia" w:hAnsi="Arial" w:cs="Arial"/>
              <w:noProof/>
            </w:rPr>
          </w:pPr>
          <w:hyperlink w:anchor="_Toc211434159" w:history="1">
            <w:r w:rsidR="00175982" w:rsidRPr="00175982">
              <w:rPr>
                <w:rStyle w:val="Hyperlink"/>
                <w:rFonts w:ascii="Arial" w:hAnsi="Arial" w:cs="Arial"/>
                <w:noProof/>
              </w:rPr>
              <w:t>4.1 Technological Competence</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_Toc211434159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10</w:t>
            </w:r>
            <w:r w:rsidR="00175982" w:rsidRPr="00175982">
              <w:rPr>
                <w:rFonts w:ascii="Arial" w:hAnsi="Arial" w:cs="Arial"/>
                <w:noProof/>
                <w:webHidden/>
              </w:rPr>
              <w:fldChar w:fldCharType="end"/>
            </w:r>
          </w:hyperlink>
        </w:p>
        <w:p w14:paraId="7097CE23" w14:textId="31877649" w:rsidR="00175982" w:rsidRPr="00175982" w:rsidRDefault="006B5110">
          <w:pPr>
            <w:pStyle w:val="TOC2"/>
            <w:tabs>
              <w:tab w:val="right" w:leader="dot" w:pos="9350"/>
            </w:tabs>
            <w:rPr>
              <w:rFonts w:ascii="Arial" w:eastAsiaTheme="minorEastAsia" w:hAnsi="Arial" w:cs="Arial"/>
              <w:noProof/>
            </w:rPr>
          </w:pPr>
          <w:hyperlink w:anchor="_Toc211434160" w:history="1">
            <w:r w:rsidR="00175982" w:rsidRPr="00175982">
              <w:rPr>
                <w:rStyle w:val="Hyperlink"/>
                <w:rFonts w:ascii="Arial" w:hAnsi="Arial" w:cs="Arial"/>
                <w:noProof/>
              </w:rPr>
              <w:t>4.2 Communication Skills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_Toc211434160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10</w:t>
            </w:r>
            <w:r w:rsidR="00175982" w:rsidRPr="00175982">
              <w:rPr>
                <w:rFonts w:ascii="Arial" w:hAnsi="Arial" w:cs="Arial"/>
                <w:noProof/>
                <w:webHidden/>
              </w:rPr>
              <w:fldChar w:fldCharType="end"/>
            </w:r>
          </w:hyperlink>
        </w:p>
        <w:p w14:paraId="0ACC0988" w14:textId="6A06A529" w:rsidR="00175982" w:rsidRPr="00175982" w:rsidRDefault="006B5110">
          <w:pPr>
            <w:pStyle w:val="TOC2"/>
            <w:tabs>
              <w:tab w:val="right" w:leader="dot" w:pos="9350"/>
            </w:tabs>
            <w:rPr>
              <w:rFonts w:ascii="Arial" w:eastAsiaTheme="minorEastAsia" w:hAnsi="Arial" w:cs="Arial"/>
              <w:noProof/>
            </w:rPr>
          </w:pPr>
          <w:hyperlink w:anchor="_Toc211434161" w:history="1">
            <w:r w:rsidR="00175982" w:rsidRPr="00175982">
              <w:rPr>
                <w:rStyle w:val="Hyperlink"/>
                <w:rFonts w:ascii="Arial" w:hAnsi="Arial" w:cs="Arial"/>
                <w:noProof/>
              </w:rPr>
              <w:t>4.3 Teamwork and Collaboration</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_Toc211434161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11</w:t>
            </w:r>
            <w:r w:rsidR="00175982" w:rsidRPr="00175982">
              <w:rPr>
                <w:rFonts w:ascii="Arial" w:hAnsi="Arial" w:cs="Arial"/>
                <w:noProof/>
                <w:webHidden/>
              </w:rPr>
              <w:fldChar w:fldCharType="end"/>
            </w:r>
          </w:hyperlink>
        </w:p>
        <w:p w14:paraId="509660C6" w14:textId="08DC6228" w:rsidR="00175982" w:rsidRPr="00175982" w:rsidRDefault="006B5110">
          <w:pPr>
            <w:pStyle w:val="TOC2"/>
            <w:tabs>
              <w:tab w:val="right" w:leader="dot" w:pos="9350"/>
            </w:tabs>
            <w:rPr>
              <w:rFonts w:ascii="Arial" w:eastAsiaTheme="minorEastAsia" w:hAnsi="Arial" w:cs="Arial"/>
              <w:noProof/>
            </w:rPr>
          </w:pPr>
          <w:hyperlink w:anchor="_Toc211434162" w:history="1">
            <w:r w:rsidR="00175982" w:rsidRPr="00175982">
              <w:rPr>
                <w:rStyle w:val="Hyperlink"/>
                <w:rFonts w:ascii="Arial" w:hAnsi="Arial" w:cs="Arial"/>
                <w:noProof/>
              </w:rPr>
              <w:t>4.4 Leadership Capabilities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_Toc211434162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11</w:t>
            </w:r>
            <w:r w:rsidR="00175982" w:rsidRPr="00175982">
              <w:rPr>
                <w:rFonts w:ascii="Arial" w:hAnsi="Arial" w:cs="Arial"/>
                <w:noProof/>
                <w:webHidden/>
              </w:rPr>
              <w:fldChar w:fldCharType="end"/>
            </w:r>
          </w:hyperlink>
        </w:p>
        <w:p w14:paraId="340B78E0" w14:textId="7F3C33AC" w:rsidR="00175982" w:rsidRPr="00175982" w:rsidRDefault="006B5110">
          <w:pPr>
            <w:pStyle w:val="TOC2"/>
            <w:tabs>
              <w:tab w:val="right" w:leader="dot" w:pos="9350"/>
            </w:tabs>
            <w:rPr>
              <w:rFonts w:ascii="Arial" w:eastAsiaTheme="minorEastAsia" w:hAnsi="Arial" w:cs="Arial"/>
              <w:noProof/>
            </w:rPr>
          </w:pPr>
          <w:hyperlink w:anchor="_Toc211434163" w:history="1">
            <w:r w:rsidR="00175982" w:rsidRPr="00175982">
              <w:rPr>
                <w:rStyle w:val="Hyperlink"/>
                <w:rFonts w:ascii="Arial" w:hAnsi="Arial" w:cs="Arial"/>
                <w:noProof/>
              </w:rPr>
              <w:t>4.5 Self-Directed Learning</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_Toc211434163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12</w:t>
            </w:r>
            <w:r w:rsidR="00175982" w:rsidRPr="00175982">
              <w:rPr>
                <w:rFonts w:ascii="Arial" w:hAnsi="Arial" w:cs="Arial"/>
                <w:noProof/>
                <w:webHidden/>
              </w:rPr>
              <w:fldChar w:fldCharType="end"/>
            </w:r>
          </w:hyperlink>
        </w:p>
        <w:p w14:paraId="37290743" w14:textId="1B1C9243" w:rsidR="00175982" w:rsidRPr="00175982" w:rsidRDefault="006B5110">
          <w:pPr>
            <w:pStyle w:val="TOC2"/>
            <w:tabs>
              <w:tab w:val="right" w:leader="dot" w:pos="9350"/>
            </w:tabs>
            <w:rPr>
              <w:rFonts w:ascii="Arial" w:eastAsiaTheme="minorEastAsia" w:hAnsi="Arial" w:cs="Arial"/>
              <w:noProof/>
            </w:rPr>
          </w:pPr>
          <w:hyperlink w:anchor="_Toc211434164" w:history="1">
            <w:r w:rsidR="00175982" w:rsidRPr="00175982">
              <w:rPr>
                <w:rStyle w:val="Hyperlink"/>
                <w:rFonts w:ascii="Arial" w:hAnsi="Arial" w:cs="Arial"/>
                <w:noProof/>
              </w:rPr>
              <w:t>4.6 Reflection and Future Goals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_Toc211434164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12</w:t>
            </w:r>
            <w:r w:rsidR="00175982" w:rsidRPr="00175982">
              <w:rPr>
                <w:rFonts w:ascii="Arial" w:hAnsi="Arial" w:cs="Arial"/>
                <w:noProof/>
                <w:webHidden/>
              </w:rPr>
              <w:fldChar w:fldCharType="end"/>
            </w:r>
          </w:hyperlink>
        </w:p>
        <w:p w14:paraId="3C085FAB" w14:textId="21F1CBE2" w:rsidR="00175982" w:rsidRPr="00175982" w:rsidRDefault="006B5110">
          <w:pPr>
            <w:pStyle w:val="TOC1"/>
            <w:tabs>
              <w:tab w:val="right" w:leader="dot" w:pos="9350"/>
            </w:tabs>
            <w:rPr>
              <w:rFonts w:ascii="Arial" w:eastAsiaTheme="minorEastAsia" w:hAnsi="Arial" w:cs="Arial"/>
              <w:noProof/>
            </w:rPr>
          </w:pPr>
          <w:hyperlink w:anchor="_Toc211434165" w:history="1">
            <w:r w:rsidR="00175982" w:rsidRPr="00175982">
              <w:rPr>
                <w:rStyle w:val="Hyperlink"/>
                <w:rFonts w:ascii="Arial" w:hAnsi="Arial" w:cs="Arial"/>
                <w:noProof/>
              </w:rPr>
              <w:t>Conclusion</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_Toc211434165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13</w:t>
            </w:r>
            <w:r w:rsidR="00175982" w:rsidRPr="00175982">
              <w:rPr>
                <w:rFonts w:ascii="Arial" w:hAnsi="Arial" w:cs="Arial"/>
                <w:noProof/>
                <w:webHidden/>
              </w:rPr>
              <w:fldChar w:fldCharType="end"/>
            </w:r>
          </w:hyperlink>
        </w:p>
        <w:p w14:paraId="284B0428" w14:textId="0780FEF2" w:rsidR="00175982" w:rsidRPr="00175982" w:rsidRDefault="006B5110">
          <w:pPr>
            <w:pStyle w:val="TOC1"/>
            <w:tabs>
              <w:tab w:val="right" w:leader="dot" w:pos="9350"/>
            </w:tabs>
            <w:rPr>
              <w:rFonts w:ascii="Arial" w:eastAsiaTheme="minorEastAsia" w:hAnsi="Arial" w:cs="Arial"/>
              <w:noProof/>
            </w:rPr>
          </w:pPr>
          <w:hyperlink w:anchor="_Toc211434166" w:history="1">
            <w:r w:rsidR="00175982" w:rsidRPr="00175982">
              <w:rPr>
                <w:rStyle w:val="Hyperlink"/>
                <w:rFonts w:ascii="Arial" w:hAnsi="Arial" w:cs="Arial"/>
                <w:noProof/>
              </w:rPr>
              <w:t>References</w:t>
            </w:r>
            <w:r w:rsidR="00175982" w:rsidRPr="00175982">
              <w:rPr>
                <w:rFonts w:ascii="Arial" w:hAnsi="Arial" w:cs="Arial"/>
                <w:noProof/>
                <w:webHidden/>
              </w:rPr>
              <w:tab/>
            </w:r>
            <w:r w:rsidR="00175982" w:rsidRPr="00175982">
              <w:rPr>
                <w:rFonts w:ascii="Arial" w:hAnsi="Arial" w:cs="Arial"/>
                <w:noProof/>
                <w:webHidden/>
              </w:rPr>
              <w:fldChar w:fldCharType="begin"/>
            </w:r>
            <w:r w:rsidR="00175982" w:rsidRPr="00175982">
              <w:rPr>
                <w:rFonts w:ascii="Arial" w:hAnsi="Arial" w:cs="Arial"/>
                <w:noProof/>
                <w:webHidden/>
              </w:rPr>
              <w:instrText xml:space="preserve"> PAGEREF _Toc211434166 \h </w:instrText>
            </w:r>
            <w:r w:rsidR="00175982" w:rsidRPr="00175982">
              <w:rPr>
                <w:rFonts w:ascii="Arial" w:hAnsi="Arial" w:cs="Arial"/>
                <w:noProof/>
                <w:webHidden/>
              </w:rPr>
            </w:r>
            <w:r w:rsidR="00175982" w:rsidRPr="00175982">
              <w:rPr>
                <w:rFonts w:ascii="Arial" w:hAnsi="Arial" w:cs="Arial"/>
                <w:noProof/>
                <w:webHidden/>
              </w:rPr>
              <w:fldChar w:fldCharType="separate"/>
            </w:r>
            <w:r w:rsidR="00D51D91">
              <w:rPr>
                <w:rFonts w:ascii="Arial" w:hAnsi="Arial" w:cs="Arial"/>
                <w:noProof/>
                <w:webHidden/>
              </w:rPr>
              <w:t>14</w:t>
            </w:r>
            <w:r w:rsidR="00175982" w:rsidRPr="00175982">
              <w:rPr>
                <w:rFonts w:ascii="Arial" w:hAnsi="Arial" w:cs="Arial"/>
                <w:noProof/>
                <w:webHidden/>
              </w:rPr>
              <w:fldChar w:fldCharType="end"/>
            </w:r>
          </w:hyperlink>
        </w:p>
        <w:p w14:paraId="60EB2E9F" w14:textId="77777777" w:rsidR="00236238" w:rsidRDefault="00236238">
          <w:r>
            <w:rPr>
              <w:b/>
              <w:bCs/>
              <w:noProof/>
            </w:rPr>
            <w:fldChar w:fldCharType="end"/>
          </w:r>
        </w:p>
      </w:sdtContent>
    </w:sdt>
    <w:p w14:paraId="39687D87" w14:textId="77777777" w:rsidR="00717080" w:rsidRDefault="00717080">
      <w:pPr>
        <w:rPr>
          <w:b/>
          <w:bCs/>
        </w:rPr>
      </w:pPr>
      <w:r>
        <w:rPr>
          <w:b/>
          <w:bCs/>
        </w:rPr>
        <w:br w:type="page"/>
      </w:r>
    </w:p>
    <w:p w14:paraId="78A46FDE" w14:textId="77777777" w:rsidR="00175982" w:rsidRDefault="00175982" w:rsidP="00175982">
      <w:pPr>
        <w:pStyle w:val="Heading1"/>
        <w:numPr>
          <w:ilvl w:val="0"/>
          <w:numId w:val="0"/>
        </w:numPr>
        <w:rPr>
          <w:rFonts w:ascii="Arial" w:hAnsi="Arial" w:cs="Arial"/>
          <w:b/>
          <w:bCs/>
          <w:color w:val="000000" w:themeColor="text1"/>
          <w:sz w:val="32"/>
          <w:szCs w:val="32"/>
        </w:rPr>
      </w:pPr>
      <w:bookmarkStart w:id="0" w:name="_Toc211434144"/>
      <w:r>
        <w:rPr>
          <w:rFonts w:ascii="Arial" w:hAnsi="Arial" w:cs="Arial"/>
          <w:b/>
          <w:bCs/>
          <w:color w:val="000000" w:themeColor="text1"/>
          <w:sz w:val="32"/>
          <w:szCs w:val="32"/>
        </w:rPr>
        <w:lastRenderedPageBreak/>
        <w:t>Introduction</w:t>
      </w:r>
      <w:bookmarkEnd w:id="0"/>
    </w:p>
    <w:p w14:paraId="576490F5" w14:textId="5004C1EB" w:rsidR="00175982" w:rsidRPr="00175982" w:rsidRDefault="00175982" w:rsidP="00175982">
      <w:pPr>
        <w:spacing w:line="360" w:lineRule="auto"/>
        <w:jc w:val="both"/>
        <w:rPr>
          <w:rFonts w:ascii="Arial" w:hAnsi="Arial" w:cs="Arial"/>
        </w:rPr>
      </w:pPr>
      <w:r w:rsidRPr="00175982">
        <w:rPr>
          <w:rFonts w:ascii="Arial" w:hAnsi="Arial" w:cs="Arial"/>
        </w:rPr>
        <w:t>This task describes shifting global labor markets due to technology, demography and geopolitics. It is a critical review of how HRM and International HRM accommodates to automation, skill shortages and diversity in the workforce. Th</w:t>
      </w:r>
      <w:r>
        <w:rPr>
          <w:rFonts w:ascii="Arial" w:hAnsi="Arial" w:cs="Arial"/>
        </w:rPr>
        <w:t>is assignment</w:t>
      </w:r>
      <w:r w:rsidRPr="00175982">
        <w:rPr>
          <w:rFonts w:ascii="Arial" w:hAnsi="Arial" w:cs="Arial"/>
        </w:rPr>
        <w:t xml:space="preserve"> also entails a self-reflection on personal competencies that emerged and recommendations for lifelong learning in an international setting.</w:t>
      </w:r>
    </w:p>
    <w:p w14:paraId="4819E3D7" w14:textId="77777777" w:rsidR="00B94781" w:rsidRDefault="00B94781" w:rsidP="00717080">
      <w:pPr>
        <w:pStyle w:val="Heading1"/>
        <w:rPr>
          <w:rFonts w:ascii="Arial" w:hAnsi="Arial" w:cs="Arial"/>
          <w:b/>
          <w:bCs/>
          <w:color w:val="000000" w:themeColor="text1"/>
          <w:sz w:val="32"/>
          <w:szCs w:val="32"/>
        </w:rPr>
      </w:pPr>
      <w:bookmarkStart w:id="1" w:name="_Toc211434145"/>
      <w:r w:rsidRPr="00717080">
        <w:rPr>
          <w:rFonts w:ascii="Arial" w:hAnsi="Arial" w:cs="Arial"/>
          <w:b/>
          <w:bCs/>
          <w:color w:val="000000" w:themeColor="text1"/>
          <w:sz w:val="32"/>
          <w:szCs w:val="32"/>
        </w:rPr>
        <w:t>Technological Advancements and Their Implications for HRM and IHRM</w:t>
      </w:r>
      <w:bookmarkEnd w:id="1"/>
      <w:r w:rsidRPr="00717080">
        <w:rPr>
          <w:rFonts w:ascii="Arial" w:hAnsi="Arial" w:cs="Arial"/>
          <w:b/>
          <w:bCs/>
          <w:color w:val="000000" w:themeColor="text1"/>
          <w:sz w:val="32"/>
          <w:szCs w:val="32"/>
        </w:rPr>
        <w:t xml:space="preserve"> </w:t>
      </w:r>
    </w:p>
    <w:p w14:paraId="24468AF8" w14:textId="77777777" w:rsidR="00790BB1" w:rsidRPr="00790BB1" w:rsidRDefault="00790BB1" w:rsidP="00790BB1">
      <w:pPr>
        <w:spacing w:line="360" w:lineRule="auto"/>
        <w:jc w:val="both"/>
        <w:rPr>
          <w:rFonts w:ascii="Arial" w:hAnsi="Arial" w:cs="Arial"/>
        </w:rPr>
      </w:pPr>
      <w:r w:rsidRPr="00790BB1">
        <w:rPr>
          <w:rFonts w:ascii="Arial" w:hAnsi="Arial" w:cs="Arial"/>
        </w:rPr>
        <w:t>The global labor market is also being radically transformed by technological advancements and especially artificial intelligence (AI), automation, and digital platforms. According to the World Economic Forum (2024), by 2030, 44 percent of the skills of workers will be destabilized due to the use of AI, since automation will be used to replace repetitive labour, and new skills requiring advanced digital and analytical abilities will be in demand. These changes in the structure redefine the essence of work, organization limits and strategic agenda of Human Resource Management (HRM) and International HRM (IHRM).</w:t>
      </w:r>
    </w:p>
    <w:p w14:paraId="414E1A18" w14:textId="77777777" w:rsidR="00B94781" w:rsidRPr="00717080" w:rsidRDefault="00B94781" w:rsidP="00717080">
      <w:pPr>
        <w:pStyle w:val="Heading2"/>
        <w:rPr>
          <w:rFonts w:ascii="Arial" w:hAnsi="Arial" w:cs="Arial"/>
          <w:b/>
          <w:bCs/>
          <w:color w:val="000000" w:themeColor="text1"/>
          <w:sz w:val="28"/>
          <w:szCs w:val="28"/>
        </w:rPr>
      </w:pPr>
      <w:bookmarkStart w:id="2" w:name="_Toc211434146"/>
      <w:r w:rsidRPr="00717080">
        <w:rPr>
          <w:rFonts w:ascii="Arial" w:hAnsi="Arial" w:cs="Arial"/>
          <w:b/>
          <w:bCs/>
          <w:color w:val="000000" w:themeColor="text1"/>
          <w:sz w:val="28"/>
          <w:szCs w:val="28"/>
        </w:rPr>
        <w:t xml:space="preserve">Reshaping </w:t>
      </w:r>
      <w:r w:rsidR="00717080" w:rsidRPr="00717080">
        <w:rPr>
          <w:rFonts w:ascii="Arial" w:hAnsi="Arial" w:cs="Arial"/>
          <w:b/>
          <w:bCs/>
          <w:color w:val="000000" w:themeColor="text1"/>
          <w:sz w:val="28"/>
          <w:szCs w:val="28"/>
        </w:rPr>
        <w:t>Labor</w:t>
      </w:r>
      <w:r w:rsidRPr="00717080">
        <w:rPr>
          <w:rFonts w:ascii="Arial" w:hAnsi="Arial" w:cs="Arial"/>
          <w:b/>
          <w:bCs/>
          <w:color w:val="000000" w:themeColor="text1"/>
          <w:sz w:val="28"/>
          <w:szCs w:val="28"/>
        </w:rPr>
        <w:t xml:space="preserve"> Markets</w:t>
      </w:r>
      <w:bookmarkEnd w:id="2"/>
    </w:p>
    <w:p w14:paraId="6C4BE7ED" w14:textId="77777777" w:rsidR="00790BB1" w:rsidRDefault="00790BB1" w:rsidP="00717080">
      <w:pPr>
        <w:spacing w:line="360" w:lineRule="auto"/>
        <w:jc w:val="both"/>
        <w:rPr>
          <w:rFonts w:ascii="Arial" w:hAnsi="Arial" w:cs="Arial"/>
        </w:rPr>
      </w:pPr>
      <w:r w:rsidRPr="00790BB1">
        <w:rPr>
          <w:rFonts w:ascii="Arial" w:hAnsi="Arial" w:cs="Arial"/>
        </w:rPr>
        <w:t xml:space="preserve">Automation has led to job destruction and job creation. By 2030 McKinsey and Company (2024) estimates that the number of occupational changes in the U.S. caused by automation and digital transformation will total up to 12 million occupational transitions. Meanwhile, digital labor has also led to cross-border work or gig labour through digital labor platforms, including Upwork, Fiverr and Amazon Mechanical Turk, which form new employment ecosystems outside of national borders. Statista (2024) states that the worldwide number of digital gig workers is 435 million in 2024 and adds more than USD 455 billion to the global economy. </w:t>
      </w:r>
    </w:p>
    <w:p w14:paraId="370D6DCD" w14:textId="77777777" w:rsidR="00B94781" w:rsidRPr="00717080" w:rsidRDefault="00790BB1" w:rsidP="00717080">
      <w:pPr>
        <w:spacing w:line="360" w:lineRule="auto"/>
        <w:jc w:val="both"/>
        <w:rPr>
          <w:rFonts w:ascii="Arial" w:hAnsi="Arial" w:cs="Arial"/>
        </w:rPr>
      </w:pPr>
      <w:r w:rsidRPr="00790BB1">
        <w:rPr>
          <w:rFonts w:ascii="Arial" w:hAnsi="Arial" w:cs="Arial"/>
        </w:rPr>
        <w:t>Employment relationships have also been newly redefined through technological disruption. Organizations are forming more and more hybrid and project-based work, a combination of full-time and an on-demand contractor.</w:t>
      </w:r>
      <w:r w:rsidRPr="00717080">
        <w:rPr>
          <w:rFonts w:ascii="Arial" w:hAnsi="Arial" w:cs="Arial"/>
        </w:rPr>
        <w:t xml:space="preserve"> This</w:t>
      </w:r>
      <w:r w:rsidR="00B94781" w:rsidRPr="00717080">
        <w:rPr>
          <w:rFonts w:ascii="Arial" w:hAnsi="Arial" w:cs="Arial"/>
        </w:rPr>
        <w:t xml:space="preserve"> “liquid workforce” model </w:t>
      </w:r>
      <w:r w:rsidR="00B94781" w:rsidRPr="00717080">
        <w:rPr>
          <w:rFonts w:ascii="Arial" w:hAnsi="Arial" w:cs="Arial"/>
        </w:rPr>
        <w:lastRenderedPageBreak/>
        <w:t xml:space="preserve">enhances flexibility but challenges HR departments to manage engagement, performance, and legal compliance across jurisdictions (Deloitte, 2025). </w:t>
      </w:r>
    </w:p>
    <w:p w14:paraId="193A314F" w14:textId="77777777" w:rsidR="00B94781" w:rsidRDefault="00B94781" w:rsidP="00717080">
      <w:pPr>
        <w:spacing w:line="360" w:lineRule="auto"/>
        <w:jc w:val="both"/>
        <w:rPr>
          <w:rFonts w:ascii="Arial" w:hAnsi="Arial" w:cs="Arial"/>
          <w:b/>
          <w:bCs/>
        </w:rPr>
      </w:pPr>
      <w:r w:rsidRPr="00717080">
        <w:rPr>
          <w:rFonts w:ascii="Arial" w:hAnsi="Arial" w:cs="Arial"/>
          <w:b/>
          <w:bCs/>
        </w:rPr>
        <w:t>Table 1. Technological Drivers and HRM Implications (2024)</w:t>
      </w:r>
    </w:p>
    <w:tbl>
      <w:tblPr>
        <w:tblStyle w:val="TableGrid"/>
        <w:tblW w:w="0" w:type="auto"/>
        <w:tblLook w:val="04A0" w:firstRow="1" w:lastRow="0" w:firstColumn="1" w:lastColumn="0" w:noHBand="0" w:noVBand="1"/>
      </w:tblPr>
      <w:tblGrid>
        <w:gridCol w:w="3116"/>
        <w:gridCol w:w="3117"/>
        <w:gridCol w:w="3117"/>
      </w:tblGrid>
      <w:tr w:rsidR="00717080" w:rsidRPr="00717080" w14:paraId="44822888" w14:textId="77777777" w:rsidTr="00717080">
        <w:tc>
          <w:tcPr>
            <w:tcW w:w="3116" w:type="dxa"/>
          </w:tcPr>
          <w:p w14:paraId="68826363" w14:textId="77777777" w:rsidR="00717080" w:rsidRPr="00717080" w:rsidRDefault="00717080" w:rsidP="00046EEB">
            <w:pPr>
              <w:spacing w:line="360" w:lineRule="auto"/>
              <w:jc w:val="both"/>
              <w:rPr>
                <w:rFonts w:ascii="Arial" w:hAnsi="Arial" w:cs="Arial"/>
                <w:b/>
                <w:bCs/>
              </w:rPr>
            </w:pPr>
            <w:r w:rsidRPr="00717080">
              <w:rPr>
                <w:rFonts w:ascii="Arial" w:hAnsi="Arial" w:cs="Arial"/>
                <w:b/>
                <w:bCs/>
              </w:rPr>
              <w:t>Technological Trend</w:t>
            </w:r>
          </w:p>
        </w:tc>
        <w:tc>
          <w:tcPr>
            <w:tcW w:w="3117" w:type="dxa"/>
          </w:tcPr>
          <w:p w14:paraId="6D2BB5F0" w14:textId="77777777" w:rsidR="00717080" w:rsidRPr="00717080" w:rsidRDefault="00717080" w:rsidP="00046EEB">
            <w:pPr>
              <w:spacing w:line="360" w:lineRule="auto"/>
              <w:jc w:val="both"/>
              <w:rPr>
                <w:rFonts w:ascii="Arial" w:hAnsi="Arial" w:cs="Arial"/>
                <w:b/>
                <w:bCs/>
              </w:rPr>
            </w:pPr>
            <w:r w:rsidRPr="00717080">
              <w:rPr>
                <w:rFonts w:ascii="Arial" w:hAnsi="Arial" w:cs="Arial"/>
                <w:b/>
                <w:bCs/>
              </w:rPr>
              <w:t>Impact on Labour Markets</w:t>
            </w:r>
          </w:p>
        </w:tc>
        <w:tc>
          <w:tcPr>
            <w:tcW w:w="3117" w:type="dxa"/>
          </w:tcPr>
          <w:p w14:paraId="40EFA462" w14:textId="77777777" w:rsidR="00717080" w:rsidRPr="00717080" w:rsidRDefault="00717080" w:rsidP="00046EEB">
            <w:pPr>
              <w:spacing w:line="360" w:lineRule="auto"/>
              <w:jc w:val="both"/>
              <w:rPr>
                <w:rFonts w:ascii="Arial" w:hAnsi="Arial" w:cs="Arial"/>
                <w:b/>
                <w:bCs/>
              </w:rPr>
            </w:pPr>
            <w:r w:rsidRPr="00717080">
              <w:rPr>
                <w:rFonts w:ascii="Arial" w:hAnsi="Arial" w:cs="Arial"/>
                <w:b/>
                <w:bCs/>
              </w:rPr>
              <w:t>HRM/IHRM Strategic Implications</w:t>
            </w:r>
          </w:p>
        </w:tc>
      </w:tr>
      <w:tr w:rsidR="00717080" w:rsidRPr="00717080" w14:paraId="3C035190" w14:textId="77777777" w:rsidTr="00717080">
        <w:tc>
          <w:tcPr>
            <w:tcW w:w="3116" w:type="dxa"/>
          </w:tcPr>
          <w:p w14:paraId="5059B695" w14:textId="77777777" w:rsidR="00717080" w:rsidRPr="00717080" w:rsidRDefault="00717080" w:rsidP="00046EEB">
            <w:pPr>
              <w:spacing w:line="360" w:lineRule="auto"/>
              <w:jc w:val="both"/>
              <w:rPr>
                <w:rFonts w:ascii="Arial" w:hAnsi="Arial" w:cs="Arial"/>
              </w:rPr>
            </w:pPr>
            <w:r w:rsidRPr="00717080">
              <w:rPr>
                <w:rFonts w:ascii="Arial" w:hAnsi="Arial" w:cs="Arial"/>
              </w:rPr>
              <w:t>Artificial Intelligence</w:t>
            </w:r>
          </w:p>
        </w:tc>
        <w:tc>
          <w:tcPr>
            <w:tcW w:w="3117" w:type="dxa"/>
          </w:tcPr>
          <w:p w14:paraId="1CBE4F6B" w14:textId="77777777" w:rsidR="00717080" w:rsidRPr="00717080" w:rsidRDefault="00717080" w:rsidP="00046EEB">
            <w:pPr>
              <w:spacing w:line="360" w:lineRule="auto"/>
              <w:jc w:val="both"/>
              <w:rPr>
                <w:rFonts w:ascii="Arial" w:hAnsi="Arial" w:cs="Arial"/>
              </w:rPr>
            </w:pPr>
            <w:r w:rsidRPr="00717080">
              <w:rPr>
                <w:rFonts w:ascii="Arial" w:hAnsi="Arial" w:cs="Arial"/>
              </w:rPr>
              <w:t>Automation of administrative tasks</w:t>
            </w:r>
          </w:p>
        </w:tc>
        <w:tc>
          <w:tcPr>
            <w:tcW w:w="3117" w:type="dxa"/>
          </w:tcPr>
          <w:p w14:paraId="4BF974D1" w14:textId="77777777" w:rsidR="00717080" w:rsidRPr="00717080" w:rsidRDefault="00717080" w:rsidP="00046EEB">
            <w:pPr>
              <w:spacing w:line="360" w:lineRule="auto"/>
              <w:jc w:val="both"/>
              <w:rPr>
                <w:rFonts w:ascii="Arial" w:hAnsi="Arial" w:cs="Arial"/>
              </w:rPr>
            </w:pPr>
            <w:r w:rsidRPr="00717080">
              <w:rPr>
                <w:rFonts w:ascii="Arial" w:hAnsi="Arial" w:cs="Arial"/>
              </w:rPr>
              <w:t>Redesign of job roles; AI ethics training</w:t>
            </w:r>
          </w:p>
        </w:tc>
      </w:tr>
      <w:tr w:rsidR="00717080" w:rsidRPr="00717080" w14:paraId="4DB47A92" w14:textId="77777777" w:rsidTr="00717080">
        <w:tc>
          <w:tcPr>
            <w:tcW w:w="3116" w:type="dxa"/>
          </w:tcPr>
          <w:p w14:paraId="665CE0C5" w14:textId="77777777" w:rsidR="00717080" w:rsidRPr="00717080" w:rsidRDefault="00717080" w:rsidP="00046EEB">
            <w:pPr>
              <w:spacing w:line="360" w:lineRule="auto"/>
              <w:jc w:val="both"/>
              <w:rPr>
                <w:rFonts w:ascii="Arial" w:hAnsi="Arial" w:cs="Arial"/>
              </w:rPr>
            </w:pPr>
            <w:r w:rsidRPr="00717080">
              <w:rPr>
                <w:rFonts w:ascii="Arial" w:hAnsi="Arial" w:cs="Arial"/>
              </w:rPr>
              <w:t>Digital Platforms</w:t>
            </w:r>
          </w:p>
        </w:tc>
        <w:tc>
          <w:tcPr>
            <w:tcW w:w="3117" w:type="dxa"/>
          </w:tcPr>
          <w:p w14:paraId="1427CF25" w14:textId="77777777" w:rsidR="00717080" w:rsidRPr="00717080" w:rsidRDefault="00717080" w:rsidP="00046EEB">
            <w:pPr>
              <w:spacing w:line="360" w:lineRule="auto"/>
              <w:jc w:val="both"/>
              <w:rPr>
                <w:rFonts w:ascii="Arial" w:hAnsi="Arial" w:cs="Arial"/>
              </w:rPr>
            </w:pPr>
            <w:r w:rsidRPr="00717080">
              <w:rPr>
                <w:rFonts w:ascii="Arial" w:hAnsi="Arial" w:cs="Arial"/>
              </w:rPr>
              <w:t>Expansion of gig and remote work</w:t>
            </w:r>
          </w:p>
        </w:tc>
        <w:tc>
          <w:tcPr>
            <w:tcW w:w="3117" w:type="dxa"/>
          </w:tcPr>
          <w:p w14:paraId="56426F4B" w14:textId="77777777" w:rsidR="00717080" w:rsidRPr="00717080" w:rsidRDefault="00717080" w:rsidP="00046EEB">
            <w:pPr>
              <w:spacing w:line="360" w:lineRule="auto"/>
              <w:jc w:val="both"/>
              <w:rPr>
                <w:rFonts w:ascii="Arial" w:hAnsi="Arial" w:cs="Arial"/>
              </w:rPr>
            </w:pPr>
            <w:r w:rsidRPr="00717080">
              <w:rPr>
                <w:rFonts w:ascii="Arial" w:hAnsi="Arial" w:cs="Arial"/>
              </w:rPr>
              <w:t>Global virtual teams and digital HR systems</w:t>
            </w:r>
          </w:p>
        </w:tc>
      </w:tr>
      <w:tr w:rsidR="00717080" w:rsidRPr="00717080" w14:paraId="3746D9D7" w14:textId="77777777" w:rsidTr="00717080">
        <w:tc>
          <w:tcPr>
            <w:tcW w:w="3116" w:type="dxa"/>
          </w:tcPr>
          <w:p w14:paraId="1FCF0337" w14:textId="77777777" w:rsidR="00717080" w:rsidRPr="00717080" w:rsidRDefault="00717080" w:rsidP="00046EEB">
            <w:pPr>
              <w:spacing w:line="360" w:lineRule="auto"/>
              <w:jc w:val="both"/>
              <w:rPr>
                <w:rFonts w:ascii="Arial" w:hAnsi="Arial" w:cs="Arial"/>
              </w:rPr>
            </w:pPr>
            <w:r w:rsidRPr="00717080">
              <w:rPr>
                <w:rFonts w:ascii="Arial" w:hAnsi="Arial" w:cs="Arial"/>
              </w:rPr>
              <w:t>Cloud Computing</w:t>
            </w:r>
          </w:p>
        </w:tc>
        <w:tc>
          <w:tcPr>
            <w:tcW w:w="3117" w:type="dxa"/>
          </w:tcPr>
          <w:p w14:paraId="63BB1617" w14:textId="77777777" w:rsidR="00717080" w:rsidRPr="00717080" w:rsidRDefault="00717080" w:rsidP="00046EEB">
            <w:pPr>
              <w:spacing w:line="360" w:lineRule="auto"/>
              <w:jc w:val="both"/>
              <w:rPr>
                <w:rFonts w:ascii="Arial" w:hAnsi="Arial" w:cs="Arial"/>
              </w:rPr>
            </w:pPr>
            <w:r w:rsidRPr="00717080">
              <w:rPr>
                <w:rFonts w:ascii="Arial" w:hAnsi="Arial" w:cs="Arial"/>
              </w:rPr>
              <w:t>Increased remote collaboration</w:t>
            </w:r>
          </w:p>
        </w:tc>
        <w:tc>
          <w:tcPr>
            <w:tcW w:w="3117" w:type="dxa"/>
          </w:tcPr>
          <w:p w14:paraId="1B4B6AA4" w14:textId="77777777" w:rsidR="00717080" w:rsidRPr="00717080" w:rsidRDefault="00717080" w:rsidP="00046EEB">
            <w:pPr>
              <w:spacing w:line="360" w:lineRule="auto"/>
              <w:jc w:val="both"/>
              <w:rPr>
                <w:rFonts w:ascii="Arial" w:hAnsi="Arial" w:cs="Arial"/>
              </w:rPr>
            </w:pPr>
            <w:r w:rsidRPr="00717080">
              <w:rPr>
                <w:rFonts w:ascii="Arial" w:hAnsi="Arial" w:cs="Arial"/>
              </w:rPr>
              <w:t>Cross-border performance management</w:t>
            </w:r>
          </w:p>
        </w:tc>
      </w:tr>
      <w:tr w:rsidR="00717080" w:rsidRPr="00717080" w14:paraId="017F87C9" w14:textId="77777777" w:rsidTr="00717080">
        <w:tc>
          <w:tcPr>
            <w:tcW w:w="3116" w:type="dxa"/>
          </w:tcPr>
          <w:p w14:paraId="341FD2CA" w14:textId="77777777" w:rsidR="00717080" w:rsidRPr="00717080" w:rsidRDefault="00717080" w:rsidP="00046EEB">
            <w:pPr>
              <w:spacing w:line="360" w:lineRule="auto"/>
              <w:jc w:val="both"/>
              <w:rPr>
                <w:rFonts w:ascii="Arial" w:hAnsi="Arial" w:cs="Arial"/>
              </w:rPr>
            </w:pPr>
            <w:r w:rsidRPr="00717080">
              <w:rPr>
                <w:rFonts w:ascii="Arial" w:hAnsi="Arial" w:cs="Arial"/>
              </w:rPr>
              <w:t>Robotics and IoT</w:t>
            </w:r>
          </w:p>
        </w:tc>
        <w:tc>
          <w:tcPr>
            <w:tcW w:w="3117" w:type="dxa"/>
          </w:tcPr>
          <w:p w14:paraId="43E66660" w14:textId="77777777" w:rsidR="00717080" w:rsidRPr="00717080" w:rsidRDefault="00717080" w:rsidP="00046EEB">
            <w:pPr>
              <w:spacing w:line="360" w:lineRule="auto"/>
              <w:jc w:val="both"/>
              <w:rPr>
                <w:rFonts w:ascii="Arial" w:hAnsi="Arial" w:cs="Arial"/>
              </w:rPr>
            </w:pPr>
            <w:r w:rsidRPr="00717080">
              <w:rPr>
                <w:rFonts w:ascii="Arial" w:hAnsi="Arial" w:cs="Arial"/>
              </w:rPr>
              <w:t>Smart manufacturing and logistics</w:t>
            </w:r>
          </w:p>
        </w:tc>
        <w:tc>
          <w:tcPr>
            <w:tcW w:w="3117" w:type="dxa"/>
          </w:tcPr>
          <w:p w14:paraId="78F2464A" w14:textId="77777777" w:rsidR="00717080" w:rsidRPr="00717080" w:rsidRDefault="00717080" w:rsidP="00046EEB">
            <w:pPr>
              <w:spacing w:line="360" w:lineRule="auto"/>
              <w:jc w:val="both"/>
              <w:rPr>
                <w:rFonts w:ascii="Arial" w:hAnsi="Arial" w:cs="Arial"/>
              </w:rPr>
            </w:pPr>
            <w:r w:rsidRPr="00717080">
              <w:rPr>
                <w:rFonts w:ascii="Arial" w:hAnsi="Arial" w:cs="Arial"/>
              </w:rPr>
              <w:t>Workforce reskilling and safety management</w:t>
            </w:r>
          </w:p>
        </w:tc>
      </w:tr>
      <w:tr w:rsidR="00717080" w:rsidRPr="00717080" w14:paraId="595FA555" w14:textId="77777777" w:rsidTr="00717080">
        <w:tc>
          <w:tcPr>
            <w:tcW w:w="3116" w:type="dxa"/>
          </w:tcPr>
          <w:p w14:paraId="1488EA16" w14:textId="77777777" w:rsidR="00717080" w:rsidRPr="00717080" w:rsidRDefault="00717080" w:rsidP="00046EEB">
            <w:pPr>
              <w:spacing w:line="360" w:lineRule="auto"/>
              <w:jc w:val="both"/>
              <w:rPr>
                <w:rFonts w:ascii="Arial" w:hAnsi="Arial" w:cs="Arial"/>
              </w:rPr>
            </w:pPr>
            <w:r w:rsidRPr="00717080">
              <w:rPr>
                <w:rFonts w:ascii="Arial" w:hAnsi="Arial" w:cs="Arial"/>
              </w:rPr>
              <w:t>Blockchain</w:t>
            </w:r>
          </w:p>
        </w:tc>
        <w:tc>
          <w:tcPr>
            <w:tcW w:w="3117" w:type="dxa"/>
          </w:tcPr>
          <w:p w14:paraId="63890D15" w14:textId="77777777" w:rsidR="00717080" w:rsidRPr="00717080" w:rsidRDefault="00717080" w:rsidP="00046EEB">
            <w:pPr>
              <w:spacing w:line="360" w:lineRule="auto"/>
              <w:jc w:val="both"/>
              <w:rPr>
                <w:rFonts w:ascii="Arial" w:hAnsi="Arial" w:cs="Arial"/>
              </w:rPr>
            </w:pPr>
            <w:r w:rsidRPr="00717080">
              <w:rPr>
                <w:rFonts w:ascii="Arial" w:hAnsi="Arial" w:cs="Arial"/>
              </w:rPr>
              <w:t>Decentralized verification of credentials</w:t>
            </w:r>
          </w:p>
        </w:tc>
        <w:tc>
          <w:tcPr>
            <w:tcW w:w="3117" w:type="dxa"/>
          </w:tcPr>
          <w:p w14:paraId="1BC7C1B9" w14:textId="77777777" w:rsidR="00717080" w:rsidRPr="00717080" w:rsidRDefault="00717080" w:rsidP="00046EEB">
            <w:pPr>
              <w:spacing w:line="360" w:lineRule="auto"/>
              <w:jc w:val="both"/>
              <w:rPr>
                <w:rFonts w:ascii="Arial" w:hAnsi="Arial" w:cs="Arial"/>
              </w:rPr>
            </w:pPr>
            <w:r w:rsidRPr="00717080">
              <w:rPr>
                <w:rFonts w:ascii="Arial" w:hAnsi="Arial" w:cs="Arial"/>
              </w:rPr>
              <w:t>Transparent recruitment and compliance</w:t>
            </w:r>
          </w:p>
        </w:tc>
      </w:tr>
    </w:tbl>
    <w:p w14:paraId="45568086" w14:textId="77777777" w:rsidR="00B94781" w:rsidRPr="00717080" w:rsidRDefault="00B94781" w:rsidP="00717080">
      <w:pPr>
        <w:spacing w:line="360" w:lineRule="auto"/>
        <w:jc w:val="both"/>
        <w:rPr>
          <w:rFonts w:ascii="Arial" w:hAnsi="Arial" w:cs="Arial"/>
          <w:sz w:val="22"/>
          <w:szCs w:val="22"/>
        </w:rPr>
      </w:pPr>
      <w:r w:rsidRPr="00717080">
        <w:rPr>
          <w:rFonts w:ascii="Arial" w:hAnsi="Arial" w:cs="Arial"/>
          <w:i/>
          <w:iCs/>
          <w:sz w:val="22"/>
          <w:szCs w:val="22"/>
        </w:rPr>
        <w:t>Source: McKinsey (2024); WEF (2024)</w:t>
      </w:r>
    </w:p>
    <w:p w14:paraId="228D7BEF" w14:textId="77777777" w:rsidR="00B94781" w:rsidRPr="00717080" w:rsidRDefault="00B94781" w:rsidP="00717080">
      <w:pPr>
        <w:pStyle w:val="Heading2"/>
        <w:rPr>
          <w:rFonts w:ascii="Arial" w:hAnsi="Arial" w:cs="Arial"/>
          <w:b/>
          <w:bCs/>
          <w:color w:val="000000" w:themeColor="text1"/>
          <w:sz w:val="28"/>
          <w:szCs w:val="28"/>
        </w:rPr>
      </w:pPr>
      <w:bookmarkStart w:id="3" w:name="_Toc211434147"/>
      <w:r w:rsidRPr="00717080">
        <w:rPr>
          <w:rFonts w:ascii="Arial" w:hAnsi="Arial" w:cs="Arial"/>
          <w:b/>
          <w:bCs/>
          <w:color w:val="000000" w:themeColor="text1"/>
          <w:sz w:val="28"/>
          <w:szCs w:val="28"/>
        </w:rPr>
        <w:t>Implications for HRM and IHRM</w:t>
      </w:r>
      <w:bookmarkEnd w:id="3"/>
    </w:p>
    <w:p w14:paraId="28D83ED7"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Technological transformation compels HRM functions to adopt data-driven strategies that enhance workforce productivity and decision accuracy. AI-based recruitment tools such as </w:t>
      </w:r>
      <w:r w:rsidR="00A65DC8" w:rsidRPr="00717080">
        <w:rPr>
          <w:rFonts w:ascii="Arial" w:hAnsi="Arial" w:cs="Arial"/>
          <w:i/>
          <w:iCs/>
        </w:rPr>
        <w:t>Hire Vue</w:t>
      </w:r>
      <w:r w:rsidRPr="00717080">
        <w:rPr>
          <w:rFonts w:ascii="Arial" w:hAnsi="Arial" w:cs="Arial"/>
        </w:rPr>
        <w:t xml:space="preserve"> and </w:t>
      </w:r>
      <w:r w:rsidRPr="00717080">
        <w:rPr>
          <w:rFonts w:ascii="Arial" w:hAnsi="Arial" w:cs="Arial"/>
          <w:i/>
          <w:iCs/>
        </w:rPr>
        <w:t>LinkedIn Talent Insights</w:t>
      </w:r>
      <w:r w:rsidRPr="00717080">
        <w:rPr>
          <w:rFonts w:ascii="Arial" w:hAnsi="Arial" w:cs="Arial"/>
        </w:rPr>
        <w:t xml:space="preserve"> enable predictive analytics in hiring, helping managers assess candidate potential beyond traditional metrics (Harvard Business Review, 2023). Similarly, digital HRM platforms including </w:t>
      </w:r>
      <w:r w:rsidRPr="00717080">
        <w:rPr>
          <w:rFonts w:ascii="Arial" w:hAnsi="Arial" w:cs="Arial"/>
          <w:i/>
          <w:iCs/>
        </w:rPr>
        <w:t>SAP SuccessFactors</w:t>
      </w:r>
      <w:r w:rsidRPr="00717080">
        <w:rPr>
          <w:rFonts w:ascii="Arial" w:hAnsi="Arial" w:cs="Arial"/>
        </w:rPr>
        <w:t xml:space="preserve"> and </w:t>
      </w:r>
      <w:r w:rsidRPr="00717080">
        <w:rPr>
          <w:rFonts w:ascii="Arial" w:hAnsi="Arial" w:cs="Arial"/>
          <w:i/>
          <w:iCs/>
        </w:rPr>
        <w:t>Workday</w:t>
      </w:r>
      <w:r w:rsidRPr="00717080">
        <w:rPr>
          <w:rFonts w:ascii="Arial" w:hAnsi="Arial" w:cs="Arial"/>
        </w:rPr>
        <w:t xml:space="preserve"> integrate real-time workforce data, improving global consistency and compliance (Deloitte, 2025).</w:t>
      </w:r>
    </w:p>
    <w:p w14:paraId="0AEF8EBB"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However, as </w:t>
      </w:r>
      <w:r w:rsidR="00A65DC8" w:rsidRPr="00717080">
        <w:rPr>
          <w:rFonts w:ascii="Arial" w:hAnsi="Arial" w:cs="Arial"/>
        </w:rPr>
        <w:t>organizations</w:t>
      </w:r>
      <w:r w:rsidRPr="00717080">
        <w:rPr>
          <w:rFonts w:ascii="Arial" w:hAnsi="Arial" w:cs="Arial"/>
        </w:rPr>
        <w:t xml:space="preserve"> become increasingly digital, HR professionals must navigate new ethical and legal challenges surrounding data privacy, algorithmic bias, and employee surveillance. IHRM faces greater complexity in managing a digitally dispersed global workforce, requiring careful coordination of local </w:t>
      </w:r>
      <w:r w:rsidR="00A65DC8" w:rsidRPr="00717080">
        <w:rPr>
          <w:rFonts w:ascii="Arial" w:hAnsi="Arial" w:cs="Arial"/>
        </w:rPr>
        <w:t>labor</w:t>
      </w:r>
      <w:r w:rsidRPr="00717080">
        <w:rPr>
          <w:rFonts w:ascii="Arial" w:hAnsi="Arial" w:cs="Arial"/>
        </w:rPr>
        <w:t xml:space="preserve"> laws and global governance systems. </w:t>
      </w:r>
    </w:p>
    <w:p w14:paraId="2343607F" w14:textId="77777777" w:rsidR="00B94781" w:rsidRPr="00A65DC8" w:rsidRDefault="00B94781" w:rsidP="00A65DC8">
      <w:pPr>
        <w:pStyle w:val="Heading2"/>
        <w:rPr>
          <w:rFonts w:ascii="Arial" w:hAnsi="Arial" w:cs="Arial"/>
          <w:b/>
          <w:bCs/>
          <w:color w:val="000000" w:themeColor="text1"/>
          <w:sz w:val="28"/>
          <w:szCs w:val="28"/>
        </w:rPr>
      </w:pPr>
      <w:bookmarkStart w:id="4" w:name="_Toc211434148"/>
      <w:r w:rsidRPr="00A65DC8">
        <w:rPr>
          <w:rFonts w:ascii="Arial" w:hAnsi="Arial" w:cs="Arial"/>
          <w:b/>
          <w:bCs/>
          <w:color w:val="000000" w:themeColor="text1"/>
          <w:sz w:val="28"/>
          <w:szCs w:val="28"/>
        </w:rPr>
        <w:lastRenderedPageBreak/>
        <w:t>Strategic Outlook</w:t>
      </w:r>
      <w:bookmarkEnd w:id="4"/>
    </w:p>
    <w:p w14:paraId="6AD9A354" w14:textId="77777777" w:rsidR="00B94781" w:rsidRPr="00717080" w:rsidRDefault="00B94781" w:rsidP="00717080">
      <w:pPr>
        <w:spacing w:line="360" w:lineRule="auto"/>
        <w:jc w:val="both"/>
        <w:rPr>
          <w:rFonts w:ascii="Arial" w:hAnsi="Arial" w:cs="Arial"/>
        </w:rPr>
      </w:pPr>
      <w:r w:rsidRPr="00717080">
        <w:rPr>
          <w:rFonts w:ascii="Arial" w:hAnsi="Arial" w:cs="Arial"/>
        </w:rPr>
        <w:t>While automation enhances efficiency, it raises challenges related to employee displacement, mental health, and trust in digital systems. IHRM strategies must therefore balance innovation with inclusion by investing in digital reskilling, ensuring algorithmic fairness, and strengthening virtual engagement. Building an ethical digital culture where employees view technology as an enabler, not a threat, will be crucial to sustaining long-term commitment and retention.</w:t>
      </w:r>
    </w:p>
    <w:p w14:paraId="3A5BBA63"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The most effective HR leaders will adopt an augmented intelligence model, blending human judgment with machine efficiency to improve decision quality and equity (HBR, 2023). </w:t>
      </w:r>
    </w:p>
    <w:p w14:paraId="6C0A3EF4" w14:textId="77777777" w:rsidR="00B94781" w:rsidRPr="00717080" w:rsidRDefault="00B94781" w:rsidP="00717080">
      <w:pPr>
        <w:pStyle w:val="Heading1"/>
        <w:rPr>
          <w:rFonts w:ascii="Arial" w:hAnsi="Arial" w:cs="Arial"/>
          <w:b/>
          <w:bCs/>
          <w:color w:val="000000" w:themeColor="text1"/>
          <w:sz w:val="32"/>
          <w:szCs w:val="32"/>
        </w:rPr>
      </w:pPr>
      <w:bookmarkStart w:id="5" w:name="_Toc211434149"/>
      <w:r w:rsidRPr="00717080">
        <w:rPr>
          <w:rFonts w:ascii="Arial" w:hAnsi="Arial" w:cs="Arial"/>
          <w:b/>
          <w:bCs/>
          <w:color w:val="000000" w:themeColor="text1"/>
          <w:sz w:val="32"/>
          <w:szCs w:val="32"/>
        </w:rPr>
        <w:t>Demographic and Geopolitical Factors Influencing Employment Markets</w:t>
      </w:r>
      <w:bookmarkEnd w:id="5"/>
      <w:r w:rsidRPr="00717080">
        <w:rPr>
          <w:rFonts w:ascii="Arial" w:hAnsi="Arial" w:cs="Arial"/>
          <w:b/>
          <w:bCs/>
          <w:color w:val="000000" w:themeColor="text1"/>
          <w:sz w:val="32"/>
          <w:szCs w:val="32"/>
        </w:rPr>
        <w:t xml:space="preserve"> </w:t>
      </w:r>
    </w:p>
    <w:p w14:paraId="601E126C" w14:textId="77777777" w:rsidR="00B94781" w:rsidRPr="00A65DC8" w:rsidRDefault="00B94781" w:rsidP="00A65DC8">
      <w:pPr>
        <w:pStyle w:val="Heading2"/>
        <w:rPr>
          <w:rFonts w:ascii="Arial" w:hAnsi="Arial" w:cs="Arial"/>
          <w:b/>
          <w:bCs/>
          <w:color w:val="000000" w:themeColor="text1"/>
          <w:sz w:val="28"/>
          <w:szCs w:val="28"/>
        </w:rPr>
      </w:pPr>
      <w:bookmarkStart w:id="6" w:name="_Toc211434150"/>
      <w:r w:rsidRPr="00A65DC8">
        <w:rPr>
          <w:rFonts w:ascii="Arial" w:hAnsi="Arial" w:cs="Arial"/>
          <w:b/>
          <w:bCs/>
          <w:color w:val="000000" w:themeColor="text1"/>
          <w:sz w:val="28"/>
          <w:szCs w:val="28"/>
        </w:rPr>
        <w:t>Demographic Transitions</w:t>
      </w:r>
      <w:bookmarkEnd w:id="6"/>
    </w:p>
    <w:p w14:paraId="7CB595C4"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Global </w:t>
      </w:r>
      <w:r w:rsidR="00A65DC8" w:rsidRPr="00717080">
        <w:rPr>
          <w:rFonts w:ascii="Arial" w:hAnsi="Arial" w:cs="Arial"/>
        </w:rPr>
        <w:t>labor</w:t>
      </w:r>
      <w:r w:rsidRPr="00717080">
        <w:rPr>
          <w:rFonts w:ascii="Arial" w:hAnsi="Arial" w:cs="Arial"/>
        </w:rPr>
        <w:t xml:space="preserve"> markets are being redefined by profound demographic evolution. According to the United Nations (2024), one in six people globally will be aged 65 or over by 2050, leading to severe workforce shortages in developed economies such as Japan, Germany, and Italy. This ageing trend increases pension burdens and dependency ratios while shrinking the economically active population. Conversely, Africa’s working-age population is projected to grow by 35% by 2050, offering a potential “demographic dividend” but also intensifying the challenge of job creation and infrastructure investment to absorb young workers effectively.</w:t>
      </w:r>
    </w:p>
    <w:p w14:paraId="5D3F8CEB"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Gender participation has improved modestly but remains unequal. World Bank (2024) data </w:t>
      </w:r>
      <w:r w:rsidR="00717080" w:rsidRPr="00717080">
        <w:rPr>
          <w:rFonts w:ascii="Arial" w:hAnsi="Arial" w:cs="Arial"/>
        </w:rPr>
        <w:t>show</w:t>
      </w:r>
      <w:r w:rsidRPr="00717080">
        <w:rPr>
          <w:rFonts w:ascii="Arial" w:hAnsi="Arial" w:cs="Arial"/>
        </w:rPr>
        <w:t xml:space="preserve"> global female </w:t>
      </w:r>
      <w:r w:rsidR="00A65DC8" w:rsidRPr="00717080">
        <w:rPr>
          <w:rFonts w:ascii="Arial" w:hAnsi="Arial" w:cs="Arial"/>
        </w:rPr>
        <w:t>labor</w:t>
      </w:r>
      <w:r w:rsidRPr="00717080">
        <w:rPr>
          <w:rFonts w:ascii="Arial" w:hAnsi="Arial" w:cs="Arial"/>
        </w:rPr>
        <w:t xml:space="preserve"> force participation at 48.5% in 2024. However, cultural norms and unequal access to digital technology continue to restrict women’s participation in high-growth sectors such as information technology, finance, and engineering. Addressing gender inequality is not only an ethical imperative but also an economic one—McKinsey (2024) estimates that closing gender gaps could add USD 12 trillion to global GDP by 2030.</w:t>
      </w:r>
    </w:p>
    <w:p w14:paraId="6A0DF201" w14:textId="77777777" w:rsidR="00B94781" w:rsidRPr="00717080" w:rsidRDefault="00B94781" w:rsidP="00717080">
      <w:pPr>
        <w:spacing w:line="360" w:lineRule="auto"/>
        <w:jc w:val="both"/>
        <w:rPr>
          <w:rFonts w:ascii="Arial" w:hAnsi="Arial" w:cs="Arial"/>
        </w:rPr>
      </w:pPr>
      <w:r w:rsidRPr="00717080">
        <w:rPr>
          <w:rFonts w:ascii="Arial" w:hAnsi="Arial" w:cs="Arial"/>
          <w:noProof/>
        </w:rPr>
        <w:lastRenderedPageBreak/>
        <w:drawing>
          <wp:inline distT="0" distB="0" distL="0" distR="0" wp14:anchorId="7BB8C5BD" wp14:editId="7A86E43C">
            <wp:extent cx="5943600" cy="2478505"/>
            <wp:effectExtent l="0" t="0" r="0" b="0"/>
            <wp:docPr id="14979862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9958" cy="2481156"/>
                    </a:xfrm>
                    <a:prstGeom prst="rect">
                      <a:avLst/>
                    </a:prstGeom>
                    <a:noFill/>
                    <a:ln>
                      <a:noFill/>
                    </a:ln>
                  </pic:spPr>
                </pic:pic>
              </a:graphicData>
            </a:graphic>
          </wp:inline>
        </w:drawing>
      </w:r>
    </w:p>
    <w:p w14:paraId="3409FA03" w14:textId="77777777" w:rsidR="00B94781" w:rsidRPr="00717080" w:rsidRDefault="00B94781" w:rsidP="00A65DC8">
      <w:pPr>
        <w:spacing w:line="360" w:lineRule="auto"/>
        <w:rPr>
          <w:rFonts w:ascii="Arial" w:hAnsi="Arial" w:cs="Arial"/>
        </w:rPr>
      </w:pPr>
      <w:r w:rsidRPr="00717080">
        <w:rPr>
          <w:rFonts w:ascii="Arial" w:hAnsi="Arial" w:cs="Arial"/>
        </w:rPr>
        <w:t xml:space="preserve">Figure 1. Global </w:t>
      </w:r>
      <w:r w:rsidR="00A65DC8" w:rsidRPr="00717080">
        <w:rPr>
          <w:rFonts w:ascii="Arial" w:hAnsi="Arial" w:cs="Arial"/>
        </w:rPr>
        <w:t>Labor</w:t>
      </w:r>
      <w:r w:rsidRPr="00717080">
        <w:rPr>
          <w:rFonts w:ascii="Arial" w:hAnsi="Arial" w:cs="Arial"/>
        </w:rPr>
        <w:t xml:space="preserve"> Market Composition by Age (2020–2050)</w:t>
      </w:r>
      <w:r w:rsidRPr="00717080">
        <w:rPr>
          <w:rFonts w:ascii="Arial" w:hAnsi="Arial" w:cs="Arial"/>
        </w:rPr>
        <w:br/>
      </w:r>
      <w:r w:rsidRPr="00717080">
        <w:rPr>
          <w:rFonts w:ascii="Arial" w:hAnsi="Arial" w:cs="Arial"/>
          <w:i/>
          <w:iCs/>
        </w:rPr>
        <w:t>(Source: United Nations, 2024)</w:t>
      </w:r>
    </w:p>
    <w:p w14:paraId="7DC92345" w14:textId="77777777" w:rsidR="00B94781" w:rsidRDefault="00B94781" w:rsidP="00A65DC8">
      <w:pPr>
        <w:pStyle w:val="Heading2"/>
        <w:rPr>
          <w:rFonts w:ascii="Arial" w:hAnsi="Arial" w:cs="Arial"/>
          <w:b/>
          <w:bCs/>
          <w:color w:val="000000" w:themeColor="text1"/>
          <w:sz w:val="28"/>
          <w:szCs w:val="28"/>
        </w:rPr>
      </w:pPr>
      <w:bookmarkStart w:id="7" w:name="_Toc211434151"/>
      <w:r w:rsidRPr="00A65DC8">
        <w:rPr>
          <w:rFonts w:ascii="Arial" w:hAnsi="Arial" w:cs="Arial"/>
          <w:b/>
          <w:bCs/>
          <w:color w:val="000000" w:themeColor="text1"/>
          <w:sz w:val="28"/>
          <w:szCs w:val="28"/>
        </w:rPr>
        <w:t>Geopolitical Influences</w:t>
      </w:r>
      <w:bookmarkEnd w:id="7"/>
    </w:p>
    <w:p w14:paraId="285B1AA2" w14:textId="77777777" w:rsidR="00790BB1" w:rsidRPr="00790BB1" w:rsidRDefault="00790BB1" w:rsidP="00790BB1">
      <w:pPr>
        <w:spacing w:line="360" w:lineRule="auto"/>
        <w:jc w:val="both"/>
        <w:rPr>
          <w:rFonts w:ascii="Arial" w:hAnsi="Arial" w:cs="Arial"/>
        </w:rPr>
      </w:pPr>
      <w:r w:rsidRPr="00790BB1">
        <w:rPr>
          <w:rFonts w:ascii="Arial" w:hAnsi="Arial" w:cs="Arial"/>
        </w:rPr>
        <w:t>Geopolitics instability (including trade wars, conflicts in the region, economic nationalism, etc.) have altered job markets. The conflict between Russia and Ukraine had shaken the European energy and manufacturing supply chain, and multinational corporations had begun to shift their production elsewhere to various locations like Vietnam and India because of China-US trade tensions (OECD, 2024). In the same vein, Brexit caused acute labor shortages in the UK hospitality and healthcare and agricultural industries because of limited access to EU workers (CIPD, 2023). The COVID-19 also displayed systemic flaws in the world system of labor. The ILO (2023) states that in 2022, 70 percent of enterprises all over the globe implemented remote or hybrid work, which indicates a shift to a new flexible model of work permanently. This shift has significant implications on the international HRM - it demands new strategies on how to engage employees, handle cybersecurity, and international well-being.</w:t>
      </w:r>
    </w:p>
    <w:p w14:paraId="4A198966" w14:textId="77777777" w:rsidR="00B94781" w:rsidRPr="00A65DC8" w:rsidRDefault="00B94781" w:rsidP="00A65DC8">
      <w:pPr>
        <w:pStyle w:val="Heading2"/>
        <w:rPr>
          <w:rFonts w:ascii="Arial" w:hAnsi="Arial" w:cs="Arial"/>
          <w:b/>
          <w:bCs/>
          <w:color w:val="000000" w:themeColor="text1"/>
          <w:sz w:val="28"/>
          <w:szCs w:val="28"/>
        </w:rPr>
      </w:pPr>
      <w:bookmarkStart w:id="8" w:name="_Toc211434152"/>
      <w:r w:rsidRPr="00A65DC8">
        <w:rPr>
          <w:rFonts w:ascii="Arial" w:hAnsi="Arial" w:cs="Arial"/>
          <w:b/>
          <w:bCs/>
          <w:color w:val="000000" w:themeColor="text1"/>
          <w:sz w:val="28"/>
          <w:szCs w:val="28"/>
        </w:rPr>
        <w:t>Implications for HR Professionals</w:t>
      </w:r>
      <w:bookmarkEnd w:id="8"/>
    </w:p>
    <w:p w14:paraId="50B8F202" w14:textId="77777777" w:rsidR="00790BB1" w:rsidRPr="00717080" w:rsidRDefault="00790BB1" w:rsidP="00717080">
      <w:pPr>
        <w:spacing w:line="360" w:lineRule="auto"/>
        <w:jc w:val="both"/>
        <w:rPr>
          <w:rFonts w:ascii="Arial" w:hAnsi="Arial" w:cs="Arial"/>
        </w:rPr>
      </w:pPr>
      <w:r w:rsidRPr="00790BB1">
        <w:rPr>
          <w:rFonts w:ascii="Arial" w:hAnsi="Arial" w:cs="Arial"/>
        </w:rPr>
        <w:t xml:space="preserve">The HR professionals are faced with a volatile, uncertain, complex, and ambiguous (VUCA) environment now. They are at the forefront of developing inclusive recruitment pipelines as a solution to skill deficits in ageing economies, the creation of cross-cultural leadership development programs to handle diverse and geographically dispersed </w:t>
      </w:r>
      <w:r w:rsidRPr="00790BB1">
        <w:rPr>
          <w:rFonts w:ascii="Arial" w:hAnsi="Arial" w:cs="Arial"/>
        </w:rPr>
        <w:lastRenderedPageBreak/>
        <w:t>workforces, and the adoption of 6 geo-responsive HR models that meet local regulatory requirements and yet remain globally consistent. Also, HRM will have to respond to the new ethical issues like adequate remunerations, rights of migrants, and equal access to digital opportunities beyond the borders (Deloitte, 2025).</w:t>
      </w:r>
    </w:p>
    <w:p w14:paraId="62291C67" w14:textId="77777777" w:rsidR="00B94781" w:rsidRPr="00A65DC8" w:rsidRDefault="00B94781" w:rsidP="00A65DC8">
      <w:pPr>
        <w:pStyle w:val="Heading2"/>
        <w:rPr>
          <w:rFonts w:ascii="Arial" w:hAnsi="Arial" w:cs="Arial"/>
          <w:b/>
          <w:bCs/>
          <w:color w:val="000000" w:themeColor="text1"/>
          <w:sz w:val="28"/>
          <w:szCs w:val="28"/>
        </w:rPr>
      </w:pPr>
      <w:bookmarkStart w:id="9" w:name="_Toc211434153"/>
      <w:r w:rsidRPr="00A65DC8">
        <w:rPr>
          <w:rFonts w:ascii="Arial" w:hAnsi="Arial" w:cs="Arial"/>
          <w:b/>
          <w:bCs/>
          <w:color w:val="000000" w:themeColor="text1"/>
          <w:sz w:val="28"/>
          <w:szCs w:val="28"/>
        </w:rPr>
        <w:t>Critical Evaluation</w:t>
      </w:r>
      <w:bookmarkEnd w:id="9"/>
    </w:p>
    <w:p w14:paraId="5E3387EA"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Demographic and geopolitical dynamics create both challenges and opportunities for global HRM. While workforce diversity enhances creativity and resilience, political uncertainty and demographic imbalances demand strategic foresight. The most successful </w:t>
      </w:r>
      <w:r w:rsidR="00A65DC8" w:rsidRPr="00717080">
        <w:rPr>
          <w:rFonts w:ascii="Arial" w:hAnsi="Arial" w:cs="Arial"/>
        </w:rPr>
        <w:t>organizations</w:t>
      </w:r>
      <w:r w:rsidRPr="00717080">
        <w:rPr>
          <w:rFonts w:ascii="Arial" w:hAnsi="Arial" w:cs="Arial"/>
        </w:rPr>
        <w:t xml:space="preserve"> are those that integrate strategic workforce planning with global risk management, using scenario modelling and demographic analytics to anticipate disruptions. </w:t>
      </w:r>
    </w:p>
    <w:p w14:paraId="79F1F671" w14:textId="77777777" w:rsidR="00B94781" w:rsidRPr="00717080" w:rsidRDefault="00B94781" w:rsidP="00717080">
      <w:pPr>
        <w:pStyle w:val="Heading1"/>
        <w:rPr>
          <w:rFonts w:ascii="Arial" w:hAnsi="Arial" w:cs="Arial"/>
          <w:b/>
          <w:bCs/>
          <w:color w:val="000000" w:themeColor="text1"/>
          <w:sz w:val="28"/>
          <w:szCs w:val="28"/>
        </w:rPr>
      </w:pPr>
      <w:bookmarkStart w:id="10" w:name="_Toc211434154"/>
      <w:r w:rsidRPr="00717080">
        <w:rPr>
          <w:rFonts w:ascii="Arial" w:hAnsi="Arial" w:cs="Arial"/>
          <w:b/>
          <w:bCs/>
          <w:color w:val="000000" w:themeColor="text1"/>
          <w:sz w:val="28"/>
          <w:szCs w:val="28"/>
        </w:rPr>
        <w:t>Addressing Skills Gaps and Talent Shortages through Strategic HRM</w:t>
      </w:r>
      <w:bookmarkEnd w:id="10"/>
      <w:r w:rsidRPr="00717080">
        <w:rPr>
          <w:rFonts w:ascii="Arial" w:hAnsi="Arial" w:cs="Arial"/>
          <w:b/>
          <w:bCs/>
          <w:color w:val="000000" w:themeColor="text1"/>
          <w:sz w:val="28"/>
          <w:szCs w:val="28"/>
        </w:rPr>
        <w:t xml:space="preserve"> </w:t>
      </w:r>
    </w:p>
    <w:p w14:paraId="52885678" w14:textId="77777777" w:rsidR="00D04617" w:rsidRDefault="00B94781" w:rsidP="00D04617">
      <w:pPr>
        <w:spacing w:line="360" w:lineRule="auto"/>
        <w:jc w:val="both"/>
        <w:rPr>
          <w:rFonts w:ascii="Arial" w:hAnsi="Arial" w:cs="Arial"/>
        </w:rPr>
      </w:pPr>
      <w:r w:rsidRPr="00717080">
        <w:rPr>
          <w:rFonts w:ascii="Arial" w:hAnsi="Arial" w:cs="Arial"/>
        </w:rPr>
        <w:t xml:space="preserve">Global industries face chronic talent shortages, driven by automation, demographic shifts, and the growing disconnect between educational systems and employer needs. The OECD (2024) estimates that over 1 billion workers will require reskilling by 2030, while ManpowerGroup (2024) reports global talent shortages at a 17-year high (77%), particularly in technology, healthcare, and </w:t>
      </w:r>
      <w:r w:rsidR="006E3BD1">
        <w:rPr>
          <w:rFonts w:ascii="Arial" w:hAnsi="Arial" w:cs="Arial"/>
        </w:rPr>
        <w:t xml:space="preserve">hospitality </w:t>
      </w:r>
      <w:r w:rsidRPr="00717080">
        <w:rPr>
          <w:rFonts w:ascii="Arial" w:hAnsi="Arial" w:cs="Arial"/>
        </w:rPr>
        <w:t xml:space="preserve">sectors. </w:t>
      </w:r>
    </w:p>
    <w:p w14:paraId="536A1887" w14:textId="77777777" w:rsidR="00B94781" w:rsidRPr="00D04617" w:rsidRDefault="00B94781" w:rsidP="00D04617">
      <w:pPr>
        <w:pStyle w:val="Heading2"/>
        <w:rPr>
          <w:rFonts w:ascii="Arial" w:hAnsi="Arial" w:cs="Arial"/>
          <w:b/>
          <w:bCs/>
          <w:color w:val="000000" w:themeColor="text1"/>
          <w:sz w:val="28"/>
          <w:szCs w:val="28"/>
        </w:rPr>
      </w:pPr>
      <w:bookmarkStart w:id="11" w:name="_Toc211434155"/>
      <w:r w:rsidRPr="00D04617">
        <w:rPr>
          <w:rFonts w:ascii="Arial" w:hAnsi="Arial" w:cs="Arial"/>
          <w:b/>
          <w:bCs/>
          <w:color w:val="000000" w:themeColor="text1"/>
          <w:sz w:val="28"/>
          <w:szCs w:val="28"/>
        </w:rPr>
        <w:t>Causes of Skills Gaps</w:t>
      </w:r>
      <w:bookmarkEnd w:id="11"/>
    </w:p>
    <w:p w14:paraId="283BD234" w14:textId="77777777" w:rsidR="00B94781" w:rsidRDefault="00B94781" w:rsidP="00717080">
      <w:pPr>
        <w:spacing w:line="360" w:lineRule="auto"/>
        <w:jc w:val="both"/>
        <w:rPr>
          <w:rFonts w:ascii="Arial" w:hAnsi="Arial" w:cs="Arial"/>
        </w:rPr>
      </w:pPr>
      <w:r w:rsidRPr="00717080">
        <w:rPr>
          <w:rFonts w:ascii="Arial" w:hAnsi="Arial" w:cs="Arial"/>
        </w:rPr>
        <w:t>The global skills crisis arises from multiple, interrelated structural factors:</w:t>
      </w:r>
    </w:p>
    <w:p w14:paraId="19FBE298" w14:textId="77777777" w:rsidR="006E3BD1" w:rsidRDefault="006E3BD1" w:rsidP="00717080">
      <w:pPr>
        <w:spacing w:line="360" w:lineRule="auto"/>
        <w:jc w:val="both"/>
        <w:rPr>
          <w:rFonts w:ascii="Arial" w:hAnsi="Arial" w:cs="Arial"/>
        </w:rPr>
      </w:pPr>
      <w:r w:rsidRPr="006E3BD1">
        <w:rPr>
          <w:rFonts w:ascii="Arial" w:hAnsi="Arial" w:cs="Arial"/>
          <w:b/>
          <w:bCs/>
        </w:rPr>
        <w:t>Technological acceleration:</w:t>
      </w:r>
      <w:r w:rsidRPr="006E3BD1">
        <w:rPr>
          <w:rFonts w:ascii="Arial" w:hAnsi="Arial" w:cs="Arial"/>
        </w:rPr>
        <w:t xml:space="preserve"> Job demands are changing faster than the education systems can keep up with the pace of rapid digitization, artificial intelligence (AI), and automation. According to the World Bank (2024), 60 percent of existing jobs will be changed radically in the next 10 years. There has been a need to have AI-aided diagnostic specialists and health data analysts in healthcare due to digital health tools and telemedicine. Likewise, new skills requirements have been created in hospitality through digital bookings systems, service robots, online reputation management platforms, and others, which are not met by the current training systems (ILO, 2024). </w:t>
      </w:r>
    </w:p>
    <w:p w14:paraId="6F30A28E" w14:textId="77777777" w:rsidR="006E3BD1" w:rsidRDefault="006E3BD1" w:rsidP="00717080">
      <w:pPr>
        <w:spacing w:line="360" w:lineRule="auto"/>
        <w:jc w:val="both"/>
        <w:rPr>
          <w:rFonts w:ascii="Arial" w:hAnsi="Arial" w:cs="Arial"/>
        </w:rPr>
      </w:pPr>
      <w:r w:rsidRPr="006E3BD1">
        <w:rPr>
          <w:rFonts w:ascii="Arial" w:hAnsi="Arial" w:cs="Arial"/>
          <w:b/>
          <w:bCs/>
        </w:rPr>
        <w:lastRenderedPageBreak/>
        <w:t>Education-employment mismatch:</w:t>
      </w:r>
      <w:r w:rsidRPr="006E3BD1">
        <w:rPr>
          <w:rFonts w:ascii="Arial" w:hAnsi="Arial" w:cs="Arial"/>
        </w:rPr>
        <w:t xml:space="preserve"> In the majority of universities, theoretical skills are more important than practical skills. According to UNESCO (2024), only less than 30 percent of graduates in the developing world get formal training on digital, which increases the disparities in employability. The lack of digital marketing and customer analytics training in the hospitality industry limits the innovation in the service, and healthcare specialists are more and more in need of hybrid clinical-technological skills.</w:t>
      </w:r>
    </w:p>
    <w:p w14:paraId="37D90A69" w14:textId="77777777" w:rsidR="006E3BD1" w:rsidRPr="00717080" w:rsidRDefault="006E3BD1" w:rsidP="00717080">
      <w:pPr>
        <w:spacing w:line="360" w:lineRule="auto"/>
        <w:jc w:val="both"/>
        <w:rPr>
          <w:rFonts w:ascii="Arial" w:hAnsi="Arial" w:cs="Arial"/>
        </w:rPr>
      </w:pPr>
      <w:r w:rsidRPr="006E3BD1">
        <w:rPr>
          <w:rFonts w:ascii="Arial" w:hAnsi="Arial" w:cs="Arial"/>
          <w:b/>
          <w:bCs/>
        </w:rPr>
        <w:t>Geographic disparities:</w:t>
      </w:r>
      <w:r w:rsidRPr="006E3BD1">
        <w:rPr>
          <w:rFonts w:ascii="Arial" w:hAnsi="Arial" w:cs="Arial"/>
        </w:rPr>
        <w:t xml:space="preserve"> The distribution of talent is not even with the rich countries having the majority of innovation centers. The WHO (2024) projects a 10-million shortage of healthcare workers worldwide by 2030, and CIPD (2024) attributes the hospitality shortages to migration restrictions and the use of seasonal labour.</w:t>
      </w:r>
    </w:p>
    <w:p w14:paraId="1C713C7B" w14:textId="77777777" w:rsidR="001113AA" w:rsidRPr="00717080" w:rsidRDefault="001113AA" w:rsidP="00717080">
      <w:pPr>
        <w:spacing w:line="360" w:lineRule="auto"/>
        <w:jc w:val="both"/>
        <w:rPr>
          <w:rFonts w:ascii="Arial" w:hAnsi="Arial" w:cs="Arial"/>
        </w:rPr>
      </w:pPr>
      <w:r w:rsidRPr="00717080">
        <w:rPr>
          <w:rFonts w:ascii="Arial" w:hAnsi="Arial" w:cs="Arial"/>
          <w:noProof/>
        </w:rPr>
        <w:drawing>
          <wp:inline distT="0" distB="0" distL="0" distR="0" wp14:anchorId="23EEC650" wp14:editId="1A3AAFED">
            <wp:extent cx="3938834" cy="1564105"/>
            <wp:effectExtent l="0" t="0" r="5080" b="0"/>
            <wp:docPr id="9533977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59475" cy="1572301"/>
                    </a:xfrm>
                    <a:prstGeom prst="rect">
                      <a:avLst/>
                    </a:prstGeom>
                    <a:noFill/>
                  </pic:spPr>
                </pic:pic>
              </a:graphicData>
            </a:graphic>
          </wp:inline>
        </w:drawing>
      </w:r>
    </w:p>
    <w:p w14:paraId="3F2A0876" w14:textId="77777777" w:rsidR="001113AA" w:rsidRPr="00A65DC8" w:rsidRDefault="001113AA" w:rsidP="00717080">
      <w:pPr>
        <w:spacing w:line="360" w:lineRule="auto"/>
        <w:jc w:val="both"/>
        <w:rPr>
          <w:rFonts w:ascii="Arial" w:hAnsi="Arial" w:cs="Arial"/>
          <w:i/>
          <w:iCs/>
        </w:rPr>
      </w:pPr>
      <w:r w:rsidRPr="00A65DC8">
        <w:rPr>
          <w:rFonts w:ascii="Arial" w:hAnsi="Arial" w:cs="Arial"/>
          <w:i/>
          <w:iCs/>
        </w:rPr>
        <w:t>Source: ManpowerGroup (2024)</w:t>
      </w:r>
    </w:p>
    <w:p w14:paraId="4A935F2C" w14:textId="77777777" w:rsidR="00B94781" w:rsidRPr="00A65DC8" w:rsidRDefault="00B94781" w:rsidP="00717080">
      <w:pPr>
        <w:spacing w:line="360" w:lineRule="auto"/>
        <w:jc w:val="both"/>
        <w:rPr>
          <w:rFonts w:ascii="Arial" w:hAnsi="Arial" w:cs="Arial"/>
          <w:b/>
          <w:bCs/>
        </w:rPr>
      </w:pPr>
      <w:r w:rsidRPr="00A65DC8">
        <w:rPr>
          <w:rFonts w:ascii="Arial" w:hAnsi="Arial" w:cs="Arial"/>
          <w:b/>
          <w:bCs/>
        </w:rPr>
        <w:t>Figure 2. Global Skills Shortage by Sector (2024)</w:t>
      </w:r>
    </w:p>
    <w:p w14:paraId="12B6FFB1" w14:textId="77777777" w:rsidR="00B94781" w:rsidRPr="00A65DC8" w:rsidRDefault="00B94781" w:rsidP="00A65DC8">
      <w:pPr>
        <w:pStyle w:val="Heading2"/>
        <w:rPr>
          <w:rFonts w:ascii="Arial" w:hAnsi="Arial" w:cs="Arial"/>
          <w:b/>
          <w:bCs/>
          <w:color w:val="000000" w:themeColor="text1"/>
          <w:sz w:val="28"/>
          <w:szCs w:val="28"/>
        </w:rPr>
      </w:pPr>
      <w:bookmarkStart w:id="12" w:name="_Toc211434156"/>
      <w:r w:rsidRPr="00A65DC8">
        <w:rPr>
          <w:rFonts w:ascii="Arial" w:hAnsi="Arial" w:cs="Arial"/>
          <w:b/>
          <w:bCs/>
          <w:color w:val="000000" w:themeColor="text1"/>
          <w:sz w:val="28"/>
          <w:szCs w:val="28"/>
        </w:rPr>
        <w:t>Strategic HRM Responses</w:t>
      </w:r>
      <w:bookmarkEnd w:id="12"/>
    </w:p>
    <w:p w14:paraId="117BE193" w14:textId="77777777" w:rsidR="00B94781" w:rsidRPr="00717080" w:rsidRDefault="00B94781" w:rsidP="00717080">
      <w:pPr>
        <w:spacing w:line="360" w:lineRule="auto"/>
        <w:jc w:val="both"/>
        <w:rPr>
          <w:rFonts w:ascii="Arial" w:hAnsi="Arial" w:cs="Arial"/>
        </w:rPr>
      </w:pPr>
      <w:r w:rsidRPr="00717080">
        <w:rPr>
          <w:rFonts w:ascii="Arial" w:hAnsi="Arial" w:cs="Arial"/>
        </w:rPr>
        <w:t>To address persistent skills gaps, HRM must evolve from transactional processes to strategic talent</w:t>
      </w:r>
      <w:r w:rsidR="00D04617">
        <w:rPr>
          <w:rFonts w:ascii="Arial" w:hAnsi="Arial" w:cs="Arial"/>
        </w:rPr>
        <w:t>:</w:t>
      </w:r>
    </w:p>
    <w:p w14:paraId="588987B0" w14:textId="77777777" w:rsidR="00A65DC8" w:rsidRPr="00A65DC8" w:rsidRDefault="00B94781" w:rsidP="00A65DC8">
      <w:pPr>
        <w:spacing w:line="360" w:lineRule="auto"/>
        <w:jc w:val="both"/>
        <w:rPr>
          <w:rFonts w:ascii="Arial" w:hAnsi="Arial" w:cs="Arial"/>
          <w:b/>
          <w:bCs/>
        </w:rPr>
      </w:pPr>
      <w:r w:rsidRPr="00A65DC8">
        <w:rPr>
          <w:rFonts w:ascii="Arial" w:hAnsi="Arial" w:cs="Arial"/>
          <w:b/>
          <w:bCs/>
        </w:rPr>
        <w:t>Reskilling and Upskilling:</w:t>
      </w:r>
    </w:p>
    <w:p w14:paraId="2F274920" w14:textId="77777777" w:rsidR="00B94781" w:rsidRPr="00717080" w:rsidRDefault="00B94781" w:rsidP="00A65DC8">
      <w:pPr>
        <w:spacing w:line="360" w:lineRule="auto"/>
        <w:jc w:val="both"/>
        <w:rPr>
          <w:rFonts w:ascii="Arial" w:hAnsi="Arial" w:cs="Arial"/>
        </w:rPr>
      </w:pPr>
      <w:r w:rsidRPr="00717080">
        <w:rPr>
          <w:rFonts w:ascii="Arial" w:hAnsi="Arial" w:cs="Arial"/>
        </w:rPr>
        <w:t xml:space="preserve">Leading </w:t>
      </w:r>
      <w:r w:rsidR="00A65DC8" w:rsidRPr="00717080">
        <w:rPr>
          <w:rFonts w:ascii="Arial" w:hAnsi="Arial" w:cs="Arial"/>
        </w:rPr>
        <w:t>organizations</w:t>
      </w:r>
      <w:r w:rsidRPr="00717080">
        <w:rPr>
          <w:rFonts w:ascii="Arial" w:hAnsi="Arial" w:cs="Arial"/>
        </w:rPr>
        <w:t xml:space="preserve"> such as PwC and Amazon have invested heavily in lifelong learning. PwC’s </w:t>
      </w:r>
      <w:r w:rsidRPr="00717080">
        <w:rPr>
          <w:rFonts w:ascii="Arial" w:hAnsi="Arial" w:cs="Arial"/>
          <w:i/>
          <w:iCs/>
        </w:rPr>
        <w:t>New World, New Skills</w:t>
      </w:r>
      <w:r w:rsidRPr="00717080">
        <w:rPr>
          <w:rFonts w:ascii="Arial" w:hAnsi="Arial" w:cs="Arial"/>
        </w:rPr>
        <w:t xml:space="preserve"> initiative (2023) allocated USD 3 billion to upskill 275,000 employees globally, focusing on data analytics, AI, and sustainability competencies. </w:t>
      </w:r>
    </w:p>
    <w:p w14:paraId="112D1078" w14:textId="77777777" w:rsidR="00A65DC8" w:rsidRPr="00A65DC8" w:rsidRDefault="00B94781" w:rsidP="00A65DC8">
      <w:pPr>
        <w:spacing w:line="360" w:lineRule="auto"/>
        <w:jc w:val="both"/>
        <w:rPr>
          <w:rFonts w:ascii="Arial" w:hAnsi="Arial" w:cs="Arial"/>
          <w:b/>
          <w:bCs/>
        </w:rPr>
      </w:pPr>
      <w:r w:rsidRPr="00A65DC8">
        <w:rPr>
          <w:rFonts w:ascii="Arial" w:hAnsi="Arial" w:cs="Arial"/>
          <w:b/>
          <w:bCs/>
        </w:rPr>
        <w:t>Predictive Workforce Analytics:</w:t>
      </w:r>
    </w:p>
    <w:p w14:paraId="08DD75C8" w14:textId="77777777" w:rsidR="00B94781" w:rsidRPr="00717080" w:rsidRDefault="00B94781" w:rsidP="00A65DC8">
      <w:pPr>
        <w:spacing w:line="360" w:lineRule="auto"/>
        <w:jc w:val="both"/>
        <w:rPr>
          <w:rFonts w:ascii="Arial" w:hAnsi="Arial" w:cs="Arial"/>
        </w:rPr>
      </w:pPr>
      <w:r w:rsidRPr="00717080">
        <w:rPr>
          <w:rFonts w:ascii="Arial" w:hAnsi="Arial" w:cs="Arial"/>
        </w:rPr>
        <w:lastRenderedPageBreak/>
        <w:t xml:space="preserve">Advanced HR analytics enables predictive modelling of emerging roles and talent risks. AI-powered systems such as IBM Talent Data Cloud (2024) identify future capability gaps, allowing proactive redeployment and </w:t>
      </w:r>
      <w:r w:rsidR="00A65DC8" w:rsidRPr="00717080">
        <w:rPr>
          <w:rFonts w:ascii="Arial" w:hAnsi="Arial" w:cs="Arial"/>
        </w:rPr>
        <w:t>personalized</w:t>
      </w:r>
      <w:r w:rsidRPr="00717080">
        <w:rPr>
          <w:rFonts w:ascii="Arial" w:hAnsi="Arial" w:cs="Arial"/>
        </w:rPr>
        <w:t xml:space="preserve"> training. This analytical approach transforms HRM into a data-driven strategic partner, improving agility in fast-changing markets.</w:t>
      </w:r>
    </w:p>
    <w:p w14:paraId="32FC3740" w14:textId="77777777" w:rsidR="00A65DC8" w:rsidRPr="00A65DC8" w:rsidRDefault="00B94781" w:rsidP="00A65DC8">
      <w:pPr>
        <w:spacing w:line="360" w:lineRule="auto"/>
        <w:jc w:val="both"/>
        <w:rPr>
          <w:rFonts w:ascii="Arial" w:hAnsi="Arial" w:cs="Arial"/>
          <w:b/>
          <w:bCs/>
        </w:rPr>
      </w:pPr>
      <w:r w:rsidRPr="00A65DC8">
        <w:rPr>
          <w:rFonts w:ascii="Arial" w:hAnsi="Arial" w:cs="Arial"/>
          <w:b/>
          <w:bCs/>
        </w:rPr>
        <w:t>Partnerships and Ecosystems:</w:t>
      </w:r>
    </w:p>
    <w:p w14:paraId="10E05191" w14:textId="77777777" w:rsidR="00B94781" w:rsidRPr="00236238" w:rsidRDefault="00B94781" w:rsidP="00A65DC8">
      <w:pPr>
        <w:spacing w:line="360" w:lineRule="auto"/>
        <w:jc w:val="both"/>
        <w:rPr>
          <w:rFonts w:ascii="Arial" w:hAnsi="Arial" w:cs="Arial"/>
          <w:color w:val="000000" w:themeColor="text1"/>
        </w:rPr>
      </w:pPr>
      <w:r w:rsidRPr="00236238">
        <w:rPr>
          <w:rFonts w:ascii="Arial" w:hAnsi="Arial" w:cs="Arial"/>
          <w:color w:val="000000" w:themeColor="text1"/>
        </w:rPr>
        <w:t xml:space="preserve">Collaborations between business, academia, and government are crucial for aligning education with industry needs. Siemens and Microsoft (2024), for example, co-develop digital engineering curricula with universities, ensuring graduates possess industry-relevant technical skills. </w:t>
      </w:r>
    </w:p>
    <w:p w14:paraId="08A5EDD0" w14:textId="77777777" w:rsidR="00B94781" w:rsidRPr="00A65DC8" w:rsidRDefault="00B94781" w:rsidP="00A65DC8">
      <w:pPr>
        <w:pStyle w:val="Heading2"/>
        <w:rPr>
          <w:rFonts w:ascii="Arial" w:hAnsi="Arial" w:cs="Arial"/>
          <w:b/>
          <w:bCs/>
          <w:color w:val="000000" w:themeColor="text1"/>
          <w:sz w:val="28"/>
          <w:szCs w:val="28"/>
        </w:rPr>
      </w:pPr>
      <w:bookmarkStart w:id="13" w:name="_Toc211434157"/>
      <w:r w:rsidRPr="00A65DC8">
        <w:rPr>
          <w:rFonts w:ascii="Arial" w:hAnsi="Arial" w:cs="Arial"/>
          <w:b/>
          <w:bCs/>
          <w:color w:val="000000" w:themeColor="text1"/>
          <w:sz w:val="28"/>
          <w:szCs w:val="28"/>
        </w:rPr>
        <w:t>Critical Evaluation</w:t>
      </w:r>
      <w:bookmarkEnd w:id="13"/>
    </w:p>
    <w:p w14:paraId="60A0F8A3" w14:textId="77777777" w:rsidR="00B94781" w:rsidRDefault="00B94781" w:rsidP="00717080">
      <w:pPr>
        <w:spacing w:line="360" w:lineRule="auto"/>
        <w:jc w:val="both"/>
        <w:rPr>
          <w:rFonts w:ascii="Arial" w:hAnsi="Arial" w:cs="Arial"/>
        </w:rPr>
      </w:pPr>
      <w:r w:rsidRPr="00717080">
        <w:rPr>
          <w:rFonts w:ascii="Arial" w:hAnsi="Arial" w:cs="Arial"/>
        </w:rPr>
        <w:t xml:space="preserve">Addressing global skills gaps demands a systemic and future-oriented HRM approach. It is not enough to fill vacancies; </w:t>
      </w:r>
      <w:r w:rsidR="00A65DC8" w:rsidRPr="00717080">
        <w:rPr>
          <w:rFonts w:ascii="Arial" w:hAnsi="Arial" w:cs="Arial"/>
        </w:rPr>
        <w:t>organizations</w:t>
      </w:r>
      <w:r w:rsidRPr="00717080">
        <w:rPr>
          <w:rFonts w:ascii="Arial" w:hAnsi="Arial" w:cs="Arial"/>
        </w:rPr>
        <w:t xml:space="preserve"> must cultivate </w:t>
      </w:r>
      <w:r w:rsidRPr="00717080">
        <w:rPr>
          <w:rFonts w:ascii="Arial" w:hAnsi="Arial" w:cs="Arial"/>
          <w:i/>
          <w:iCs/>
        </w:rPr>
        <w:t>learning agility</w:t>
      </w:r>
      <w:r w:rsidRPr="00717080">
        <w:rPr>
          <w:rFonts w:ascii="Arial" w:hAnsi="Arial" w:cs="Arial"/>
        </w:rPr>
        <w:t xml:space="preserve">—the capacity to learn, unlearn, and relearn continuously. </w:t>
      </w:r>
    </w:p>
    <w:p w14:paraId="1A6F6846" w14:textId="77777777" w:rsidR="006E3BD1" w:rsidRPr="00717080" w:rsidRDefault="006E3BD1" w:rsidP="00717080">
      <w:pPr>
        <w:spacing w:line="360" w:lineRule="auto"/>
        <w:jc w:val="both"/>
        <w:rPr>
          <w:rFonts w:ascii="Arial" w:hAnsi="Arial" w:cs="Arial"/>
        </w:rPr>
      </w:pPr>
      <w:r w:rsidRPr="006E3BD1">
        <w:rPr>
          <w:rFonts w:ascii="Arial" w:hAnsi="Arial" w:cs="Arial"/>
        </w:rPr>
        <w:t xml:space="preserve">Such industries as technology, healthcare, and hospitality are the examples of the necessity of adaptive HRM frameworks. Companies can develop sustainable and future imago talent systems by integrating on-going learning, predictive analytics and inclusive leadership in their HR strategies. </w:t>
      </w:r>
    </w:p>
    <w:p w14:paraId="3EFFFDDA" w14:textId="77777777" w:rsidR="00B94781" w:rsidRPr="00236238" w:rsidRDefault="00B94781" w:rsidP="00236238">
      <w:pPr>
        <w:pStyle w:val="Heading1"/>
        <w:rPr>
          <w:rFonts w:ascii="Arial" w:hAnsi="Arial" w:cs="Arial"/>
          <w:b/>
          <w:bCs/>
          <w:color w:val="000000" w:themeColor="text1"/>
          <w:sz w:val="32"/>
          <w:szCs w:val="32"/>
        </w:rPr>
      </w:pPr>
      <w:bookmarkStart w:id="14" w:name="_Toc211434158"/>
      <w:r w:rsidRPr="00236238">
        <w:rPr>
          <w:rFonts w:ascii="Arial" w:hAnsi="Arial" w:cs="Arial"/>
          <w:b/>
          <w:bCs/>
          <w:color w:val="000000" w:themeColor="text1"/>
          <w:sz w:val="32"/>
          <w:szCs w:val="32"/>
        </w:rPr>
        <w:t>Reflective Report: Capabilities in an International Context</w:t>
      </w:r>
      <w:bookmarkEnd w:id="14"/>
      <w:r w:rsidRPr="00236238">
        <w:rPr>
          <w:rFonts w:ascii="Arial" w:hAnsi="Arial" w:cs="Arial"/>
          <w:b/>
          <w:bCs/>
          <w:color w:val="000000" w:themeColor="text1"/>
          <w:sz w:val="32"/>
          <w:szCs w:val="32"/>
        </w:rPr>
        <w:t xml:space="preserve"> </w:t>
      </w:r>
    </w:p>
    <w:p w14:paraId="7DBA656A" w14:textId="77777777" w:rsidR="00790BB1" w:rsidRDefault="00790BB1" w:rsidP="00717080">
      <w:pPr>
        <w:spacing w:line="360" w:lineRule="auto"/>
        <w:jc w:val="both"/>
        <w:rPr>
          <w:rFonts w:ascii="Arial" w:hAnsi="Arial" w:cs="Arial"/>
        </w:rPr>
      </w:pPr>
      <w:r w:rsidRPr="00790BB1">
        <w:rPr>
          <w:rFonts w:ascii="Arial" w:hAnsi="Arial" w:cs="Arial"/>
        </w:rPr>
        <w:t>In contemporary globalized work, technical skills do not suffice to perform effectively and successfully, but cultural sensitivity, digital literacy, and constant adaptability are needed. The changing economy of the world, which is being influenced by automation, telepsychiatry, and multiculturalism integration necessitates professionals who can confidently deal with uncertainty. Based on my academic studies in Human Capital Management and my experience on 9 group projects, as well as my professional development activities, I critically assess my competencies at a given point and state the plans of advancing them in five areas that are technology, communication, teamwork, leadership and self-directed learning.</w:t>
      </w:r>
    </w:p>
    <w:p w14:paraId="72D18FD0" w14:textId="77777777" w:rsidR="00B94781" w:rsidRDefault="00B94781" w:rsidP="00236238">
      <w:pPr>
        <w:pStyle w:val="Heading2"/>
        <w:rPr>
          <w:rFonts w:ascii="Arial" w:hAnsi="Arial" w:cs="Arial"/>
          <w:b/>
          <w:bCs/>
          <w:color w:val="000000" w:themeColor="text1"/>
          <w:sz w:val="28"/>
          <w:szCs w:val="28"/>
        </w:rPr>
      </w:pPr>
      <w:bookmarkStart w:id="15" w:name="_Toc211434159"/>
      <w:r w:rsidRPr="00236238">
        <w:rPr>
          <w:rFonts w:ascii="Arial" w:hAnsi="Arial" w:cs="Arial"/>
          <w:b/>
          <w:bCs/>
          <w:color w:val="000000" w:themeColor="text1"/>
          <w:sz w:val="28"/>
          <w:szCs w:val="28"/>
        </w:rPr>
        <w:lastRenderedPageBreak/>
        <w:t>Technological Competence</w:t>
      </w:r>
      <w:bookmarkEnd w:id="15"/>
    </w:p>
    <w:p w14:paraId="6C870596" w14:textId="77777777" w:rsidR="00790BB1" w:rsidRDefault="00790BB1" w:rsidP="00790BB1">
      <w:pPr>
        <w:spacing w:line="360" w:lineRule="auto"/>
        <w:jc w:val="both"/>
        <w:rPr>
          <w:rFonts w:ascii="Arial" w:hAnsi="Arial" w:cs="Arial"/>
        </w:rPr>
      </w:pPr>
      <w:r w:rsidRPr="00790BB1">
        <w:rPr>
          <w:rFonts w:ascii="Arial" w:hAnsi="Arial" w:cs="Arial"/>
        </w:rPr>
        <w:t xml:space="preserve">Technology has played a significant role in Human Resource Management (HRM) and it has impacted recruitment, analytics, and also employee engagement. During my studies, I have acquired skills related to Microsoft Office Suite, Google Workspace, and HR analytics (Power BI and SPSS). These tools have enabled me to analyze the data of the workforce, visualize trends and evidence-based HR decisions. Microsoft Teams, Zoom and Trello have also been used by me in academic projects where I have collaborated with peers, crossing time zones. These experiences triggered my fluency in digital communications and time management, which is also consistent with the CIPD (2024) digital capability framework that underlines the demand of HR professionals to be tech-flexible. </w:t>
      </w:r>
    </w:p>
    <w:p w14:paraId="12EE4268" w14:textId="77777777" w:rsidR="00790BB1" w:rsidRPr="00790BB1" w:rsidRDefault="00790BB1" w:rsidP="00790BB1">
      <w:pPr>
        <w:spacing w:line="360" w:lineRule="auto"/>
        <w:jc w:val="both"/>
        <w:rPr>
          <w:rFonts w:ascii="Arial" w:hAnsi="Arial" w:cs="Arial"/>
        </w:rPr>
      </w:pPr>
      <w:r w:rsidRPr="00790BB1">
        <w:rPr>
          <w:rFonts w:ascii="Arial" w:hAnsi="Arial" w:cs="Arial"/>
        </w:rPr>
        <w:t>Nonetheless, I acknowledge that I have to learn more about the AI applications in the field of HRM, especially algorithmic recruitment, workforce forecasting, and predictive performance modelling. According to Deloitte (2025), the future of HR needs to be hybrid, combining human empathy and knowledge of technology. To enhance this ability, I will enroll in the LinkedIn Learning course "AI for People Analytics" in the next three months and use the information in future coursework and internship later.</w:t>
      </w:r>
    </w:p>
    <w:p w14:paraId="59764D72" w14:textId="77777777" w:rsidR="00B94781" w:rsidRPr="00236238" w:rsidRDefault="00B94781" w:rsidP="00236238">
      <w:pPr>
        <w:pStyle w:val="Heading2"/>
        <w:rPr>
          <w:rFonts w:ascii="Arial" w:hAnsi="Arial" w:cs="Arial"/>
          <w:b/>
          <w:bCs/>
          <w:color w:val="000000" w:themeColor="text1"/>
          <w:sz w:val="28"/>
          <w:szCs w:val="28"/>
        </w:rPr>
      </w:pPr>
      <w:bookmarkStart w:id="16" w:name="_Toc211434160"/>
      <w:r w:rsidRPr="00236238">
        <w:rPr>
          <w:rFonts w:ascii="Arial" w:hAnsi="Arial" w:cs="Arial"/>
          <w:b/>
          <w:bCs/>
          <w:color w:val="000000" w:themeColor="text1"/>
          <w:sz w:val="28"/>
          <w:szCs w:val="28"/>
        </w:rPr>
        <w:t>Communication Skills</w:t>
      </w:r>
      <w:bookmarkEnd w:id="16"/>
    </w:p>
    <w:p w14:paraId="2A85FB10" w14:textId="77777777" w:rsidR="00B94781" w:rsidRPr="00717080" w:rsidRDefault="00B94781" w:rsidP="00717080">
      <w:pPr>
        <w:spacing w:line="360" w:lineRule="auto"/>
        <w:jc w:val="both"/>
        <w:rPr>
          <w:rFonts w:ascii="Arial" w:hAnsi="Arial" w:cs="Arial"/>
        </w:rPr>
      </w:pPr>
      <w:r w:rsidRPr="00717080">
        <w:rPr>
          <w:rFonts w:ascii="Arial" w:hAnsi="Arial" w:cs="Arial"/>
        </w:rPr>
        <w:t>Effective communication is a cornerstone of success in international HRM contexts. Through research presentations and multicultural teamwork, I have refined both written and verbal communication, ensuring clarity, cultural awareness, and empathy. My lecturers have consistently highlighted my ability to explain complex theories—such as the Resource-Based View (Barney, 1991) and Dynamic Capabilities Theory (Teece, 2018)—in accessible language, which has improved my confidence when addressing diverse audiences.</w:t>
      </w:r>
    </w:p>
    <w:p w14:paraId="70FD56D2"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Nonetheless, I sometimes find it challenging to express dissenting opinions assertively during group discussions, particularly in virtual environments. This may reflect a cultural inclination toward harmony rather than confrontation. To enhance this skill, I plan to apply Gibb’s Reflective Cycle (1988) to evaluate my interactions after each collaborative project, focusing on what I felt, how I acted, and how I can improve. Additionally, I will </w:t>
      </w:r>
      <w:r w:rsidRPr="00717080">
        <w:rPr>
          <w:rFonts w:ascii="Arial" w:hAnsi="Arial" w:cs="Arial"/>
        </w:rPr>
        <w:lastRenderedPageBreak/>
        <w:t>seek feedback from peers to refine my assertiveness while maintaining respect and empathy in communication.</w:t>
      </w:r>
    </w:p>
    <w:p w14:paraId="41F8B777" w14:textId="77777777" w:rsidR="00B94781" w:rsidRPr="00236238" w:rsidRDefault="00236238" w:rsidP="00236238">
      <w:pPr>
        <w:pStyle w:val="Heading2"/>
        <w:rPr>
          <w:rFonts w:ascii="Arial" w:hAnsi="Arial" w:cs="Arial"/>
          <w:b/>
          <w:bCs/>
          <w:color w:val="000000" w:themeColor="text1"/>
          <w:sz w:val="28"/>
          <w:szCs w:val="28"/>
        </w:rPr>
      </w:pPr>
      <w:bookmarkStart w:id="17" w:name="_Toc211434161"/>
      <w:r w:rsidRPr="00236238">
        <w:rPr>
          <w:rFonts w:ascii="Arial" w:hAnsi="Arial" w:cs="Arial"/>
          <w:b/>
          <w:bCs/>
          <w:color w:val="000000" w:themeColor="text1"/>
          <w:sz w:val="28"/>
          <w:szCs w:val="28"/>
        </w:rPr>
        <w:t>T</w:t>
      </w:r>
      <w:r w:rsidR="00B94781" w:rsidRPr="00236238">
        <w:rPr>
          <w:rFonts w:ascii="Arial" w:hAnsi="Arial" w:cs="Arial"/>
          <w:b/>
          <w:bCs/>
          <w:color w:val="000000" w:themeColor="text1"/>
          <w:sz w:val="28"/>
          <w:szCs w:val="28"/>
        </w:rPr>
        <w:t>eamwork and Collaboration</w:t>
      </w:r>
      <w:bookmarkEnd w:id="17"/>
    </w:p>
    <w:p w14:paraId="7DA32FC3" w14:textId="77777777" w:rsidR="00B94781" w:rsidRPr="00717080" w:rsidRDefault="00B94781" w:rsidP="00717080">
      <w:pPr>
        <w:spacing w:line="360" w:lineRule="auto"/>
        <w:jc w:val="both"/>
        <w:rPr>
          <w:rFonts w:ascii="Arial" w:hAnsi="Arial" w:cs="Arial"/>
        </w:rPr>
      </w:pPr>
      <w:r w:rsidRPr="00717080">
        <w:rPr>
          <w:rFonts w:ascii="Arial" w:hAnsi="Arial" w:cs="Arial"/>
        </w:rPr>
        <w:t>Global teamwork requires emotional intelligence and cultural sensitivity. Participating in international group projects has strengthened my ability to manage diversity and resolve conflict. Applying Tuckman’s (1965) model of team development, I have supported teams through the forming, storming, and norming stages by encouraging open dialogue and clarifying objectives. For instance, in a cross-cultural project on HR analytics, I facilitated brainstorming sessions that helped the group move from initial confusion to cohesive collaboration, leading to a high distinction grade.</w:t>
      </w:r>
    </w:p>
    <w:p w14:paraId="786C3C61"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However, I have noticed a tendency to assume excessive responsibility to ensure task quality. According to Belbin’s Team Role Theory (2010), I predominantly exhibit the Completer–Finisher role, ensuring precision but occasionally inhibiting delegation and creativity. </w:t>
      </w:r>
    </w:p>
    <w:p w14:paraId="6B554ED8" w14:textId="77777777" w:rsidR="00B94781" w:rsidRPr="00236238" w:rsidRDefault="00B94781" w:rsidP="00236238">
      <w:pPr>
        <w:pStyle w:val="Heading2"/>
        <w:rPr>
          <w:rFonts w:ascii="Arial" w:hAnsi="Arial" w:cs="Arial"/>
          <w:b/>
          <w:bCs/>
          <w:color w:val="000000" w:themeColor="text1"/>
          <w:sz w:val="28"/>
          <w:szCs w:val="28"/>
        </w:rPr>
      </w:pPr>
      <w:bookmarkStart w:id="18" w:name="_Toc211434162"/>
      <w:r w:rsidRPr="00236238">
        <w:rPr>
          <w:rFonts w:ascii="Arial" w:hAnsi="Arial" w:cs="Arial"/>
          <w:b/>
          <w:bCs/>
          <w:color w:val="000000" w:themeColor="text1"/>
          <w:sz w:val="28"/>
          <w:szCs w:val="28"/>
        </w:rPr>
        <w:t>Leadership Capabilities</w:t>
      </w:r>
      <w:bookmarkEnd w:id="18"/>
    </w:p>
    <w:p w14:paraId="42BEAD2E" w14:textId="77777777" w:rsidR="00B94781" w:rsidRPr="00717080" w:rsidRDefault="00B94781" w:rsidP="00717080">
      <w:pPr>
        <w:spacing w:line="360" w:lineRule="auto"/>
        <w:jc w:val="both"/>
        <w:rPr>
          <w:rFonts w:ascii="Arial" w:hAnsi="Arial" w:cs="Arial"/>
        </w:rPr>
      </w:pPr>
      <w:r w:rsidRPr="00717080">
        <w:rPr>
          <w:rFonts w:ascii="Arial" w:hAnsi="Arial" w:cs="Arial"/>
        </w:rPr>
        <w:t>Through both academic and extracurricular experiences, I have cultivated leadership skills grounded in empathy and collaboration. I practice a transformational leadership approach (Northouse, 2022), motivating others by articulating shared goals and inspiring creativity. A notable example was leading a cross-cultural team presentation on global HR analytics, where I aligned tasks with members’ strengths, ensured inclusivity, and fostered mutual respect. The team’s positive feedback and performance outcomes reinforced my confidence in leading diverse groups effectively.</w:t>
      </w:r>
    </w:p>
    <w:p w14:paraId="2806892A"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Nonetheless, I </w:t>
      </w:r>
      <w:r w:rsidR="00236238" w:rsidRPr="00717080">
        <w:rPr>
          <w:rFonts w:ascii="Arial" w:hAnsi="Arial" w:cs="Arial"/>
        </w:rPr>
        <w:t>recognize</w:t>
      </w:r>
      <w:r w:rsidRPr="00717080">
        <w:rPr>
          <w:rFonts w:ascii="Arial" w:hAnsi="Arial" w:cs="Arial"/>
        </w:rPr>
        <w:t xml:space="preserve"> areas for improvement, particularly in strategic decision-making under uncertainty. While I am comfortable managing day-to-day coordination, I sometimes hesitate to make high-impact decisions without extensive data. To strengthen this, I plan to engage in HR case competitions and simulation-based learning environments that replicate complex global challenges. Additionally, I aim to seek mentorship from senior HR leaders, whose practical insights can enhance my judgment and adaptability.</w:t>
      </w:r>
    </w:p>
    <w:p w14:paraId="1DC8E6BA" w14:textId="77777777" w:rsidR="00B94781" w:rsidRPr="00236238" w:rsidRDefault="00B94781" w:rsidP="00236238">
      <w:pPr>
        <w:pStyle w:val="Heading2"/>
        <w:rPr>
          <w:rFonts w:ascii="Arial" w:hAnsi="Arial" w:cs="Arial"/>
          <w:b/>
          <w:bCs/>
          <w:color w:val="000000" w:themeColor="text1"/>
          <w:sz w:val="28"/>
          <w:szCs w:val="28"/>
        </w:rPr>
      </w:pPr>
      <w:bookmarkStart w:id="19" w:name="_Toc211434163"/>
      <w:r w:rsidRPr="00236238">
        <w:rPr>
          <w:rFonts w:ascii="Arial" w:hAnsi="Arial" w:cs="Arial"/>
          <w:b/>
          <w:bCs/>
          <w:color w:val="000000" w:themeColor="text1"/>
          <w:sz w:val="28"/>
          <w:szCs w:val="28"/>
        </w:rPr>
        <w:lastRenderedPageBreak/>
        <w:t>Self-Directed Learning</w:t>
      </w:r>
      <w:bookmarkEnd w:id="19"/>
    </w:p>
    <w:p w14:paraId="3F483893"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Continuous learning is essential in the fast-evolving HR profession. Drawing upon Kolb’s Experiential Learning Cycle (2015), I engage in reflective practice after every major project, </w:t>
      </w:r>
      <w:r w:rsidR="00236238" w:rsidRPr="00717080">
        <w:rPr>
          <w:rFonts w:ascii="Arial" w:hAnsi="Arial" w:cs="Arial"/>
        </w:rPr>
        <w:t>analyzing</w:t>
      </w:r>
      <w:r w:rsidRPr="00717080">
        <w:rPr>
          <w:rFonts w:ascii="Arial" w:hAnsi="Arial" w:cs="Arial"/>
        </w:rPr>
        <w:t xml:space="preserve"> what worked, what didn’t, and how to improve. I also use journals to track progress and set development goals.</w:t>
      </w:r>
    </w:p>
    <w:p w14:paraId="50AF326C" w14:textId="77777777" w:rsidR="00B94781" w:rsidRDefault="00B94781" w:rsidP="00717080">
      <w:pPr>
        <w:spacing w:line="360" w:lineRule="auto"/>
        <w:jc w:val="both"/>
        <w:rPr>
          <w:rFonts w:ascii="Arial" w:hAnsi="Arial" w:cs="Arial"/>
        </w:rPr>
      </w:pPr>
      <w:r w:rsidRPr="00717080">
        <w:rPr>
          <w:rFonts w:ascii="Arial" w:hAnsi="Arial" w:cs="Arial"/>
        </w:rPr>
        <w:t>To ensure structured growth, I have designed the following Personal Development Plan (2025–2026):</w:t>
      </w:r>
    </w:p>
    <w:tbl>
      <w:tblPr>
        <w:tblStyle w:val="TableGrid"/>
        <w:tblW w:w="0" w:type="auto"/>
        <w:tblLook w:val="04A0" w:firstRow="1" w:lastRow="0" w:firstColumn="1" w:lastColumn="0" w:noHBand="0" w:noVBand="1"/>
      </w:tblPr>
      <w:tblGrid>
        <w:gridCol w:w="2337"/>
        <w:gridCol w:w="2337"/>
        <w:gridCol w:w="2338"/>
        <w:gridCol w:w="2338"/>
      </w:tblGrid>
      <w:tr w:rsidR="00236238" w:rsidRPr="00236238" w14:paraId="03F486B4" w14:textId="77777777" w:rsidTr="00236238">
        <w:tc>
          <w:tcPr>
            <w:tcW w:w="2337" w:type="dxa"/>
          </w:tcPr>
          <w:p w14:paraId="6C2E3CF6" w14:textId="77777777" w:rsidR="00236238" w:rsidRPr="00236238" w:rsidRDefault="00236238" w:rsidP="00FB6B71">
            <w:pPr>
              <w:spacing w:line="360" w:lineRule="auto"/>
              <w:jc w:val="both"/>
              <w:rPr>
                <w:rFonts w:ascii="Arial" w:hAnsi="Arial" w:cs="Arial"/>
                <w:b/>
                <w:bCs/>
              </w:rPr>
            </w:pPr>
            <w:r w:rsidRPr="00236238">
              <w:rPr>
                <w:rFonts w:ascii="Arial" w:hAnsi="Arial" w:cs="Arial"/>
                <w:b/>
                <w:bCs/>
              </w:rPr>
              <w:t>Skill Area</w:t>
            </w:r>
          </w:p>
        </w:tc>
        <w:tc>
          <w:tcPr>
            <w:tcW w:w="2337" w:type="dxa"/>
          </w:tcPr>
          <w:p w14:paraId="44E5A081" w14:textId="77777777" w:rsidR="00236238" w:rsidRPr="00236238" w:rsidRDefault="00236238" w:rsidP="00FB6B71">
            <w:pPr>
              <w:spacing w:line="360" w:lineRule="auto"/>
              <w:jc w:val="both"/>
              <w:rPr>
                <w:rFonts w:ascii="Arial" w:hAnsi="Arial" w:cs="Arial"/>
                <w:b/>
                <w:bCs/>
              </w:rPr>
            </w:pPr>
            <w:r w:rsidRPr="00236238">
              <w:rPr>
                <w:rFonts w:ascii="Arial" w:hAnsi="Arial" w:cs="Arial"/>
                <w:b/>
                <w:bCs/>
              </w:rPr>
              <w:t>Action</w:t>
            </w:r>
          </w:p>
        </w:tc>
        <w:tc>
          <w:tcPr>
            <w:tcW w:w="2338" w:type="dxa"/>
          </w:tcPr>
          <w:p w14:paraId="384B4783" w14:textId="77777777" w:rsidR="00236238" w:rsidRPr="00236238" w:rsidRDefault="00236238" w:rsidP="00FB6B71">
            <w:pPr>
              <w:spacing w:line="360" w:lineRule="auto"/>
              <w:jc w:val="both"/>
              <w:rPr>
                <w:rFonts w:ascii="Arial" w:hAnsi="Arial" w:cs="Arial"/>
                <w:b/>
                <w:bCs/>
              </w:rPr>
            </w:pPr>
            <w:r w:rsidRPr="00236238">
              <w:rPr>
                <w:rFonts w:ascii="Arial" w:hAnsi="Arial" w:cs="Arial"/>
                <w:b/>
                <w:bCs/>
              </w:rPr>
              <w:t>Resource</w:t>
            </w:r>
          </w:p>
        </w:tc>
        <w:tc>
          <w:tcPr>
            <w:tcW w:w="2338" w:type="dxa"/>
          </w:tcPr>
          <w:p w14:paraId="3B032D7A" w14:textId="77777777" w:rsidR="00236238" w:rsidRPr="00236238" w:rsidRDefault="00236238" w:rsidP="00FB6B71">
            <w:pPr>
              <w:spacing w:line="360" w:lineRule="auto"/>
              <w:jc w:val="both"/>
              <w:rPr>
                <w:rFonts w:ascii="Arial" w:hAnsi="Arial" w:cs="Arial"/>
                <w:b/>
                <w:bCs/>
              </w:rPr>
            </w:pPr>
            <w:r w:rsidRPr="00236238">
              <w:rPr>
                <w:rFonts w:ascii="Arial" w:hAnsi="Arial" w:cs="Arial"/>
                <w:b/>
                <w:bCs/>
              </w:rPr>
              <w:t>Timeline</w:t>
            </w:r>
          </w:p>
        </w:tc>
      </w:tr>
      <w:tr w:rsidR="00236238" w:rsidRPr="00236238" w14:paraId="3D8C154C" w14:textId="77777777" w:rsidTr="00236238">
        <w:tc>
          <w:tcPr>
            <w:tcW w:w="2337" w:type="dxa"/>
          </w:tcPr>
          <w:p w14:paraId="56E051A6" w14:textId="77777777" w:rsidR="00236238" w:rsidRPr="00236238" w:rsidRDefault="00236238" w:rsidP="00FB6B71">
            <w:pPr>
              <w:spacing w:line="360" w:lineRule="auto"/>
              <w:jc w:val="both"/>
              <w:rPr>
                <w:rFonts w:ascii="Arial" w:hAnsi="Arial" w:cs="Arial"/>
              </w:rPr>
            </w:pPr>
            <w:r w:rsidRPr="00236238">
              <w:rPr>
                <w:rFonts w:ascii="Arial" w:hAnsi="Arial" w:cs="Arial"/>
              </w:rPr>
              <w:t>AI in HR Analytics</w:t>
            </w:r>
          </w:p>
        </w:tc>
        <w:tc>
          <w:tcPr>
            <w:tcW w:w="2337" w:type="dxa"/>
          </w:tcPr>
          <w:p w14:paraId="76A93839" w14:textId="77777777" w:rsidR="00236238" w:rsidRPr="00236238" w:rsidRDefault="00236238" w:rsidP="00FB6B71">
            <w:pPr>
              <w:spacing w:line="360" w:lineRule="auto"/>
              <w:jc w:val="both"/>
              <w:rPr>
                <w:rFonts w:ascii="Arial" w:hAnsi="Arial" w:cs="Arial"/>
              </w:rPr>
            </w:pPr>
            <w:r w:rsidRPr="00236238">
              <w:rPr>
                <w:rFonts w:ascii="Arial" w:hAnsi="Arial" w:cs="Arial"/>
              </w:rPr>
              <w:t>Enroll in LinkedIn Learning “AI for HR”</w:t>
            </w:r>
          </w:p>
        </w:tc>
        <w:tc>
          <w:tcPr>
            <w:tcW w:w="2338" w:type="dxa"/>
          </w:tcPr>
          <w:p w14:paraId="54DEEAA0" w14:textId="77777777" w:rsidR="00236238" w:rsidRPr="00236238" w:rsidRDefault="00236238" w:rsidP="00FB6B71">
            <w:pPr>
              <w:spacing w:line="360" w:lineRule="auto"/>
              <w:jc w:val="both"/>
              <w:rPr>
                <w:rFonts w:ascii="Arial" w:hAnsi="Arial" w:cs="Arial"/>
              </w:rPr>
            </w:pPr>
            <w:r w:rsidRPr="00236238">
              <w:rPr>
                <w:rFonts w:ascii="Arial" w:hAnsi="Arial" w:cs="Arial"/>
              </w:rPr>
              <w:t>LinkedIn Learning</w:t>
            </w:r>
          </w:p>
        </w:tc>
        <w:tc>
          <w:tcPr>
            <w:tcW w:w="2338" w:type="dxa"/>
          </w:tcPr>
          <w:p w14:paraId="06DBE926" w14:textId="77777777" w:rsidR="00236238" w:rsidRPr="00236238" w:rsidRDefault="00236238" w:rsidP="00FB6B71">
            <w:pPr>
              <w:spacing w:line="360" w:lineRule="auto"/>
              <w:jc w:val="both"/>
              <w:rPr>
                <w:rFonts w:ascii="Arial" w:hAnsi="Arial" w:cs="Arial"/>
              </w:rPr>
            </w:pPr>
            <w:r w:rsidRPr="00236238">
              <w:rPr>
                <w:rFonts w:ascii="Arial" w:hAnsi="Arial" w:cs="Arial"/>
              </w:rPr>
              <w:t>3 months</w:t>
            </w:r>
          </w:p>
        </w:tc>
      </w:tr>
      <w:tr w:rsidR="00236238" w:rsidRPr="00236238" w14:paraId="0739A4C8" w14:textId="77777777" w:rsidTr="00236238">
        <w:tc>
          <w:tcPr>
            <w:tcW w:w="2337" w:type="dxa"/>
          </w:tcPr>
          <w:p w14:paraId="4219CAD1" w14:textId="77777777" w:rsidR="00236238" w:rsidRPr="00236238" w:rsidRDefault="00236238" w:rsidP="00FB6B71">
            <w:pPr>
              <w:spacing w:line="360" w:lineRule="auto"/>
              <w:jc w:val="both"/>
              <w:rPr>
                <w:rFonts w:ascii="Arial" w:hAnsi="Arial" w:cs="Arial"/>
              </w:rPr>
            </w:pPr>
            <w:r w:rsidRPr="00236238">
              <w:rPr>
                <w:rFonts w:ascii="Arial" w:hAnsi="Arial" w:cs="Arial"/>
              </w:rPr>
              <w:t>Assertive Communication</w:t>
            </w:r>
          </w:p>
        </w:tc>
        <w:tc>
          <w:tcPr>
            <w:tcW w:w="2337" w:type="dxa"/>
          </w:tcPr>
          <w:p w14:paraId="72869554" w14:textId="77777777" w:rsidR="00236238" w:rsidRPr="00236238" w:rsidRDefault="00236238" w:rsidP="00FB6B71">
            <w:pPr>
              <w:spacing w:line="360" w:lineRule="auto"/>
              <w:jc w:val="both"/>
              <w:rPr>
                <w:rFonts w:ascii="Arial" w:hAnsi="Arial" w:cs="Arial"/>
              </w:rPr>
            </w:pPr>
            <w:r w:rsidRPr="00236238">
              <w:rPr>
                <w:rFonts w:ascii="Arial" w:hAnsi="Arial" w:cs="Arial"/>
              </w:rPr>
              <w:t>Participate in public speaking workshops</w:t>
            </w:r>
          </w:p>
        </w:tc>
        <w:tc>
          <w:tcPr>
            <w:tcW w:w="2338" w:type="dxa"/>
          </w:tcPr>
          <w:p w14:paraId="301BBCD0" w14:textId="77777777" w:rsidR="00236238" w:rsidRPr="00236238" w:rsidRDefault="00236238" w:rsidP="00FB6B71">
            <w:pPr>
              <w:spacing w:line="360" w:lineRule="auto"/>
              <w:jc w:val="both"/>
              <w:rPr>
                <w:rFonts w:ascii="Arial" w:hAnsi="Arial" w:cs="Arial"/>
              </w:rPr>
            </w:pPr>
            <w:r w:rsidRPr="00236238">
              <w:rPr>
                <w:rFonts w:ascii="Arial" w:hAnsi="Arial" w:cs="Arial"/>
              </w:rPr>
              <w:t>Toastmasters</w:t>
            </w:r>
          </w:p>
        </w:tc>
        <w:tc>
          <w:tcPr>
            <w:tcW w:w="2338" w:type="dxa"/>
          </w:tcPr>
          <w:p w14:paraId="332756CC" w14:textId="77777777" w:rsidR="00236238" w:rsidRPr="00236238" w:rsidRDefault="00236238" w:rsidP="00FB6B71">
            <w:pPr>
              <w:spacing w:line="360" w:lineRule="auto"/>
              <w:jc w:val="both"/>
              <w:rPr>
                <w:rFonts w:ascii="Arial" w:hAnsi="Arial" w:cs="Arial"/>
              </w:rPr>
            </w:pPr>
            <w:r w:rsidRPr="00236238">
              <w:rPr>
                <w:rFonts w:ascii="Arial" w:hAnsi="Arial" w:cs="Arial"/>
              </w:rPr>
              <w:t>6 months</w:t>
            </w:r>
          </w:p>
        </w:tc>
      </w:tr>
      <w:tr w:rsidR="00236238" w:rsidRPr="00236238" w14:paraId="1926B66E" w14:textId="77777777" w:rsidTr="00236238">
        <w:tc>
          <w:tcPr>
            <w:tcW w:w="2337" w:type="dxa"/>
          </w:tcPr>
          <w:p w14:paraId="497349DF" w14:textId="77777777" w:rsidR="00236238" w:rsidRPr="00236238" w:rsidRDefault="00236238" w:rsidP="00FB6B71">
            <w:pPr>
              <w:spacing w:line="360" w:lineRule="auto"/>
              <w:jc w:val="both"/>
              <w:rPr>
                <w:rFonts w:ascii="Arial" w:hAnsi="Arial" w:cs="Arial"/>
              </w:rPr>
            </w:pPr>
            <w:r w:rsidRPr="00236238">
              <w:rPr>
                <w:rFonts w:ascii="Arial" w:hAnsi="Arial" w:cs="Arial"/>
              </w:rPr>
              <w:t>Strategic Decision-Making</w:t>
            </w:r>
          </w:p>
        </w:tc>
        <w:tc>
          <w:tcPr>
            <w:tcW w:w="2337" w:type="dxa"/>
          </w:tcPr>
          <w:p w14:paraId="66E5D936" w14:textId="77777777" w:rsidR="00236238" w:rsidRPr="00236238" w:rsidRDefault="00236238" w:rsidP="00FB6B71">
            <w:pPr>
              <w:spacing w:line="360" w:lineRule="auto"/>
              <w:jc w:val="both"/>
              <w:rPr>
                <w:rFonts w:ascii="Arial" w:hAnsi="Arial" w:cs="Arial"/>
              </w:rPr>
            </w:pPr>
            <w:r w:rsidRPr="00236238">
              <w:rPr>
                <w:rFonts w:ascii="Arial" w:hAnsi="Arial" w:cs="Arial"/>
              </w:rPr>
              <w:t>Engage in HR case competitions</w:t>
            </w:r>
          </w:p>
        </w:tc>
        <w:tc>
          <w:tcPr>
            <w:tcW w:w="2338" w:type="dxa"/>
          </w:tcPr>
          <w:p w14:paraId="1ACAC75C" w14:textId="77777777" w:rsidR="00236238" w:rsidRPr="00236238" w:rsidRDefault="00236238" w:rsidP="00FB6B71">
            <w:pPr>
              <w:spacing w:line="360" w:lineRule="auto"/>
              <w:jc w:val="both"/>
              <w:rPr>
                <w:rFonts w:ascii="Arial" w:hAnsi="Arial" w:cs="Arial"/>
              </w:rPr>
            </w:pPr>
            <w:r w:rsidRPr="00236238">
              <w:rPr>
                <w:rFonts w:ascii="Arial" w:hAnsi="Arial" w:cs="Arial"/>
              </w:rPr>
              <w:t>University Career Centre</w:t>
            </w:r>
          </w:p>
        </w:tc>
        <w:tc>
          <w:tcPr>
            <w:tcW w:w="2338" w:type="dxa"/>
          </w:tcPr>
          <w:p w14:paraId="704EC69F" w14:textId="77777777" w:rsidR="00236238" w:rsidRPr="00236238" w:rsidRDefault="00236238" w:rsidP="00FB6B71">
            <w:pPr>
              <w:spacing w:line="360" w:lineRule="auto"/>
              <w:jc w:val="both"/>
              <w:rPr>
                <w:rFonts w:ascii="Arial" w:hAnsi="Arial" w:cs="Arial"/>
              </w:rPr>
            </w:pPr>
            <w:r w:rsidRPr="00236238">
              <w:rPr>
                <w:rFonts w:ascii="Arial" w:hAnsi="Arial" w:cs="Arial"/>
              </w:rPr>
              <w:t>6 months</w:t>
            </w:r>
          </w:p>
        </w:tc>
      </w:tr>
      <w:tr w:rsidR="00236238" w:rsidRPr="00236238" w14:paraId="22AD8274" w14:textId="77777777" w:rsidTr="00236238">
        <w:tc>
          <w:tcPr>
            <w:tcW w:w="2337" w:type="dxa"/>
          </w:tcPr>
          <w:p w14:paraId="7D314664" w14:textId="77777777" w:rsidR="00236238" w:rsidRPr="00236238" w:rsidRDefault="00236238" w:rsidP="00FB6B71">
            <w:pPr>
              <w:spacing w:line="360" w:lineRule="auto"/>
              <w:jc w:val="both"/>
              <w:rPr>
                <w:rFonts w:ascii="Arial" w:hAnsi="Arial" w:cs="Arial"/>
              </w:rPr>
            </w:pPr>
            <w:r w:rsidRPr="00236238">
              <w:rPr>
                <w:rFonts w:ascii="Arial" w:hAnsi="Arial" w:cs="Arial"/>
              </w:rPr>
              <w:t>Global Networking</w:t>
            </w:r>
          </w:p>
        </w:tc>
        <w:tc>
          <w:tcPr>
            <w:tcW w:w="2337" w:type="dxa"/>
          </w:tcPr>
          <w:p w14:paraId="66665F84" w14:textId="77777777" w:rsidR="00236238" w:rsidRPr="00236238" w:rsidRDefault="00236238" w:rsidP="00FB6B71">
            <w:pPr>
              <w:spacing w:line="360" w:lineRule="auto"/>
              <w:jc w:val="both"/>
              <w:rPr>
                <w:rFonts w:ascii="Arial" w:hAnsi="Arial" w:cs="Arial"/>
              </w:rPr>
            </w:pPr>
            <w:r w:rsidRPr="00236238">
              <w:rPr>
                <w:rFonts w:ascii="Arial" w:hAnsi="Arial" w:cs="Arial"/>
              </w:rPr>
              <w:t>Join CIPD Student Membership</w:t>
            </w:r>
          </w:p>
        </w:tc>
        <w:tc>
          <w:tcPr>
            <w:tcW w:w="2338" w:type="dxa"/>
          </w:tcPr>
          <w:p w14:paraId="006B2818" w14:textId="77777777" w:rsidR="00236238" w:rsidRPr="00236238" w:rsidRDefault="00236238" w:rsidP="00FB6B71">
            <w:pPr>
              <w:spacing w:line="360" w:lineRule="auto"/>
              <w:jc w:val="both"/>
              <w:rPr>
                <w:rFonts w:ascii="Arial" w:hAnsi="Arial" w:cs="Arial"/>
              </w:rPr>
            </w:pPr>
            <w:r w:rsidRPr="00236238">
              <w:rPr>
                <w:rFonts w:ascii="Arial" w:hAnsi="Arial" w:cs="Arial"/>
              </w:rPr>
              <w:t>CIPD</w:t>
            </w:r>
          </w:p>
        </w:tc>
        <w:tc>
          <w:tcPr>
            <w:tcW w:w="2338" w:type="dxa"/>
          </w:tcPr>
          <w:p w14:paraId="29EDCBBB" w14:textId="77777777" w:rsidR="00236238" w:rsidRPr="00236238" w:rsidRDefault="00236238" w:rsidP="00FB6B71">
            <w:pPr>
              <w:spacing w:line="360" w:lineRule="auto"/>
              <w:jc w:val="both"/>
              <w:rPr>
                <w:rFonts w:ascii="Arial" w:hAnsi="Arial" w:cs="Arial"/>
              </w:rPr>
            </w:pPr>
            <w:r w:rsidRPr="00236238">
              <w:rPr>
                <w:rFonts w:ascii="Arial" w:hAnsi="Arial" w:cs="Arial"/>
              </w:rPr>
              <w:t>Continuous</w:t>
            </w:r>
          </w:p>
        </w:tc>
      </w:tr>
    </w:tbl>
    <w:p w14:paraId="75725FFC" w14:textId="77777777" w:rsidR="00B94781" w:rsidRPr="00717080" w:rsidRDefault="00B94781" w:rsidP="00717080">
      <w:pPr>
        <w:spacing w:line="360" w:lineRule="auto"/>
        <w:jc w:val="both"/>
        <w:rPr>
          <w:rFonts w:ascii="Arial" w:hAnsi="Arial" w:cs="Arial"/>
        </w:rPr>
      </w:pPr>
      <w:r w:rsidRPr="00717080">
        <w:rPr>
          <w:rFonts w:ascii="Arial" w:hAnsi="Arial" w:cs="Arial"/>
        </w:rPr>
        <w:t>These initiatives align with my goal of lifelong learning and adaptability. They will not only strengthen my employability but also enable me to thrive in multicultural, technology-driven environments.</w:t>
      </w:r>
    </w:p>
    <w:p w14:paraId="3FD945D0" w14:textId="77777777" w:rsidR="00B94781" w:rsidRPr="00236238" w:rsidRDefault="00B94781" w:rsidP="00236238">
      <w:pPr>
        <w:pStyle w:val="Heading2"/>
        <w:rPr>
          <w:rFonts w:ascii="Arial" w:hAnsi="Arial" w:cs="Arial"/>
          <w:b/>
          <w:bCs/>
          <w:color w:val="000000" w:themeColor="text1"/>
          <w:sz w:val="28"/>
          <w:szCs w:val="28"/>
        </w:rPr>
      </w:pPr>
      <w:bookmarkStart w:id="20" w:name="_Toc211434164"/>
      <w:r w:rsidRPr="00236238">
        <w:rPr>
          <w:rFonts w:ascii="Arial" w:hAnsi="Arial" w:cs="Arial"/>
          <w:b/>
          <w:bCs/>
          <w:color w:val="000000" w:themeColor="text1"/>
          <w:sz w:val="28"/>
          <w:szCs w:val="28"/>
        </w:rPr>
        <w:t>Reflection and Future Goals</w:t>
      </w:r>
      <w:bookmarkEnd w:id="20"/>
    </w:p>
    <w:p w14:paraId="0D581727" w14:textId="77777777" w:rsidR="00175982" w:rsidRDefault="00790BB1" w:rsidP="00175982">
      <w:pPr>
        <w:spacing w:line="360" w:lineRule="auto"/>
        <w:jc w:val="both"/>
        <w:rPr>
          <w:b/>
          <w:bCs/>
        </w:rPr>
      </w:pPr>
      <w:r w:rsidRPr="00790BB1">
        <w:rPr>
          <w:rFonts w:ascii="Arial" w:hAnsi="Arial" w:cs="Arial"/>
        </w:rPr>
        <w:t xml:space="preserve">The coursework and team projects provided by this term have increased my knowledge of the impact of technological disruption, demographic changes, and globalization on HR practices. </w:t>
      </w:r>
      <w:r w:rsidR="00BD6F32" w:rsidRPr="00BD6F32">
        <w:rPr>
          <w:rFonts w:ascii="Arial" w:hAnsi="Arial" w:cs="Arial"/>
        </w:rPr>
        <w:t xml:space="preserve">The experiences have made me understand that I still have my area of strength in terms of the analytical thinking, but I still need improvement in terms of the strategic decision-making, high-level digital literacy to meet the demands of the international jobs.  Such analytical ability and the human based leadership style will contribute me to the sustainable HR solutions that will aid in creating fairness, effectiveness and innovations. In conclusion, one needs to reflect, be resilient and reinvent constantly to be able to handle the globalized workplace. With my strong and weak points that will be used with </w:t>
      </w:r>
      <w:r w:rsidR="00BD6F32" w:rsidRPr="00BD6F32">
        <w:rPr>
          <w:rFonts w:ascii="Arial" w:hAnsi="Arial" w:cs="Arial"/>
        </w:rPr>
        <w:lastRenderedPageBreak/>
        <w:t>the help of systematic learning and mentoring, I am certain to adapt to the future pressure and become a valuable contributor to the establishment of balanced and technology-rich workplaces in the world.</w:t>
      </w:r>
    </w:p>
    <w:p w14:paraId="077CFDCD" w14:textId="77777777" w:rsidR="00717080" w:rsidRPr="00175982" w:rsidRDefault="00175982" w:rsidP="00175982">
      <w:pPr>
        <w:spacing w:line="360" w:lineRule="auto"/>
        <w:jc w:val="both"/>
        <w:rPr>
          <w:rFonts w:ascii="Arial" w:hAnsi="Arial" w:cs="Arial"/>
        </w:rPr>
      </w:pPr>
      <w:bookmarkStart w:id="21" w:name="_Toc211434165"/>
      <w:r w:rsidRPr="00175982">
        <w:rPr>
          <w:rStyle w:val="Heading1Char"/>
          <w:rFonts w:ascii="Arial" w:hAnsi="Arial" w:cs="Arial"/>
          <w:b/>
          <w:bCs/>
          <w:color w:val="000000" w:themeColor="text1"/>
          <w:sz w:val="32"/>
          <w:szCs w:val="32"/>
        </w:rPr>
        <w:t>Conclusion</w:t>
      </w:r>
      <w:bookmarkEnd w:id="21"/>
      <w:r w:rsidRPr="00175982">
        <w:rPr>
          <w:b/>
          <w:bCs/>
        </w:rPr>
        <w:br/>
      </w:r>
      <w:r w:rsidRPr="00175982">
        <w:rPr>
          <w:rFonts w:ascii="Arial" w:hAnsi="Arial" w:cs="Arial"/>
        </w:rPr>
        <w:t>Technological changes, demographic changes and global challenges require flexible and ethical HRM practices. Businesses need to adapt themselves for digital innovation, diversity and retraining. Personally, through reflection and development planning (RDP)</w:t>
      </w:r>
      <w:r>
        <w:rPr>
          <w:rFonts w:ascii="Arial" w:hAnsi="Arial" w:cs="Arial"/>
        </w:rPr>
        <w:t xml:space="preserve">, I </w:t>
      </w:r>
      <w:r w:rsidRPr="00175982">
        <w:rPr>
          <w:rFonts w:ascii="Arial" w:hAnsi="Arial" w:cs="Arial"/>
        </w:rPr>
        <w:t>would like to improve my digital strategic and leadership skills in order to become a successful contributors in a global realities and technology-driven workplace with human construction vs organization performance.</w:t>
      </w:r>
      <w:r w:rsidR="00717080">
        <w:rPr>
          <w:b/>
          <w:bCs/>
        </w:rPr>
        <w:br w:type="page"/>
      </w:r>
    </w:p>
    <w:p w14:paraId="612151A6" w14:textId="77777777" w:rsidR="00B94781" w:rsidRPr="00717080" w:rsidRDefault="00B94781" w:rsidP="00717080">
      <w:pPr>
        <w:pStyle w:val="Heading1"/>
        <w:numPr>
          <w:ilvl w:val="0"/>
          <w:numId w:val="0"/>
        </w:numPr>
        <w:rPr>
          <w:rFonts w:ascii="Arial" w:hAnsi="Arial" w:cs="Arial"/>
          <w:b/>
          <w:bCs/>
          <w:color w:val="000000" w:themeColor="text1"/>
          <w:sz w:val="32"/>
          <w:szCs w:val="32"/>
        </w:rPr>
      </w:pPr>
      <w:bookmarkStart w:id="22" w:name="_Toc211434166"/>
      <w:r w:rsidRPr="00717080">
        <w:rPr>
          <w:rFonts w:ascii="Arial" w:hAnsi="Arial" w:cs="Arial"/>
          <w:b/>
          <w:bCs/>
          <w:color w:val="000000" w:themeColor="text1"/>
          <w:sz w:val="32"/>
          <w:szCs w:val="32"/>
        </w:rPr>
        <w:lastRenderedPageBreak/>
        <w:t>References</w:t>
      </w:r>
      <w:bookmarkEnd w:id="22"/>
    </w:p>
    <w:p w14:paraId="564645A3" w14:textId="77777777" w:rsidR="00717080" w:rsidRDefault="00B94781" w:rsidP="00717080">
      <w:pPr>
        <w:spacing w:line="360" w:lineRule="auto"/>
        <w:jc w:val="both"/>
        <w:rPr>
          <w:rFonts w:ascii="Arial" w:hAnsi="Arial" w:cs="Arial"/>
        </w:rPr>
      </w:pPr>
      <w:r w:rsidRPr="00717080">
        <w:rPr>
          <w:rFonts w:ascii="Arial" w:hAnsi="Arial" w:cs="Arial"/>
        </w:rPr>
        <w:t xml:space="preserve">Belbin, R. M. (2010) </w:t>
      </w:r>
      <w:r w:rsidRPr="00717080">
        <w:rPr>
          <w:rFonts w:ascii="Arial" w:hAnsi="Arial" w:cs="Arial"/>
          <w:i/>
          <w:iCs/>
        </w:rPr>
        <w:t>Team Roles at Work.</w:t>
      </w:r>
      <w:r w:rsidRPr="00717080">
        <w:rPr>
          <w:rFonts w:ascii="Arial" w:hAnsi="Arial" w:cs="Arial"/>
        </w:rPr>
        <w:t xml:space="preserve"> 2nd edn. Oxford: Butterworth-Heinemann.</w:t>
      </w:r>
      <w:r w:rsidRPr="00717080">
        <w:rPr>
          <w:rFonts w:ascii="Arial" w:hAnsi="Arial" w:cs="Arial"/>
        </w:rPr>
        <w:br/>
        <w:t xml:space="preserve">CIPD. (2023) </w:t>
      </w:r>
      <w:r w:rsidRPr="00717080">
        <w:rPr>
          <w:rFonts w:ascii="Arial" w:hAnsi="Arial" w:cs="Arial"/>
          <w:i/>
          <w:iCs/>
        </w:rPr>
        <w:t>Post-Brexit Labour Market Outlook.</w:t>
      </w:r>
      <w:r w:rsidRPr="00717080">
        <w:rPr>
          <w:rFonts w:ascii="Arial" w:hAnsi="Arial" w:cs="Arial"/>
        </w:rPr>
        <w:t xml:space="preserve"> London: Chartered Institute of Personnel and Development.</w:t>
      </w:r>
    </w:p>
    <w:p w14:paraId="60EA737A"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Deloitte. (2025) </w:t>
      </w:r>
      <w:r w:rsidRPr="00717080">
        <w:rPr>
          <w:rFonts w:ascii="Arial" w:hAnsi="Arial" w:cs="Arial"/>
          <w:i/>
          <w:iCs/>
        </w:rPr>
        <w:t>Human Capital Trends 2025.</w:t>
      </w:r>
      <w:r w:rsidRPr="00717080">
        <w:rPr>
          <w:rFonts w:ascii="Arial" w:hAnsi="Arial" w:cs="Arial"/>
        </w:rPr>
        <w:t xml:space="preserve"> London: Deloitte Insights. Available at: </w:t>
      </w:r>
      <w:hyperlink r:id="rId11" w:history="1">
        <w:r w:rsidRPr="00717080">
          <w:rPr>
            <w:rStyle w:val="Hyperlink"/>
            <w:rFonts w:ascii="Arial" w:hAnsi="Arial" w:cs="Arial"/>
          </w:rPr>
          <w:t>https://www.deloitte.com/global/en/insights</w:t>
        </w:r>
      </w:hyperlink>
      <w:r w:rsidRPr="00717080">
        <w:rPr>
          <w:rFonts w:ascii="Arial" w:hAnsi="Arial" w:cs="Arial"/>
        </w:rPr>
        <w:t>.</w:t>
      </w:r>
    </w:p>
    <w:p w14:paraId="1D5CF36D" w14:textId="77777777" w:rsidR="00717080" w:rsidRDefault="00B94781" w:rsidP="00717080">
      <w:pPr>
        <w:spacing w:line="360" w:lineRule="auto"/>
        <w:jc w:val="both"/>
        <w:rPr>
          <w:rFonts w:ascii="Arial" w:hAnsi="Arial" w:cs="Arial"/>
        </w:rPr>
      </w:pPr>
      <w:r w:rsidRPr="00717080">
        <w:rPr>
          <w:rFonts w:ascii="Arial" w:hAnsi="Arial" w:cs="Arial"/>
        </w:rPr>
        <w:t xml:space="preserve">Gibbs, G. (1988) </w:t>
      </w:r>
      <w:r w:rsidRPr="00717080">
        <w:rPr>
          <w:rFonts w:ascii="Arial" w:hAnsi="Arial" w:cs="Arial"/>
          <w:i/>
          <w:iCs/>
        </w:rPr>
        <w:t>Learning by Doing: A Guide to Teaching and Learning Methods.</w:t>
      </w:r>
      <w:r w:rsidRPr="00717080">
        <w:rPr>
          <w:rFonts w:ascii="Arial" w:hAnsi="Arial" w:cs="Arial"/>
        </w:rPr>
        <w:t xml:space="preserve"> Oxford: Oxford Polytechnic.</w:t>
      </w:r>
    </w:p>
    <w:p w14:paraId="11F369DA" w14:textId="77777777" w:rsidR="00717080" w:rsidRDefault="00B94781" w:rsidP="00717080">
      <w:pPr>
        <w:spacing w:line="360" w:lineRule="auto"/>
        <w:jc w:val="both"/>
        <w:rPr>
          <w:rFonts w:ascii="Arial" w:hAnsi="Arial" w:cs="Arial"/>
        </w:rPr>
      </w:pPr>
      <w:r w:rsidRPr="00717080">
        <w:rPr>
          <w:rFonts w:ascii="Arial" w:hAnsi="Arial" w:cs="Arial"/>
        </w:rPr>
        <w:t xml:space="preserve">Harvard Business Review. (2023) ‘Augmented intelligence and the human–AI collaboration revolution’, </w:t>
      </w:r>
      <w:r w:rsidRPr="00717080">
        <w:rPr>
          <w:rFonts w:ascii="Arial" w:hAnsi="Arial" w:cs="Arial"/>
          <w:i/>
          <w:iCs/>
        </w:rPr>
        <w:t>HBR Digital Edition</w:t>
      </w:r>
      <w:r w:rsidRPr="00717080">
        <w:rPr>
          <w:rFonts w:ascii="Arial" w:hAnsi="Arial" w:cs="Arial"/>
        </w:rPr>
        <w:t xml:space="preserve">, July. Available at: </w:t>
      </w:r>
      <w:hyperlink r:id="rId12" w:tgtFrame="_new" w:history="1">
        <w:r w:rsidRPr="00717080">
          <w:rPr>
            <w:rStyle w:val="Hyperlink"/>
            <w:rFonts w:ascii="Arial" w:hAnsi="Arial" w:cs="Arial"/>
          </w:rPr>
          <w:t>https://hbr.org/2023/07/augmented-intelligence</w:t>
        </w:r>
      </w:hyperlink>
      <w:r w:rsidRPr="00717080">
        <w:rPr>
          <w:rFonts w:ascii="Arial" w:hAnsi="Arial" w:cs="Arial"/>
        </w:rPr>
        <w:t>.</w:t>
      </w:r>
      <w:r w:rsidRPr="00717080">
        <w:rPr>
          <w:rFonts w:ascii="Arial" w:hAnsi="Arial" w:cs="Arial"/>
        </w:rPr>
        <w:br/>
        <w:t xml:space="preserve">IBM. (2024) </w:t>
      </w:r>
      <w:r w:rsidRPr="00717080">
        <w:rPr>
          <w:rFonts w:ascii="Arial" w:hAnsi="Arial" w:cs="Arial"/>
          <w:i/>
          <w:iCs/>
        </w:rPr>
        <w:t>Talent Data Cloud Report 2024.</w:t>
      </w:r>
      <w:r w:rsidRPr="00717080">
        <w:rPr>
          <w:rFonts w:ascii="Arial" w:hAnsi="Arial" w:cs="Arial"/>
        </w:rPr>
        <w:t xml:space="preserve"> New York: IBM Institute for Business Value.</w:t>
      </w:r>
      <w:r w:rsidRPr="00717080">
        <w:rPr>
          <w:rFonts w:ascii="Arial" w:hAnsi="Arial" w:cs="Arial"/>
        </w:rPr>
        <w:br/>
        <w:t xml:space="preserve">ILO. (2023) </w:t>
      </w:r>
      <w:r w:rsidRPr="00717080">
        <w:rPr>
          <w:rFonts w:ascii="Arial" w:hAnsi="Arial" w:cs="Arial"/>
          <w:i/>
          <w:iCs/>
        </w:rPr>
        <w:t>World Employment and Social Outlook 2023.</w:t>
      </w:r>
      <w:r w:rsidRPr="00717080">
        <w:rPr>
          <w:rFonts w:ascii="Arial" w:hAnsi="Arial" w:cs="Arial"/>
        </w:rPr>
        <w:t xml:space="preserve"> Geneva: International Labour Organization.</w:t>
      </w:r>
    </w:p>
    <w:p w14:paraId="42308E16" w14:textId="77777777" w:rsidR="00717080" w:rsidRDefault="00B94781" w:rsidP="00717080">
      <w:pPr>
        <w:spacing w:line="360" w:lineRule="auto"/>
        <w:jc w:val="both"/>
        <w:rPr>
          <w:rFonts w:ascii="Arial" w:hAnsi="Arial" w:cs="Arial"/>
        </w:rPr>
      </w:pPr>
      <w:r w:rsidRPr="00717080">
        <w:rPr>
          <w:rFonts w:ascii="Arial" w:hAnsi="Arial" w:cs="Arial"/>
        </w:rPr>
        <w:t xml:space="preserve">Kolb, D. A. (2015) </w:t>
      </w:r>
      <w:r w:rsidRPr="00717080">
        <w:rPr>
          <w:rFonts w:ascii="Arial" w:hAnsi="Arial" w:cs="Arial"/>
          <w:i/>
          <w:iCs/>
        </w:rPr>
        <w:t>Experiential Learning: Experience as the Source of Learning and Development.</w:t>
      </w:r>
      <w:r w:rsidRPr="00717080">
        <w:rPr>
          <w:rFonts w:ascii="Arial" w:hAnsi="Arial" w:cs="Arial"/>
        </w:rPr>
        <w:t xml:space="preserve"> 2nd edn. Upper Saddle River, NJ: Pearson.</w:t>
      </w:r>
      <w:r w:rsidRPr="00717080">
        <w:rPr>
          <w:rFonts w:ascii="Arial" w:hAnsi="Arial" w:cs="Arial"/>
        </w:rPr>
        <w:br/>
        <w:t xml:space="preserve">ManpowerGroup. (2024) </w:t>
      </w:r>
      <w:r w:rsidRPr="00717080">
        <w:rPr>
          <w:rFonts w:ascii="Arial" w:hAnsi="Arial" w:cs="Arial"/>
          <w:i/>
          <w:iCs/>
        </w:rPr>
        <w:t>Talent Shortage Survey 2024.</w:t>
      </w:r>
      <w:r w:rsidRPr="00717080">
        <w:rPr>
          <w:rFonts w:ascii="Arial" w:hAnsi="Arial" w:cs="Arial"/>
        </w:rPr>
        <w:t xml:space="preserve"> Milwaukee: ManpowerGroup.</w:t>
      </w:r>
      <w:r w:rsidRPr="00717080">
        <w:rPr>
          <w:rFonts w:ascii="Arial" w:hAnsi="Arial" w:cs="Arial"/>
        </w:rPr>
        <w:br/>
        <w:t xml:space="preserve">McKinsey &amp; Company. (2024) </w:t>
      </w:r>
      <w:r w:rsidRPr="00717080">
        <w:rPr>
          <w:rFonts w:ascii="Arial" w:hAnsi="Arial" w:cs="Arial"/>
          <w:i/>
          <w:iCs/>
        </w:rPr>
        <w:t>Future of Work: AI, Automation, and Labour Markets.</w:t>
      </w:r>
      <w:r w:rsidRPr="00717080">
        <w:rPr>
          <w:rFonts w:ascii="Arial" w:hAnsi="Arial" w:cs="Arial"/>
        </w:rPr>
        <w:t xml:space="preserve"> New York: McKinsey Insights.</w:t>
      </w:r>
    </w:p>
    <w:p w14:paraId="5BC7BD2E" w14:textId="77777777" w:rsidR="00717080" w:rsidRDefault="00B94781" w:rsidP="00717080">
      <w:pPr>
        <w:spacing w:line="360" w:lineRule="auto"/>
        <w:jc w:val="both"/>
        <w:rPr>
          <w:rFonts w:ascii="Arial" w:hAnsi="Arial" w:cs="Arial"/>
        </w:rPr>
      </w:pPr>
      <w:r w:rsidRPr="00717080">
        <w:rPr>
          <w:rFonts w:ascii="Arial" w:hAnsi="Arial" w:cs="Arial"/>
        </w:rPr>
        <w:t xml:space="preserve">Northouse, P. G. (2022) </w:t>
      </w:r>
      <w:r w:rsidRPr="00717080">
        <w:rPr>
          <w:rFonts w:ascii="Arial" w:hAnsi="Arial" w:cs="Arial"/>
          <w:i/>
          <w:iCs/>
        </w:rPr>
        <w:t>Leadership: Theory and Practice.</w:t>
      </w:r>
      <w:r w:rsidRPr="00717080">
        <w:rPr>
          <w:rFonts w:ascii="Arial" w:hAnsi="Arial" w:cs="Arial"/>
        </w:rPr>
        <w:t xml:space="preserve"> 9th edn. Thousand Oaks, CA: Sage Publications.</w:t>
      </w:r>
    </w:p>
    <w:p w14:paraId="18B169BA"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OECD. (2024) </w:t>
      </w:r>
      <w:r w:rsidRPr="00717080">
        <w:rPr>
          <w:rFonts w:ascii="Arial" w:hAnsi="Arial" w:cs="Arial"/>
          <w:i/>
          <w:iCs/>
        </w:rPr>
        <w:t>Employment Outlook 2024: Navigating the Future of Work.</w:t>
      </w:r>
      <w:r w:rsidRPr="00717080">
        <w:rPr>
          <w:rFonts w:ascii="Arial" w:hAnsi="Arial" w:cs="Arial"/>
        </w:rPr>
        <w:t xml:space="preserve"> Paris: OECD Publishing. Available at: </w:t>
      </w:r>
      <w:hyperlink r:id="rId13" w:history="1">
        <w:r w:rsidRPr="00717080">
          <w:rPr>
            <w:rStyle w:val="Hyperlink"/>
            <w:rFonts w:ascii="Arial" w:hAnsi="Arial" w:cs="Arial"/>
          </w:rPr>
          <w:t>https://doi.org/10.1787/empl_outlook-2024-en</w:t>
        </w:r>
      </w:hyperlink>
      <w:r w:rsidRPr="00717080">
        <w:rPr>
          <w:rFonts w:ascii="Arial" w:hAnsi="Arial" w:cs="Arial"/>
        </w:rPr>
        <w:t>.</w:t>
      </w:r>
    </w:p>
    <w:p w14:paraId="6931BA24"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Statista. (2024) </w:t>
      </w:r>
      <w:r w:rsidRPr="00717080">
        <w:rPr>
          <w:rFonts w:ascii="Arial" w:hAnsi="Arial" w:cs="Arial"/>
          <w:i/>
          <w:iCs/>
        </w:rPr>
        <w:t>Global Gig Economy Workforce Size 2017–2024.</w:t>
      </w:r>
      <w:r w:rsidRPr="00717080">
        <w:rPr>
          <w:rFonts w:ascii="Arial" w:hAnsi="Arial" w:cs="Arial"/>
        </w:rPr>
        <w:t xml:space="preserve"> Available at: </w:t>
      </w:r>
      <w:hyperlink r:id="rId14" w:history="1">
        <w:r w:rsidRPr="00717080">
          <w:rPr>
            <w:rStyle w:val="Hyperlink"/>
            <w:rFonts w:ascii="Arial" w:hAnsi="Arial" w:cs="Arial"/>
          </w:rPr>
          <w:t>https://www.statista.com/statistics/879556/gig-economy-size-worldwide/</w:t>
        </w:r>
      </w:hyperlink>
      <w:r w:rsidRPr="00717080">
        <w:rPr>
          <w:rFonts w:ascii="Arial" w:hAnsi="Arial" w:cs="Arial"/>
        </w:rPr>
        <w:t>.</w:t>
      </w:r>
    </w:p>
    <w:p w14:paraId="33BEF269"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Tuckman, B. (1965) ‘Developmental sequence in small groups’, </w:t>
      </w:r>
      <w:r w:rsidRPr="00717080">
        <w:rPr>
          <w:rFonts w:ascii="Arial" w:hAnsi="Arial" w:cs="Arial"/>
          <w:i/>
          <w:iCs/>
        </w:rPr>
        <w:t>Psychological Bulletin,</w:t>
      </w:r>
      <w:r w:rsidRPr="00717080">
        <w:rPr>
          <w:rFonts w:ascii="Arial" w:hAnsi="Arial" w:cs="Arial"/>
        </w:rPr>
        <w:t xml:space="preserve"> 63(6), pp. 384–399. </w:t>
      </w:r>
      <w:hyperlink r:id="rId15" w:history="1">
        <w:r w:rsidRPr="00717080">
          <w:rPr>
            <w:rStyle w:val="Hyperlink"/>
            <w:rFonts w:ascii="Arial" w:hAnsi="Arial" w:cs="Arial"/>
          </w:rPr>
          <w:t>https://doi.org/10.1037/h0022100</w:t>
        </w:r>
      </w:hyperlink>
      <w:r w:rsidRPr="00717080">
        <w:rPr>
          <w:rFonts w:ascii="Arial" w:hAnsi="Arial" w:cs="Arial"/>
        </w:rPr>
        <w:t>.</w:t>
      </w:r>
    </w:p>
    <w:p w14:paraId="3F667F3C" w14:textId="77777777" w:rsidR="00B94781" w:rsidRPr="00717080" w:rsidRDefault="00B94781" w:rsidP="00717080">
      <w:pPr>
        <w:spacing w:line="360" w:lineRule="auto"/>
        <w:jc w:val="both"/>
        <w:rPr>
          <w:rFonts w:ascii="Arial" w:hAnsi="Arial" w:cs="Arial"/>
        </w:rPr>
      </w:pPr>
      <w:r w:rsidRPr="00717080">
        <w:rPr>
          <w:rFonts w:ascii="Arial" w:hAnsi="Arial" w:cs="Arial"/>
        </w:rPr>
        <w:lastRenderedPageBreak/>
        <w:t xml:space="preserve">United Nations. (2024) </w:t>
      </w:r>
      <w:r w:rsidRPr="00717080">
        <w:rPr>
          <w:rFonts w:ascii="Arial" w:hAnsi="Arial" w:cs="Arial"/>
          <w:i/>
          <w:iCs/>
        </w:rPr>
        <w:t>World Population Prospects 2024.</w:t>
      </w:r>
      <w:r w:rsidRPr="00717080">
        <w:rPr>
          <w:rFonts w:ascii="Arial" w:hAnsi="Arial" w:cs="Arial"/>
        </w:rPr>
        <w:t xml:space="preserve"> New York: UN Department of Economic and Social Affairs.</w:t>
      </w:r>
    </w:p>
    <w:p w14:paraId="5A2BF983" w14:textId="77777777" w:rsidR="00B94781" w:rsidRPr="00717080" w:rsidRDefault="00B94781" w:rsidP="00717080">
      <w:pPr>
        <w:spacing w:line="360" w:lineRule="auto"/>
        <w:jc w:val="both"/>
        <w:rPr>
          <w:rFonts w:ascii="Arial" w:hAnsi="Arial" w:cs="Arial"/>
        </w:rPr>
      </w:pPr>
      <w:r w:rsidRPr="00717080">
        <w:rPr>
          <w:rFonts w:ascii="Arial" w:hAnsi="Arial" w:cs="Arial"/>
        </w:rPr>
        <w:t xml:space="preserve">World Bank. (2024) </w:t>
      </w:r>
      <w:r w:rsidRPr="00717080">
        <w:rPr>
          <w:rFonts w:ascii="Arial" w:hAnsi="Arial" w:cs="Arial"/>
          <w:i/>
          <w:iCs/>
        </w:rPr>
        <w:t>World Development Report 2024: Work and Technology.</w:t>
      </w:r>
      <w:r w:rsidRPr="00717080">
        <w:rPr>
          <w:rFonts w:ascii="Arial" w:hAnsi="Arial" w:cs="Arial"/>
        </w:rPr>
        <w:t xml:space="preserve"> Washington, DC: World Bank. Available at: </w:t>
      </w:r>
      <w:hyperlink r:id="rId16" w:history="1">
        <w:r w:rsidRPr="00717080">
          <w:rPr>
            <w:rStyle w:val="Hyperlink"/>
            <w:rFonts w:ascii="Arial" w:hAnsi="Arial" w:cs="Arial"/>
          </w:rPr>
          <w:t>https://doi.org/10.1596/978-1-4648-2038-8</w:t>
        </w:r>
      </w:hyperlink>
      <w:r w:rsidRPr="00717080">
        <w:rPr>
          <w:rFonts w:ascii="Arial" w:hAnsi="Arial" w:cs="Arial"/>
        </w:rPr>
        <w:t>.</w:t>
      </w:r>
    </w:p>
    <w:p w14:paraId="640FF2D3" w14:textId="77777777" w:rsidR="00935D0E" w:rsidRPr="00B94781" w:rsidRDefault="00B94781" w:rsidP="00717080">
      <w:pPr>
        <w:spacing w:line="360" w:lineRule="auto"/>
        <w:jc w:val="both"/>
        <w:rPr>
          <w:rFonts w:ascii="Arial" w:hAnsi="Arial" w:cs="Arial"/>
        </w:rPr>
      </w:pPr>
      <w:r w:rsidRPr="00717080">
        <w:rPr>
          <w:rFonts w:ascii="Arial" w:hAnsi="Arial" w:cs="Arial"/>
        </w:rPr>
        <w:t xml:space="preserve">World Economic Forum. (2024) </w:t>
      </w:r>
      <w:r w:rsidRPr="00717080">
        <w:rPr>
          <w:rFonts w:ascii="Arial" w:hAnsi="Arial" w:cs="Arial"/>
          <w:i/>
          <w:iCs/>
        </w:rPr>
        <w:t>Future of Jobs Report 2024.</w:t>
      </w:r>
      <w:r w:rsidRPr="00717080">
        <w:rPr>
          <w:rFonts w:ascii="Arial" w:hAnsi="Arial" w:cs="Arial"/>
        </w:rPr>
        <w:t xml:space="preserve"> Geneva: WEF. Available at: </w:t>
      </w:r>
      <w:hyperlink r:id="rId17" w:history="1">
        <w:r w:rsidRPr="00717080">
          <w:rPr>
            <w:rStyle w:val="Hyperlink"/>
            <w:rFonts w:ascii="Arial" w:hAnsi="Arial" w:cs="Arial"/>
          </w:rPr>
          <w:t>https://www.weforum.org/reports/the-future-of-jobs-report-2024</w:t>
        </w:r>
      </w:hyperlink>
      <w:r w:rsidRPr="00717080">
        <w:rPr>
          <w:rFonts w:ascii="Arial" w:hAnsi="Arial" w:cs="Arial"/>
        </w:rPr>
        <w:t>.</w:t>
      </w:r>
    </w:p>
    <w:p w14:paraId="52E3797E" w14:textId="77777777" w:rsidR="00B94781" w:rsidRDefault="00B94781"/>
    <w:sectPr w:rsidR="00B94781">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1BF5E" w14:textId="77777777" w:rsidR="006B5110" w:rsidRDefault="006B5110" w:rsidP="00236238">
      <w:pPr>
        <w:spacing w:after="0" w:line="240" w:lineRule="auto"/>
      </w:pPr>
      <w:r>
        <w:separator/>
      </w:r>
    </w:p>
  </w:endnote>
  <w:endnote w:type="continuationSeparator" w:id="0">
    <w:p w14:paraId="28BB6EC4" w14:textId="77777777" w:rsidR="006B5110" w:rsidRDefault="006B5110" w:rsidP="00236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1515957"/>
      <w:docPartObj>
        <w:docPartGallery w:val="Page Numbers (Bottom of Page)"/>
        <w:docPartUnique/>
      </w:docPartObj>
    </w:sdtPr>
    <w:sdtEndPr>
      <w:rPr>
        <w:noProof/>
      </w:rPr>
    </w:sdtEndPr>
    <w:sdtContent>
      <w:p w14:paraId="10ADEC1D" w14:textId="77777777" w:rsidR="00236238" w:rsidRDefault="002362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47D293" w14:textId="77777777" w:rsidR="00236238" w:rsidRDefault="00236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368CF" w14:textId="77777777" w:rsidR="006B5110" w:rsidRDefault="006B5110" w:rsidP="00236238">
      <w:pPr>
        <w:spacing w:after="0" w:line="240" w:lineRule="auto"/>
      </w:pPr>
      <w:r>
        <w:separator/>
      </w:r>
    </w:p>
  </w:footnote>
  <w:footnote w:type="continuationSeparator" w:id="0">
    <w:p w14:paraId="180F705A" w14:textId="77777777" w:rsidR="006B5110" w:rsidRDefault="006B5110" w:rsidP="002362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325A5"/>
    <w:multiLevelType w:val="multilevel"/>
    <w:tmpl w:val="B5668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480CC4"/>
    <w:multiLevelType w:val="multilevel"/>
    <w:tmpl w:val="EFD45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491F03"/>
    <w:multiLevelType w:val="multilevel"/>
    <w:tmpl w:val="E878F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6214DA"/>
    <w:multiLevelType w:val="multilevel"/>
    <w:tmpl w:val="30CC8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5B154E"/>
    <w:multiLevelType w:val="multilevel"/>
    <w:tmpl w:val="6A1880E4"/>
    <w:lvl w:ilvl="0">
      <w:start w:val="1"/>
      <w:numFmt w:val="decimal"/>
      <w:pStyle w:val="Heading1"/>
      <w:suff w:val="space"/>
      <w:lvlText w:val="%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781"/>
    <w:rsid w:val="000D18BE"/>
    <w:rsid w:val="000F6813"/>
    <w:rsid w:val="001113AA"/>
    <w:rsid w:val="00175982"/>
    <w:rsid w:val="00175BD6"/>
    <w:rsid w:val="00190F0F"/>
    <w:rsid w:val="00236238"/>
    <w:rsid w:val="00284D9F"/>
    <w:rsid w:val="003604E9"/>
    <w:rsid w:val="00615F28"/>
    <w:rsid w:val="006B5110"/>
    <w:rsid w:val="006E3BD1"/>
    <w:rsid w:val="00717080"/>
    <w:rsid w:val="00790BB1"/>
    <w:rsid w:val="00935D0E"/>
    <w:rsid w:val="00A65DC8"/>
    <w:rsid w:val="00A90373"/>
    <w:rsid w:val="00AA066E"/>
    <w:rsid w:val="00B043B4"/>
    <w:rsid w:val="00B15849"/>
    <w:rsid w:val="00B94781"/>
    <w:rsid w:val="00BD6F32"/>
    <w:rsid w:val="00D03B85"/>
    <w:rsid w:val="00D04617"/>
    <w:rsid w:val="00D51D91"/>
    <w:rsid w:val="00EC5D14"/>
    <w:rsid w:val="00F07B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C67F5"/>
  <w15:chartTrackingRefBased/>
  <w15:docId w15:val="{267A9481-BFCD-4DCC-BBE2-73333CD1A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781"/>
    <w:pPr>
      <w:keepNext/>
      <w:keepLines/>
      <w:numPr>
        <w:numId w:val="5"/>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94781"/>
    <w:pPr>
      <w:keepNext/>
      <w:keepLines/>
      <w:numPr>
        <w:ilvl w:val="1"/>
        <w:numId w:val="5"/>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4781"/>
    <w:pPr>
      <w:keepNext/>
      <w:keepLines/>
      <w:numPr>
        <w:ilvl w:val="2"/>
        <w:numId w:val="5"/>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4781"/>
    <w:pPr>
      <w:keepNext/>
      <w:keepLines/>
      <w:numPr>
        <w:ilvl w:val="3"/>
        <w:numId w:val="5"/>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4781"/>
    <w:pPr>
      <w:keepNext/>
      <w:keepLines/>
      <w:numPr>
        <w:ilvl w:val="4"/>
        <w:numId w:val="5"/>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4781"/>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781"/>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781"/>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781"/>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7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947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47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47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478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47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7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7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781"/>
    <w:rPr>
      <w:rFonts w:eastAsiaTheme="majorEastAsia" w:cstheme="majorBidi"/>
      <w:color w:val="272727" w:themeColor="text1" w:themeTint="D8"/>
    </w:rPr>
  </w:style>
  <w:style w:type="paragraph" w:styleId="Title">
    <w:name w:val="Title"/>
    <w:basedOn w:val="Normal"/>
    <w:next w:val="Normal"/>
    <w:link w:val="TitleChar"/>
    <w:uiPriority w:val="10"/>
    <w:qFormat/>
    <w:rsid w:val="00B947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7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7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7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781"/>
    <w:pPr>
      <w:spacing w:before="160"/>
      <w:jc w:val="center"/>
    </w:pPr>
    <w:rPr>
      <w:i/>
      <w:iCs/>
      <w:color w:val="404040" w:themeColor="text1" w:themeTint="BF"/>
    </w:rPr>
  </w:style>
  <w:style w:type="character" w:customStyle="1" w:styleId="QuoteChar">
    <w:name w:val="Quote Char"/>
    <w:basedOn w:val="DefaultParagraphFont"/>
    <w:link w:val="Quote"/>
    <w:uiPriority w:val="29"/>
    <w:rsid w:val="00B94781"/>
    <w:rPr>
      <w:i/>
      <w:iCs/>
      <w:color w:val="404040" w:themeColor="text1" w:themeTint="BF"/>
    </w:rPr>
  </w:style>
  <w:style w:type="paragraph" w:styleId="ListParagraph">
    <w:name w:val="List Paragraph"/>
    <w:basedOn w:val="Normal"/>
    <w:uiPriority w:val="34"/>
    <w:qFormat/>
    <w:rsid w:val="00B94781"/>
    <w:pPr>
      <w:ind w:left="720"/>
      <w:contextualSpacing/>
    </w:pPr>
  </w:style>
  <w:style w:type="character" w:styleId="IntenseEmphasis">
    <w:name w:val="Intense Emphasis"/>
    <w:basedOn w:val="DefaultParagraphFont"/>
    <w:uiPriority w:val="21"/>
    <w:qFormat/>
    <w:rsid w:val="00B94781"/>
    <w:rPr>
      <w:i/>
      <w:iCs/>
      <w:color w:val="2F5496" w:themeColor="accent1" w:themeShade="BF"/>
    </w:rPr>
  </w:style>
  <w:style w:type="paragraph" w:styleId="IntenseQuote">
    <w:name w:val="Intense Quote"/>
    <w:basedOn w:val="Normal"/>
    <w:next w:val="Normal"/>
    <w:link w:val="IntenseQuoteChar"/>
    <w:uiPriority w:val="30"/>
    <w:qFormat/>
    <w:rsid w:val="00B947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4781"/>
    <w:rPr>
      <w:i/>
      <w:iCs/>
      <w:color w:val="2F5496" w:themeColor="accent1" w:themeShade="BF"/>
    </w:rPr>
  </w:style>
  <w:style w:type="character" w:styleId="IntenseReference">
    <w:name w:val="Intense Reference"/>
    <w:basedOn w:val="DefaultParagraphFont"/>
    <w:uiPriority w:val="32"/>
    <w:qFormat/>
    <w:rsid w:val="00B94781"/>
    <w:rPr>
      <w:b/>
      <w:bCs/>
      <w:smallCaps/>
      <w:color w:val="2F5496" w:themeColor="accent1" w:themeShade="BF"/>
      <w:spacing w:val="5"/>
    </w:rPr>
  </w:style>
  <w:style w:type="character" w:styleId="Hyperlink">
    <w:name w:val="Hyperlink"/>
    <w:basedOn w:val="DefaultParagraphFont"/>
    <w:uiPriority w:val="99"/>
    <w:unhideWhenUsed/>
    <w:rsid w:val="00B94781"/>
    <w:rPr>
      <w:color w:val="0563C1" w:themeColor="hyperlink"/>
      <w:u w:val="single"/>
    </w:rPr>
  </w:style>
  <w:style w:type="character" w:styleId="UnresolvedMention">
    <w:name w:val="Unresolved Mention"/>
    <w:basedOn w:val="DefaultParagraphFont"/>
    <w:uiPriority w:val="99"/>
    <w:semiHidden/>
    <w:unhideWhenUsed/>
    <w:rsid w:val="00B94781"/>
    <w:rPr>
      <w:color w:val="605E5C"/>
      <w:shd w:val="clear" w:color="auto" w:fill="E1DFDD"/>
    </w:rPr>
  </w:style>
  <w:style w:type="table" w:styleId="TableGrid">
    <w:name w:val="Table Grid"/>
    <w:basedOn w:val="TableNormal"/>
    <w:uiPriority w:val="39"/>
    <w:rsid w:val="007170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36238"/>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36238"/>
    <w:pPr>
      <w:spacing w:after="100"/>
    </w:pPr>
  </w:style>
  <w:style w:type="paragraph" w:styleId="TOC2">
    <w:name w:val="toc 2"/>
    <w:basedOn w:val="Normal"/>
    <w:next w:val="Normal"/>
    <w:autoRedefine/>
    <w:uiPriority w:val="39"/>
    <w:unhideWhenUsed/>
    <w:rsid w:val="00236238"/>
    <w:pPr>
      <w:spacing w:after="100"/>
      <w:ind w:left="240"/>
    </w:pPr>
  </w:style>
  <w:style w:type="paragraph" w:styleId="Header">
    <w:name w:val="header"/>
    <w:basedOn w:val="Normal"/>
    <w:link w:val="HeaderChar"/>
    <w:uiPriority w:val="99"/>
    <w:unhideWhenUsed/>
    <w:rsid w:val="002362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6238"/>
  </w:style>
  <w:style w:type="paragraph" w:styleId="Footer">
    <w:name w:val="footer"/>
    <w:basedOn w:val="Normal"/>
    <w:link w:val="FooterChar"/>
    <w:uiPriority w:val="99"/>
    <w:unhideWhenUsed/>
    <w:rsid w:val="002362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62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787/empl_outlook-2024-e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23/07/augmented-intelligence" TargetMode="External"/><Relationship Id="rId17" Type="http://schemas.openxmlformats.org/officeDocument/2006/relationships/hyperlink" Target="https://www.weforum.org/reports/the-future-of-jobs-report-2024" TargetMode="External"/><Relationship Id="rId2" Type="http://schemas.openxmlformats.org/officeDocument/2006/relationships/numbering" Target="numbering.xml"/><Relationship Id="rId16" Type="http://schemas.openxmlformats.org/officeDocument/2006/relationships/hyperlink" Target="https://doi.org/10.1596/978-1-4648-2038-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global/en/insights" TargetMode="External"/><Relationship Id="rId5" Type="http://schemas.openxmlformats.org/officeDocument/2006/relationships/webSettings" Target="webSettings.xml"/><Relationship Id="rId15" Type="http://schemas.openxmlformats.org/officeDocument/2006/relationships/hyperlink" Target="https://doi.org/10.1037/h0022100"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879556/gig-economy-size-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61EF7-BDE7-4514-B6BB-6B75240FD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15</Pages>
  <Words>3670</Words>
  <Characters>20922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Ritu Panna Saha</dc:creator>
  <cp:keywords/>
  <dc:description/>
  <cp:lastModifiedBy>Sadman Hossain</cp:lastModifiedBy>
  <cp:revision>8</cp:revision>
  <dcterms:created xsi:type="dcterms:W3CDTF">2025-10-10T04:07:00Z</dcterms:created>
  <dcterms:modified xsi:type="dcterms:W3CDTF">2025-10-16T11:38:00Z</dcterms:modified>
</cp:coreProperties>
</file>