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BBAB1" w14:textId="77777777" w:rsidR="00DD79BF" w:rsidRPr="00DD79BF" w:rsidRDefault="00DD79BF" w:rsidP="00DD79BF">
      <w:r w:rsidRPr="00DD79BF">
        <w:t>TITLE: ASSESSMENT COMPONENT 2</w:t>
      </w:r>
    </w:p>
    <w:p w14:paraId="4E35DFA2" w14:textId="77777777" w:rsidR="00DD79BF" w:rsidRPr="00DD79BF" w:rsidRDefault="00DD79BF" w:rsidP="00DD79BF">
      <w:r w:rsidRPr="00DD79BF">
        <w:t>MODULE: MANAGING PEOPLE</w:t>
      </w:r>
    </w:p>
    <w:p w14:paraId="03D120B3" w14:textId="77777777" w:rsidR="00DD79BF" w:rsidRPr="00DD79BF" w:rsidRDefault="00DD79BF" w:rsidP="00DD79BF">
      <w:r w:rsidRPr="00DD79BF">
        <w:t>MODULE CODE: LCBB5004</w:t>
      </w:r>
    </w:p>
    <w:p w14:paraId="08E01426" w14:textId="77777777" w:rsidR="00DD79BF" w:rsidRPr="00DD79BF" w:rsidRDefault="00DD79BF" w:rsidP="00DD79BF">
      <w:r w:rsidRPr="00DD79BF">
        <w:t>STUDENT NAME: MARCO GUARRACINO</w:t>
      </w:r>
    </w:p>
    <w:p w14:paraId="1771B439" w14:textId="77777777" w:rsidR="00DD79BF" w:rsidRPr="00DD79BF" w:rsidRDefault="00DD79BF" w:rsidP="00DD79BF">
      <w:r w:rsidRPr="00DD79BF">
        <w:t>STUDENT NUMBER: 2114886</w:t>
      </w:r>
    </w:p>
    <w:p w14:paraId="001BADF3" w14:textId="77777777" w:rsidR="00DD79BF" w:rsidRPr="00DD79BF" w:rsidRDefault="00DD79BF" w:rsidP="00DD79BF">
      <w:r w:rsidRPr="00DD79BF">
        <w:t>LECTURER NAME: DR. AKASH PURANIK</w:t>
      </w:r>
    </w:p>
    <w:p w14:paraId="40ED0271" w14:textId="77777777" w:rsidR="00DD79BF" w:rsidRPr="00DD79BF" w:rsidRDefault="00DD79BF" w:rsidP="00DD79BF"/>
    <w:p w14:paraId="5F83879C" w14:textId="77777777" w:rsidR="00DD79BF" w:rsidRPr="00DD79BF" w:rsidRDefault="00DD79BF" w:rsidP="00DD79BF">
      <w:r w:rsidRPr="00DD79BF">
        <w:t xml:space="preserve">                                                                INTRODUCTION</w:t>
      </w:r>
    </w:p>
    <w:p w14:paraId="53F65CBD" w14:textId="77777777" w:rsidR="00DD79BF" w:rsidRPr="00DD79BF" w:rsidRDefault="00DD79BF" w:rsidP="00DD79BF">
      <w:r w:rsidRPr="00DD79BF">
        <w:t xml:space="preserve">Workplace dynamics have changed dramatically in the post-pandemic era, with flexible and hybrid working patterns becoming the standard in many industries. The diagnostic test provider VialTech, which serves both NHS and private clients, is considering implementing flexible work arrangements. The advantages of these tactics, implementation considerations, prospective changes to the pay structure, and methods to encourage staff involvement during this shift are all included in this paper. </w:t>
      </w:r>
    </w:p>
    <w:p w14:paraId="2D509C2C" w14:textId="77777777" w:rsidR="00DD79BF" w:rsidRPr="00DD79BF" w:rsidRDefault="00DD79BF" w:rsidP="00DD79BF">
      <w:r w:rsidRPr="00DD79BF">
        <w:t xml:space="preserve">                                                                                    MAIN BODY</w:t>
      </w:r>
    </w:p>
    <w:p w14:paraId="088411D7" w14:textId="025760FA" w:rsidR="00DD79BF" w:rsidRPr="00DD79BF" w:rsidRDefault="00DD79BF" w:rsidP="00DD79BF">
      <w:r w:rsidRPr="00DD79BF">
        <w:t xml:space="preserve">Better Work-Life Balance: Employees with flexible work schedules are more likely to be satisfied with their jobs and experience lower stress levels. This is especially true for those </w:t>
      </w:r>
      <w:r w:rsidR="00727CC7">
        <w:t>with</w:t>
      </w:r>
      <w:r w:rsidRPr="00DD79BF">
        <w:t xml:space="preserve"> personal responsibilities such as having children or other obligations.</w:t>
      </w:r>
    </w:p>
    <w:p w14:paraId="4DAD0E04" w14:textId="0766434B" w:rsidR="00DD79BF" w:rsidRPr="00DD79BF" w:rsidRDefault="00DD79BF" w:rsidP="00344565">
      <w:pPr>
        <w:spacing w:before="240"/>
        <w:rPr>
          <w:sz w:val="24"/>
          <w:szCs w:val="24"/>
        </w:rPr>
      </w:pPr>
      <w:r w:rsidRPr="00DD79BF">
        <w:t>Increased Output</w:t>
      </w:r>
      <w:r w:rsidR="0003444B">
        <w:t xml:space="preserve"> </w:t>
      </w:r>
      <w:r w:rsidR="0003444B" w:rsidRPr="00F071DB">
        <w:t>Lockwood, N.R.</w:t>
      </w:r>
      <w:r w:rsidR="00940BA1">
        <w:rPr>
          <w:sz w:val="20"/>
          <w:szCs w:val="20"/>
        </w:rPr>
        <w:t>(</w:t>
      </w:r>
      <w:r w:rsidR="0003444B" w:rsidRPr="00F071DB">
        <w:t>2003</w:t>
      </w:r>
      <w:r w:rsidR="00344565">
        <w:rPr>
          <w:sz w:val="24"/>
          <w:szCs w:val="24"/>
        </w:rPr>
        <w:t>)</w:t>
      </w:r>
    </w:p>
    <w:p w14:paraId="02FF900A" w14:textId="19F8FF54" w:rsidR="00DD79BF" w:rsidRPr="00DD79BF" w:rsidRDefault="00DD79BF" w:rsidP="00DD79BF">
      <w:r w:rsidRPr="00DD79BF">
        <w:t xml:space="preserve">Research has indicated that workers with autonomy over their work schedules typically exhibit higher </w:t>
      </w:r>
      <w:r w:rsidR="00727CC7">
        <w:t>productivity levels</w:t>
      </w:r>
      <w:r w:rsidRPr="00DD79BF">
        <w:t>. Because employees can work at their most productive hours, flexible working can decrease burnout and enhance motivation.</w:t>
      </w:r>
    </w:p>
    <w:p w14:paraId="21458848" w14:textId="1C564B0B" w:rsidR="00DD79BF" w:rsidRPr="00DD79BF" w:rsidRDefault="00DD79BF" w:rsidP="00DD79BF">
      <w:r w:rsidRPr="00DD79BF">
        <w:t xml:space="preserve">Attracting and Retaining Talent: VialTech can attract more prospective employees by providing flexible work arrangements, especially to younger people who value work-life balance. It can also aid in keeping </w:t>
      </w:r>
      <w:r w:rsidR="00C045E3">
        <w:t xml:space="preserve">current workers on board and </w:t>
      </w:r>
      <w:r w:rsidRPr="00DD79BF">
        <w:t>lowering attrition rates and related expenses.</w:t>
      </w:r>
    </w:p>
    <w:p w14:paraId="0389F1ED" w14:textId="77777777" w:rsidR="00DD79BF" w:rsidRPr="00DD79BF" w:rsidRDefault="00DD79BF" w:rsidP="00DD79BF">
      <w:r w:rsidRPr="00DD79BF">
        <w:t>Savings on Costs</w:t>
      </w:r>
    </w:p>
    <w:p w14:paraId="5E12CB51" w14:textId="77777777" w:rsidR="00DD79BF" w:rsidRPr="00DD79BF" w:rsidRDefault="00DD79BF" w:rsidP="00DD79BF">
      <w:r w:rsidRPr="00DD79BF">
        <w:t>Lower overhead expenses, such as fewer power bills and a decreased demand for office space, might result from flexible working. This can be especially helpful for VialTech, as they run several sites.</w:t>
      </w:r>
    </w:p>
    <w:p w14:paraId="120EC170" w14:textId="77777777" w:rsidR="00DD79BF" w:rsidRPr="00DD79BF" w:rsidRDefault="00DD79BF" w:rsidP="00DD79BF">
      <w:r w:rsidRPr="00DD79BF">
        <w:t>Enhanced Workplace Involvement</w:t>
      </w:r>
    </w:p>
    <w:p w14:paraId="5B1FA573" w14:textId="34A4E559" w:rsidR="00DD79BF" w:rsidRPr="00DD79BF" w:rsidRDefault="00DD79BF" w:rsidP="00DD79BF">
      <w:pPr>
        <w:rPr>
          <w:rFonts w:ascii="Arial" w:hAnsi="Arial" w:cs="Arial"/>
        </w:rPr>
      </w:pPr>
      <w:r w:rsidRPr="00DD79BF">
        <w:t>Workplace flexibility has the potential to increase employee engagement. Employees who are engaged are more likely to be dedicated to the company's objectives and offer superior customer service.</w:t>
      </w:r>
      <w:r w:rsidR="00C91DF3">
        <w:t xml:space="preserve"> </w:t>
      </w:r>
      <w:r w:rsidR="00C91DF3" w:rsidRPr="00C91DF3">
        <w:t xml:space="preserve">Frega, R., </w:t>
      </w:r>
      <w:r w:rsidR="00C91DF3">
        <w:rPr>
          <w:sz w:val="20"/>
          <w:szCs w:val="20"/>
        </w:rPr>
        <w:t>(</w:t>
      </w:r>
      <w:r w:rsidR="00C91DF3" w:rsidRPr="00C91DF3">
        <w:t>2021</w:t>
      </w:r>
      <w:r w:rsidR="00C91DF3">
        <w:t>)</w:t>
      </w:r>
    </w:p>
    <w:p w14:paraId="681B1CB8" w14:textId="77777777" w:rsidR="00DD79BF" w:rsidRPr="00DD79BF" w:rsidRDefault="00DD79BF" w:rsidP="00DD79BF">
      <w:r w:rsidRPr="00DD79BF">
        <w:t xml:space="preserve">Assessing Job Roles and Requirements: Before introducing flexible working, it is imperative to evaluate the requirements associated with each of the following VialTech job roles: Administrators: These positions are better suited to remote work and flexible hours; Lab Technicians: Due to their need for in-person presence in the lab, their flexibility may be limited </w:t>
      </w:r>
      <w:r w:rsidRPr="00DD79BF">
        <w:lastRenderedPageBreak/>
        <w:t>to shift adjustments; and Customer Facing Staff: These positions require physical presence at test facilities, but shift patterns may be more flexible.</w:t>
      </w:r>
    </w:p>
    <w:p w14:paraId="7329A6EB" w14:textId="77777777" w:rsidR="00DD79BF" w:rsidRPr="00DD79BF" w:rsidRDefault="00DD79BF" w:rsidP="00DD79BF">
      <w:r w:rsidRPr="00DD79BF">
        <w:t>Technological Infrastructure: Protecting data, facilitating secure access to company systems, and offering dependable communication tools are all essential components of a strong IT infrastructure that supports remote and flexible working.</w:t>
      </w:r>
    </w:p>
    <w:p w14:paraId="1FF56AAD" w14:textId="77777777" w:rsidR="00DD79BF" w:rsidRPr="00DD79BF" w:rsidRDefault="00DD79BF" w:rsidP="00DD79BF">
      <w:pPr>
        <w:rPr>
          <w:i/>
          <w:iCs/>
        </w:rPr>
      </w:pPr>
    </w:p>
    <w:p w14:paraId="250A3881" w14:textId="77777777" w:rsidR="00DD79BF" w:rsidRPr="00DD79BF" w:rsidRDefault="00DD79BF" w:rsidP="00DD79BF">
      <w:r w:rsidRPr="00DD79BF">
        <w:t>Flexible working policies must comply with UK employment laws and regulations. This includes ensuring fair treatment for all employees and adhering to health and safety standards.</w:t>
      </w:r>
    </w:p>
    <w:p w14:paraId="1426758C" w14:textId="77777777" w:rsidR="00DD79BF" w:rsidRPr="00DD79BF" w:rsidRDefault="00DD79BF" w:rsidP="00DD79BF">
      <w:r w:rsidRPr="00DD79BF">
        <w:t>Interaction and Cooperation</w:t>
      </w:r>
    </w:p>
    <w:p w14:paraId="227836AE" w14:textId="77777777" w:rsidR="00DD79BF" w:rsidRPr="00DD79BF" w:rsidRDefault="00DD79BF" w:rsidP="00DD79BF">
      <w:r w:rsidRPr="00DD79BF">
        <w:t>To</w:t>
      </w:r>
    </w:p>
    <w:p w14:paraId="78D67B3D" w14:textId="77777777" w:rsidR="00DD79BF" w:rsidRPr="00DD79BF" w:rsidRDefault="00DD79BF" w:rsidP="00DD79BF">
      <w:r w:rsidRPr="00DD79BF">
        <w:t xml:space="preserve"> keep teams working together, effective avenues of communication are necessary. Regular check-ins and team meetings can be facilitated by using tools like Zoom, Microsoft Teams, or Slack.</w:t>
      </w:r>
    </w:p>
    <w:p w14:paraId="5742BEAE" w14:textId="77777777" w:rsidR="00DD79BF" w:rsidRPr="00DD79BF" w:rsidRDefault="00DD79BF" w:rsidP="00DD79BF">
      <w:r w:rsidRPr="00DD79BF">
        <w:t>Managing Performance and Productivity The HR department should define clear criteria for evaluating employee performance in a flexible working environment. This involves defining clear goals, regular performance reviews, and offering feedback.</w:t>
      </w:r>
    </w:p>
    <w:p w14:paraId="369A0C3A" w14:textId="77777777" w:rsidR="00DD79BF" w:rsidRPr="00DD79BF" w:rsidRDefault="00DD79BF" w:rsidP="00DD79BF">
      <w:r w:rsidRPr="00DD79BF">
        <w:t>Considerations Particular to the Site</w:t>
      </w:r>
    </w:p>
    <w:p w14:paraId="4ED3DFF1" w14:textId="77777777" w:rsidR="00DD79BF" w:rsidRPr="00DD79BF" w:rsidRDefault="00DD79BF" w:rsidP="00DD79BF">
      <w:r w:rsidRPr="00DD79BF">
        <w:t>Various locations could have particular difficulties:</w:t>
      </w:r>
    </w:p>
    <w:p w14:paraId="3142F658" w14:textId="77777777" w:rsidR="00DD79BF" w:rsidRPr="00DD79BF" w:rsidRDefault="00DD79BF" w:rsidP="00DD79BF"/>
    <w:p w14:paraId="70F166FB" w14:textId="77777777" w:rsidR="00DD79BF" w:rsidRPr="00DD79BF" w:rsidRDefault="00DD79BF" w:rsidP="00DD79BF">
      <w:r w:rsidRPr="00DD79BF">
        <w:t>Cities: Because of their superior internet infrastructure, cities are better suited for remote work.</w:t>
      </w:r>
    </w:p>
    <w:p w14:paraId="7808A34A" w14:textId="77777777" w:rsidR="00DD79BF" w:rsidRPr="00DD79BF" w:rsidRDefault="00DD79BF" w:rsidP="00DD79BF">
      <w:r w:rsidRPr="00DD79BF">
        <w:t>Remote working may necessitate investments in rural areas to improve connectivity.</w:t>
      </w:r>
    </w:p>
    <w:p w14:paraId="7E6D54AD" w14:textId="77777777" w:rsidR="00DD79BF" w:rsidRPr="00DD79BF" w:rsidRDefault="00DD79BF" w:rsidP="00DD79BF">
      <w:r w:rsidRPr="00DD79BF">
        <w:t>On-site labs and test facilities: These require careful planning to provide some flexibility in shift patterns and to guarantee coverage.</w:t>
      </w:r>
    </w:p>
    <w:p w14:paraId="4356685C" w14:textId="77777777" w:rsidR="00DD79BF" w:rsidRPr="00DD79BF" w:rsidRDefault="00DD79BF" w:rsidP="00DD79BF">
      <w:r w:rsidRPr="00DD79BF">
        <w:t>Reconfiguring the Pay Structure 3.1 Evaluating Current Pay Models</w:t>
      </w:r>
    </w:p>
    <w:p w14:paraId="64EE6078" w14:textId="77777777" w:rsidR="00DD79BF" w:rsidRPr="00DD79BF" w:rsidRDefault="00DD79BF" w:rsidP="00DD79BF">
      <w:r w:rsidRPr="00DD79BF">
        <w:t>The current pay structure at VialTech may need to be reviewed to accommodate flexible working arrangements. This includes considering the impact on overtime pay, shift differentials, and allowances.</w:t>
      </w:r>
    </w:p>
    <w:p w14:paraId="27F7CDA3" w14:textId="77777777" w:rsidR="00DD79BF" w:rsidRPr="00DD79BF" w:rsidRDefault="00DD79BF" w:rsidP="00DD79BF">
      <w:r w:rsidRPr="00DD79BF">
        <w:t>Pay Based on Performance</w:t>
      </w:r>
    </w:p>
    <w:p w14:paraId="6898AB39" w14:textId="77777777" w:rsidR="00DD79BF" w:rsidRPr="00DD79BF" w:rsidRDefault="00DD79BF" w:rsidP="00DD79BF">
      <w:r w:rsidRPr="00DD79BF">
        <w:t>A performance-based pay system can be put in place to tie pay to results and productivity rather than hours spent. No matter where they work, this can inspire staff to consistently deliver excellent work.</w:t>
      </w:r>
    </w:p>
    <w:p w14:paraId="43ED8EB6" w14:textId="77777777" w:rsidR="00DD79BF" w:rsidRPr="00DD79BF" w:rsidRDefault="00DD79BF" w:rsidP="00DD79BF">
      <w:r w:rsidRPr="00DD79BF">
        <w:t>Adaptable Benefits Plans</w:t>
      </w:r>
    </w:p>
    <w:p w14:paraId="0B88B044" w14:textId="77777777" w:rsidR="00DD79BF" w:rsidRPr="00DD79BF" w:rsidRDefault="00DD79BF" w:rsidP="00DD79BF">
      <w:r w:rsidRPr="00DD79BF">
        <w:t>Providing employees with customisable benefit plans can increase the appeal of flexible work arrangements. Options for more time off, wellness initiatives</w:t>
      </w:r>
    </w:p>
    <w:p w14:paraId="15DED382" w14:textId="77777777" w:rsidR="00DD79BF" w:rsidRPr="00DD79BF" w:rsidRDefault="00DD79BF" w:rsidP="00DD79BF">
      <w:r w:rsidRPr="00DD79BF">
        <w:t xml:space="preserve"> or assistance with childcare may fall under this category.</w:t>
      </w:r>
    </w:p>
    <w:p w14:paraId="2064DB8D" w14:textId="77777777" w:rsidR="00DD79BF" w:rsidRPr="00DD79BF" w:rsidRDefault="00DD79BF" w:rsidP="00DD79BF">
      <w:r w:rsidRPr="00DD79BF">
        <w:t>Open and Honest Communication</w:t>
      </w:r>
    </w:p>
    <w:p w14:paraId="584761F9" w14:textId="77777777" w:rsidR="00DD79BF" w:rsidRPr="00DD79BF" w:rsidRDefault="00DD79BF" w:rsidP="00DD79BF">
      <w:r w:rsidRPr="00DD79BF">
        <w:lastRenderedPageBreak/>
        <w:t>To preserve openness and confidence, any changes to the wage system must be communicated clearly. Workers need to be aware of how their pay is determined and how having flexible work schedules may impact it.</w:t>
      </w:r>
    </w:p>
    <w:p w14:paraId="45867EAC" w14:textId="3FDF484E" w:rsidR="00DD79BF" w:rsidRDefault="00DD79BF" w:rsidP="00DD79BF">
      <w:r w:rsidRPr="00DD79BF">
        <w:t>Strategies to Promote Employee Engagement  Regular Communication and Feedback Maintaining open lines of communication is crucial. Regular updates from management, virtual town halls, and anonymous feedback channels can help address concerns and keep employees informed.</w:t>
      </w:r>
    </w:p>
    <w:p w14:paraId="4AF3507A" w14:textId="301D56E0" w:rsidR="00DD79BF" w:rsidRDefault="00DD79BF" w:rsidP="00DD79BF">
      <w:r w:rsidRPr="00DD79BF">
        <w:t>unities for Training and Development</w:t>
      </w:r>
      <w:r w:rsidRPr="00DD79BF">
        <w:br/>
        <w:t xml:space="preserve">Providing employees with training and development opportunities might help them stay motivated and adjust to new work practices. This covers </w:t>
      </w:r>
      <w:r>
        <w:t>instruction</w:t>
      </w:r>
      <w:r w:rsidRPr="00DD79BF">
        <w:t xml:space="preserve"> on time management, work-life balance, and tools for remote working.</w:t>
      </w:r>
      <w:r w:rsidR="00506007" w:rsidRPr="00506007">
        <w:rPr>
          <w:rFonts w:ascii="Arial" w:hAnsi="Arial" w:cs="Arial"/>
          <w:color w:val="222222"/>
          <w:sz w:val="20"/>
          <w:szCs w:val="20"/>
          <w:shd w:val="clear" w:color="auto" w:fill="FFFFFF"/>
        </w:rPr>
        <w:t xml:space="preserve"> </w:t>
      </w:r>
      <w:r w:rsidR="00506007" w:rsidRPr="00506007">
        <w:t> F. and Noe, R.A.,</w:t>
      </w:r>
      <w:r w:rsidR="00506007">
        <w:t>(</w:t>
      </w:r>
      <w:r w:rsidR="00506007" w:rsidRPr="00506007">
        <w:t xml:space="preserve"> 2010</w:t>
      </w:r>
      <w:r w:rsidR="00506007">
        <w:t>)</w:t>
      </w:r>
    </w:p>
    <w:p w14:paraId="1E04CB58" w14:textId="77777777" w:rsidR="00DD79BF" w:rsidRPr="00DD79BF" w:rsidRDefault="00DD79BF" w:rsidP="00DD79BF">
      <w:r w:rsidRPr="00DD79BF">
        <w:t>Acknowledgement and Benefits</w:t>
      </w:r>
      <w:r w:rsidRPr="00DD79BF">
        <w:br/>
        <w:t>Employee morale and engagement can be raised by praising and appreciating their efforts and accomplishments. This can be accomplished by official recognition, unofficial praise, or more vacation time.</w:t>
      </w:r>
    </w:p>
    <w:p w14:paraId="3FD248E1" w14:textId="77777777" w:rsidR="00163949" w:rsidRDefault="00DD79BF" w:rsidP="00BE3F14">
      <w:r w:rsidRPr="00DD79BF">
        <w:t>Promoting Team Building</w:t>
      </w:r>
      <w:r w:rsidRPr="00DD79BF">
        <w:br/>
        <w:t>Building a sense of community is crucial, even in a flexible work setting. Social gatherings, cooperative initiatives, and online team-building exercises can all support the upkeep of team cohesiveness.</w:t>
      </w:r>
      <w:r w:rsidR="005607C0" w:rsidRPr="005607C0">
        <w:rPr>
          <w:rFonts w:ascii="Arial" w:hAnsi="Arial" w:cs="Arial"/>
          <w:color w:val="222222"/>
          <w:sz w:val="20"/>
          <w:szCs w:val="20"/>
          <w:shd w:val="clear" w:color="auto" w:fill="FFFFFF"/>
        </w:rPr>
        <w:t xml:space="preserve"> </w:t>
      </w:r>
      <w:r w:rsidR="005607C0" w:rsidRPr="005607C0">
        <w:t>Shillington, N.M.,</w:t>
      </w:r>
      <w:r w:rsidR="00162DE6">
        <w:t>(</w:t>
      </w:r>
      <w:r w:rsidR="005607C0" w:rsidRPr="005607C0">
        <w:t xml:space="preserve"> 1994.</w:t>
      </w:r>
      <w:r w:rsidR="00162DE6">
        <w:t>)</w:t>
      </w:r>
      <w:r w:rsidR="007C4D96">
        <w:t>.</w:t>
      </w:r>
      <w:r w:rsidRPr="00DD79BF">
        <w:t>Support for Mental Health and Well-Being</w:t>
      </w:r>
      <w:r w:rsidRPr="00DD79BF">
        <w:br/>
        <w:t xml:space="preserve">In a flexible work environment, offering mental health and wellness support is crucial. This </w:t>
      </w:r>
      <w:r>
        <w:t>includes</w:t>
      </w:r>
      <w:r w:rsidRPr="00DD79BF">
        <w:t xml:space="preserve"> wellness initiatives, counselling services, and encouraging a positive work-life balance.</w:t>
      </w:r>
      <w:r w:rsidR="007C2D15">
        <w:t xml:space="preserve"> </w:t>
      </w:r>
      <w:r w:rsidR="007C2D15" w:rsidRPr="007C2D15">
        <w:t>Jang, S.J.,</w:t>
      </w:r>
      <w:r w:rsidR="00BE3F14">
        <w:t>(</w:t>
      </w:r>
      <w:r w:rsidR="007C2D15" w:rsidRPr="007C2D15">
        <w:t xml:space="preserve"> 2009</w:t>
      </w:r>
      <w:r w:rsidR="00BE3F14">
        <w:t>)</w:t>
      </w:r>
    </w:p>
    <w:p w14:paraId="4302A982" w14:textId="56F63EC1" w:rsidR="00DD79BF" w:rsidRDefault="007C2D15" w:rsidP="00BE3F14">
      <w:r w:rsidRPr="007C2D15">
        <w:t>.</w:t>
      </w:r>
    </w:p>
    <w:p w14:paraId="37D6B4F5" w14:textId="2967D46B" w:rsidR="006B2BF9" w:rsidRPr="006B2BF9" w:rsidRDefault="006B2BF9" w:rsidP="006B2BF9">
      <w:r w:rsidRPr="006B2BF9">
        <w:t xml:space="preserve">Perform a Comprehensive Needs Assessment: To identify the most suitable flexible working arrangements, </w:t>
      </w:r>
      <w:r>
        <w:t xml:space="preserve">and </w:t>
      </w:r>
      <w:r w:rsidRPr="006B2BF9">
        <w:t>assess the unique requirements and limitations of various employment types and sites within VialTech.</w:t>
      </w:r>
    </w:p>
    <w:p w14:paraId="594BF01A" w14:textId="77777777" w:rsidR="006B2BF9" w:rsidRDefault="006B2BF9" w:rsidP="006B2BF9">
      <w:r w:rsidRPr="006B2BF9">
        <w:t>Invest in Technology: Make sure you have the systems and communication tools in place that are required to facilitate remote work, especially secure systems.</w:t>
      </w:r>
    </w:p>
    <w:p w14:paraId="530DAC68" w14:textId="77777777" w:rsidR="00DD179C" w:rsidRPr="00DD179C" w:rsidRDefault="00DD179C" w:rsidP="00DD179C">
      <w:r w:rsidRPr="00DD179C">
        <w:t>Establish Explicit Policies: Clearly define the terms of flexible working, including eligibility, expectations, and performance measures.</w:t>
      </w:r>
    </w:p>
    <w:p w14:paraId="4FC9B9F1" w14:textId="77777777" w:rsidR="00485C9A" w:rsidRPr="00485C9A" w:rsidRDefault="00485C9A" w:rsidP="00485C9A">
      <w:r w:rsidRPr="00485C9A">
        <w:t>Restructure Pay Structures: To conform to the new working paradigm, take into account implementing performance-based compensation and flexible benefit plans.</w:t>
      </w:r>
    </w:p>
    <w:p w14:paraId="737B32E2" w14:textId="77777777" w:rsidR="002204DC" w:rsidRDefault="002204DC" w:rsidP="002204DC">
      <w:r w:rsidRPr="002204DC">
        <w:t>Encourage Engagement: Put into practice tactics to uphold high levels of employee engagement, such as consistent communication, incentive schemes, and assistance with mental health and wellness.</w:t>
      </w:r>
    </w:p>
    <w:p w14:paraId="7AEBDBB4" w14:textId="6F019209" w:rsidR="00BF3B7F" w:rsidRPr="00BF3B7F" w:rsidRDefault="00A15128" w:rsidP="00BF3B7F">
      <w:r w:rsidRPr="00A15128">
        <w:t>Pilot Programs: To evaluate the viability of flexible work schedules, begin with pilot programs and modify them in response to input and results.</w:t>
      </w:r>
      <w:r w:rsidR="00151F07" w:rsidRPr="00151F07">
        <w:rPr>
          <w:rFonts w:ascii="Times New Roman" w:eastAsia="Times New Roman" w:hAnsi="Times New Roman" w:cs="Times New Roman"/>
          <w:kern w:val="0"/>
          <w:sz w:val="24"/>
          <w:szCs w:val="24"/>
          <w:lang w:eastAsia="en-GB"/>
          <w14:ligatures w14:val="none"/>
        </w:rPr>
        <w:t xml:space="preserve"> </w:t>
      </w:r>
      <w:r w:rsidR="00151F07" w:rsidRPr="00151F07">
        <w:t>Your role as VialTech's new HR Manager is crucial for overseeing and assisting the staff, making sure everything runs smoothly, and developing a pleasant workplace culture. These are the principal tasks and obligations that you will perform.</w:t>
      </w:r>
      <w:r w:rsidR="00BF3B7F" w:rsidRPr="00BF3B7F">
        <w:rPr>
          <w:rFonts w:ascii="Times New Roman" w:eastAsia="Times New Roman" w:hAnsi="Times New Roman" w:cs="Times New Roman"/>
          <w:kern w:val="0"/>
          <w:sz w:val="24"/>
          <w:szCs w:val="24"/>
          <w:lang w:eastAsia="en-GB"/>
          <w14:ligatures w14:val="none"/>
        </w:rPr>
        <w:t xml:space="preserve"> </w:t>
      </w:r>
      <w:r w:rsidR="00BF3B7F" w:rsidRPr="00BF3B7F">
        <w:t>To comprehend the requirements of the various roles at VialTech, do job analyses.</w:t>
      </w:r>
      <w:r w:rsidR="00BF3B7F" w:rsidRPr="00BF3B7F">
        <w:br/>
        <w:t>Create job specifications and descriptions.</w:t>
      </w:r>
      <w:r w:rsidR="00BF3B7F" w:rsidRPr="00BF3B7F">
        <w:br/>
      </w:r>
      <w:r w:rsidR="00BF3B7F" w:rsidRPr="00BF3B7F">
        <w:lastRenderedPageBreak/>
        <w:t>Work with department heads to plan the workforce needs so that the appropriate amount of employees with the required skills are on hand.</w:t>
      </w:r>
    </w:p>
    <w:p w14:paraId="18D73B5E" w14:textId="77777777" w:rsidR="009A6EC5" w:rsidRPr="009A6EC5" w:rsidRDefault="009A6EC5" w:rsidP="009A6EC5">
      <w:r w:rsidRPr="009A6EC5">
        <w:t>To draw in eligible applicants, create and execute recruitment techniques that work.</w:t>
      </w:r>
      <w:r w:rsidRPr="009A6EC5">
        <w:br/>
        <w:t>Oversee the hiring process from start to finish, including posting job openings, reviewing applications, holding interviews, and extending employment offers.</w:t>
      </w:r>
      <w:r w:rsidRPr="009A6EC5">
        <w:br/>
        <w:t>To encourage diversity and inclusion, make sure the hiring process is impartial and equitable.</w:t>
      </w:r>
    </w:p>
    <w:p w14:paraId="4FC254B1" w14:textId="77777777" w:rsidR="0073382D" w:rsidRPr="0073382D" w:rsidRDefault="0073382D" w:rsidP="0073382D">
      <w:r w:rsidRPr="0073382D">
        <w:t>Create and execute thorough onboarding programs to facilitate the integration of new hires into the business.</w:t>
      </w:r>
      <w:r w:rsidRPr="0073382D">
        <w:br/>
        <w:t>Organise orientation programs to acquaint new hires with the policies, practices, and culture of the organisation.</w:t>
      </w:r>
    </w:p>
    <w:p w14:paraId="26C83187" w14:textId="77777777" w:rsidR="00FF3BF4" w:rsidRPr="00FF3BF4" w:rsidRDefault="00FF3BF4" w:rsidP="00FF3BF4">
      <w:r w:rsidRPr="00FF3BF4">
        <w:t>Workplace Involvement</w:t>
      </w:r>
      <w:r w:rsidRPr="00FF3BF4">
        <w:br/>
        <w:t>Create and put into effect plans to raise worker satisfaction and engagement.</w:t>
      </w:r>
      <w:r w:rsidRPr="00FF3BF4">
        <w:br/>
        <w:t>Surveys and feedback sessions should be held frequently to learn about the needs and problems of your staff.</w:t>
      </w:r>
    </w:p>
    <w:p w14:paraId="4B669F1D" w14:textId="77777777" w:rsidR="00E60795" w:rsidRDefault="00E60795" w:rsidP="00E60795">
      <w:r w:rsidRPr="00E60795">
        <w:t>Resolution of Conflicts</w:t>
      </w:r>
      <w:r w:rsidRPr="00E60795">
        <w:br/>
        <w:t>Employee disputes and grievances should be handled quickly and fairly.</w:t>
      </w:r>
      <w:r w:rsidRPr="00E60795">
        <w:br/>
        <w:t>Use efficient techniques for resolving disputes, and offer mediation if needed.</w:t>
      </w:r>
    </w:p>
    <w:p w14:paraId="0B32494D" w14:textId="7BE9FF41" w:rsidR="00A53F60" w:rsidRPr="00A53F60" w:rsidRDefault="00A53F60" w:rsidP="00A53F60">
      <w:r w:rsidRPr="00A53F60">
        <w:t>HR Strategy Management</w:t>
      </w:r>
      <w:r w:rsidRPr="00A53F60">
        <w:br/>
        <w:t>HR in Line with Business Objectives</w:t>
      </w:r>
      <w:r w:rsidRPr="00A53F60">
        <w:br/>
        <w:t xml:space="preserve">Make </w:t>
      </w:r>
      <w:r w:rsidR="00C045E3">
        <w:t xml:space="preserve">sure </w:t>
      </w:r>
      <w:r w:rsidRPr="00A53F60">
        <w:t>that HR efforts and tactics complement VialTech's overarching business goals.</w:t>
      </w:r>
      <w:r w:rsidRPr="00A53F60">
        <w:br/>
        <w:t>Take part in senior management's strategic planning meetings.</w:t>
      </w:r>
      <w:r w:rsidRPr="00A53F60">
        <w:br/>
        <w:t>Planning of the Workforce</w:t>
      </w:r>
    </w:p>
    <w:p w14:paraId="555AC7A8" w14:textId="60828188" w:rsidR="00565F05" w:rsidRDefault="00690A99" w:rsidP="00E60795">
      <w:r w:rsidRPr="00690A99">
        <w:t>Planning of the Workforce</w:t>
      </w:r>
      <w:r w:rsidRPr="00690A99">
        <w:br/>
        <w:t xml:space="preserve">Create and put into action workforce planning strategies </w:t>
      </w:r>
      <w:r w:rsidR="00C045E3">
        <w:t>to</w:t>
      </w:r>
      <w:r w:rsidRPr="00690A99">
        <w:t xml:space="preserve"> fulfil the organization's future requirements.</w:t>
      </w:r>
      <w:r w:rsidRPr="00690A99">
        <w:br/>
        <w:t>Consider anticipated shifts in the labour force and adjust your hiring, training, and development strategies appropriately.</w:t>
      </w:r>
    </w:p>
    <w:p w14:paraId="04D6E353" w14:textId="77777777" w:rsidR="003D3295" w:rsidRDefault="003D3295" w:rsidP="003D3295">
      <w:r w:rsidRPr="003D3295">
        <w:t>Encourage a culture of innovation and ongoing development.</w:t>
      </w:r>
      <w:r w:rsidRPr="003D3295">
        <w:br/>
        <w:t>To increase productivity and effectiveness, put organisational development initiatives into action.</w:t>
      </w:r>
    </w:p>
    <w:p w14:paraId="162C7AAF" w14:textId="19B7D7AC" w:rsidR="00D91B1B" w:rsidRDefault="004513F0" w:rsidP="00D91B1B">
      <w:r>
        <w:t>The HR department and the entire organisation must adopt</w:t>
      </w:r>
      <w:r w:rsidR="00F72F1B" w:rsidRPr="00F72F1B">
        <w:t xml:space="preserve"> a competitive mindset, according to the Human Resource Manager of VialTech. Being competitive encourages innovation, boosts output, and makes sure VialTech stays at the forefront of the diagnostic testing market. Here's how to encourage and keep a competitive mindset at VialTech:</w:t>
      </w:r>
      <w:r w:rsidR="00D91B1B" w:rsidRPr="00D91B1B">
        <w:t xml:space="preserve"> </w:t>
      </w:r>
      <w:r w:rsidR="00D91B1B">
        <w:t>Clearly define your aims and objectives.</w:t>
      </w:r>
    </w:p>
    <w:p w14:paraId="436B5A8C" w14:textId="77777777" w:rsidR="00D91B1B" w:rsidRDefault="00D91B1B" w:rsidP="00D91B1B">
      <w:r>
        <w:t xml:space="preserve"> Comply with the Vision of the Organisation</w:t>
      </w:r>
    </w:p>
    <w:p w14:paraId="087D97F0" w14:textId="77777777" w:rsidR="00D91B1B" w:rsidRDefault="00D91B1B" w:rsidP="00D91B1B">
      <w:r>
        <w:t>Vision and Mission: Ensure that the objectives of the HR division are in line with the overarching vision and mission of VialTech. All organisational levels benefit from this alignment in terms of a single, cohesive direction.</w:t>
      </w:r>
    </w:p>
    <w:p w14:paraId="553A74F4" w14:textId="77777777" w:rsidR="00D91B1B" w:rsidRDefault="00D91B1B" w:rsidP="00D91B1B">
      <w:r>
        <w:t>Strategic Objectives: Establish strategic HR goals that help the business achieve its long-term goals, which can include enhancing patient care, growing its service offerings, or breaking into new markets.</w:t>
      </w:r>
    </w:p>
    <w:p w14:paraId="5F33E1C8" w14:textId="77777777" w:rsidR="002602FA" w:rsidRDefault="002602FA" w:rsidP="002602FA">
      <w:r>
        <w:lastRenderedPageBreak/>
        <w:t>Determine Performance Measures</w:t>
      </w:r>
    </w:p>
    <w:p w14:paraId="6469A17A" w14:textId="69700353" w:rsidR="002602FA" w:rsidRDefault="002602FA" w:rsidP="002602FA">
      <w:r>
        <w:t>KPIs, or key performance indicators, are: Establish precise KPIs for all staff members and departments to monitor development and output. These measurements must be time-bound, meaningful, quantifiable, attainable, and specific (SMART).</w:t>
      </w:r>
    </w:p>
    <w:p w14:paraId="7AC7E8FE" w14:textId="741ACE46" w:rsidR="00E67EFB" w:rsidRDefault="002602FA" w:rsidP="00E67EFB">
      <w:r>
        <w:t xml:space="preserve">Frequent Evaluations: Conduct performance evaluations </w:t>
      </w:r>
      <w:r w:rsidR="004513F0">
        <w:t>regularly</w:t>
      </w:r>
      <w:r>
        <w:t xml:space="preserve"> to evaluate goals' progress, pinpoint areas for development, and recognise accomplishments.</w:t>
      </w:r>
      <w:r w:rsidR="00E67EFB" w:rsidRPr="00E67EFB">
        <w:t xml:space="preserve"> </w:t>
      </w:r>
      <w:r w:rsidR="00E67EFB">
        <w:t>Put Continuous Learning and Development into Practice Skills Improvement</w:t>
      </w:r>
    </w:p>
    <w:p w14:paraId="62424BE3" w14:textId="77777777" w:rsidR="00E67EFB" w:rsidRDefault="00E67EFB" w:rsidP="00E67EFB">
      <w:r>
        <w:t>Instructional Plans: Provide thorough training programs to help staff members always improve their abilities. This can involve leadership development for managers, customer service training for front-line employees, and technical training for lab professionals.</w:t>
      </w:r>
    </w:p>
    <w:p w14:paraId="19F1E372" w14:textId="309D663A" w:rsidR="000B18A1" w:rsidRDefault="00E67EFB" w:rsidP="000B18A1">
      <w:r>
        <w:t xml:space="preserve">Qualifications and Programs: Urge staff members to enrol in appropriate training programs and certifications. </w:t>
      </w:r>
      <w:r w:rsidR="004513F0">
        <w:t>Assist</w:t>
      </w:r>
      <w:r>
        <w:t xml:space="preserve"> in the form of grants or study leave.</w:t>
      </w:r>
      <w:r w:rsidR="000B18A1" w:rsidRPr="000B18A1">
        <w:t xml:space="preserve"> </w:t>
      </w:r>
      <w:r w:rsidR="000B18A1">
        <w:t>Knowledge-Sharing Workshops and Seminars: To promote knowledge sharing within the company, host workshops, seminars, and webinars.</w:t>
      </w:r>
    </w:p>
    <w:p w14:paraId="17C8F924" w14:textId="74DD66CC" w:rsidR="00A45EB8" w:rsidRDefault="000B18A1" w:rsidP="00A45EB8">
      <w:r>
        <w:t>Mentorship Programs: To promote a culture of continuous growth, establish mentorship programs where seasoned staff members can advise and assist more junior team members.</w:t>
      </w:r>
      <w:r w:rsidR="00A45EB8" w:rsidRPr="00A45EB8">
        <w:t xml:space="preserve"> </w:t>
      </w:r>
      <w:r w:rsidR="00A45EB8">
        <w:t>Encourage Trial Projects</w:t>
      </w:r>
    </w:p>
    <w:p w14:paraId="140A8876" w14:textId="77777777" w:rsidR="00A45EB8" w:rsidRDefault="00A45EB8" w:rsidP="00A45EB8">
      <w:r>
        <w:t>Allow staff members to work on small-scale studies or pilot projects. Give people the tools and encouragement they need to test out new concepts.</w:t>
      </w:r>
    </w:p>
    <w:p w14:paraId="77DA3659" w14:textId="4DA0E383" w:rsidR="008B390C" w:rsidRDefault="00A45EB8" w:rsidP="008B390C">
      <w:r>
        <w:t>Not succeeding Tolerance: Encourage calculated risk-taking and view setbacks as teaching moments in your environment.</w:t>
      </w:r>
      <w:r w:rsidR="008B390C" w:rsidRPr="008B390C">
        <w:t xml:space="preserve"> </w:t>
      </w:r>
      <w:r w:rsidR="008B390C">
        <w:t>Benchmarking by Industry</w:t>
      </w:r>
    </w:p>
    <w:p w14:paraId="0963E986" w14:textId="77777777" w:rsidR="008B390C" w:rsidRDefault="008B390C" w:rsidP="008B390C">
      <w:r>
        <w:t>Benchmarking Performance: VialTech's performance should be regularly compared to industry norms and best practices. This aids in pinpointing opportunities for the business to grow and maintain its competitive edge.</w:t>
      </w:r>
    </w:p>
    <w:p w14:paraId="38B45CEC" w14:textId="564CE17D" w:rsidR="002602FA" w:rsidRDefault="008B390C" w:rsidP="008B390C">
      <w:r>
        <w:t>Market Trends: Remain informed about developments in the diagnostic testing sector's market, new technology, and legislative changes.</w:t>
      </w:r>
      <w:r w:rsidR="009C50D1" w:rsidRPr="009C50D1">
        <w:t xml:space="preserve"> </w:t>
      </w:r>
      <w:r w:rsidR="009C50D1" w:rsidRPr="009C50D1">
        <w:t>Competitive Insights: Examine rivals to learn about their methods, advantages, and disadvantages. VialTech's strategic planning and decision-making procedures should be informed by this information.</w:t>
      </w:r>
    </w:p>
    <w:p w14:paraId="0F42684F" w14:textId="64BB5B1D" w:rsidR="0040763D" w:rsidRDefault="0040763D" w:rsidP="008B390C">
      <w:r>
        <w:t xml:space="preserve">                                                                                    CONCLUSION</w:t>
      </w:r>
    </w:p>
    <w:p w14:paraId="1EC67B2B" w14:textId="78684D7B" w:rsidR="00310A34" w:rsidRDefault="00310A34" w:rsidP="008B390C">
      <w:r w:rsidRPr="00310A34">
        <w:t>At VialTech, using flexible working solutions offers a chance to improve productivity, employee happiness, and overall organisational effectiveness. VialTech can establish a flexible work environment that is advantageous to the company and its employees by taking into account the particular requirements of various job positions and locations, guaranteeing strong technology support, and upholding regulatory obligations. Achieving a successful transition will require actively promoting employee participation and readjusting the compensation structure to conform to new working conditions. VialTech may set the standard for flexible working methods in the diagnostic testing sector and establish itself as a desirable, progressive employer by taking a well-thought-out strategy.</w:t>
      </w:r>
      <w:r w:rsidR="005E0FB3" w:rsidRPr="005E0FB3">
        <w:t xml:space="preserve"> </w:t>
      </w:r>
      <w:r w:rsidR="005E0FB3" w:rsidRPr="005E0FB3">
        <w:t>Implementing flexible working practices is not merely a response to current employee demands but also a strategic measure to strengthen VialTech's competitive edge as it navigates the changing post-pandemic landscape. Here, we highlight the salient features of the flexible working-focused competitive strategy that will establish VialTech as a market leader in diagnostic testing.</w:t>
      </w:r>
    </w:p>
    <w:p w14:paraId="2B162138" w14:textId="6DE1D2B3" w:rsidR="001A414A" w:rsidRDefault="001A414A" w:rsidP="008B390C">
      <w:r>
        <w:lastRenderedPageBreak/>
        <w:t xml:space="preserve">                                                                                             REFERENCE</w:t>
      </w:r>
    </w:p>
    <w:p w14:paraId="24097305" w14:textId="34BCD4D5" w:rsidR="00F72F1B" w:rsidRPr="003D3295" w:rsidRDefault="00D91B1B" w:rsidP="00D91B1B">
      <w:r>
        <w:t xml:space="preserve"> </w:t>
      </w:r>
    </w:p>
    <w:p w14:paraId="283AD7B3" w14:textId="6252C50F" w:rsidR="00151F07" w:rsidRDefault="00AC2F84" w:rsidP="00151F07">
      <w:r w:rsidRPr="00AC2F84">
        <w:t>Fatima, T. and Elbanna, S., 2023. Corporate social responsibility (CSR) implementation: A review and a research agenda towards an integrative framework. </w:t>
      </w:r>
      <w:r w:rsidRPr="00AC2F84">
        <w:rPr>
          <w:i/>
          <w:iCs/>
        </w:rPr>
        <w:t>Journal of Business Ethics</w:t>
      </w:r>
      <w:r w:rsidRPr="00AC2F84">
        <w:t>, </w:t>
      </w:r>
      <w:r w:rsidRPr="00AC2F84">
        <w:rPr>
          <w:i/>
          <w:iCs/>
        </w:rPr>
        <w:t>183</w:t>
      </w:r>
      <w:r w:rsidRPr="00AC2F84">
        <w:t>(1), pp.105-121.</w:t>
      </w:r>
    </w:p>
    <w:p w14:paraId="0A44EA15" w14:textId="34F1F109" w:rsidR="00466AEA" w:rsidRDefault="00466AEA" w:rsidP="00151F07">
      <w:r w:rsidRPr="00466AEA">
        <w:t>Coenen, M. and Kok, R.A., 2014. Workplace flexibility and new product development performance: The role of telework and flexible work schedules. </w:t>
      </w:r>
      <w:r w:rsidRPr="00466AEA">
        <w:rPr>
          <w:i/>
          <w:iCs/>
        </w:rPr>
        <w:t xml:space="preserve">European </w:t>
      </w:r>
      <w:r w:rsidR="00CD6EAB">
        <w:rPr>
          <w:i/>
          <w:iCs/>
        </w:rPr>
        <w:t>Management Journal</w:t>
      </w:r>
      <w:r w:rsidRPr="00466AEA">
        <w:t>, </w:t>
      </w:r>
      <w:r w:rsidRPr="00466AEA">
        <w:rPr>
          <w:i/>
          <w:iCs/>
        </w:rPr>
        <w:t>32</w:t>
      </w:r>
      <w:r w:rsidRPr="00466AEA">
        <w:t>(4), pp.564-576.</w:t>
      </w:r>
    </w:p>
    <w:p w14:paraId="18436438" w14:textId="3B335601" w:rsidR="00621A9D" w:rsidRPr="00151F07" w:rsidRDefault="00621A9D" w:rsidP="00151F07">
      <w:r w:rsidRPr="00621A9D">
        <w:t>Lavy, V., 2007. Using performance-based pay to improve the quality of teachers. </w:t>
      </w:r>
      <w:r w:rsidRPr="00621A9D">
        <w:rPr>
          <w:i/>
          <w:iCs/>
        </w:rPr>
        <w:t>The future of children</w:t>
      </w:r>
      <w:r w:rsidRPr="00621A9D">
        <w:t>, pp.87-109.</w:t>
      </w:r>
    </w:p>
    <w:p w14:paraId="37657721" w14:textId="149F3867" w:rsidR="00A15128" w:rsidRDefault="00357173" w:rsidP="00A15128">
      <w:r w:rsidRPr="00357173">
        <w:t>Spatz, D.M., 2000. Team-building in construction. </w:t>
      </w:r>
      <w:r w:rsidRPr="00357173">
        <w:rPr>
          <w:i/>
          <w:iCs/>
        </w:rPr>
        <w:t>Practice Periodical on Structural Design and Construction</w:t>
      </w:r>
      <w:r w:rsidRPr="00357173">
        <w:t>, </w:t>
      </w:r>
      <w:r w:rsidRPr="00357173">
        <w:rPr>
          <w:i/>
          <w:iCs/>
        </w:rPr>
        <w:t>5</w:t>
      </w:r>
      <w:r w:rsidRPr="00357173">
        <w:t>(3), pp.93-105.</w:t>
      </w:r>
    </w:p>
    <w:p w14:paraId="195A9539" w14:textId="7D004C66" w:rsidR="00F071DB" w:rsidRDefault="00F071DB" w:rsidP="00A15128">
      <w:r w:rsidRPr="00F071DB">
        <w:t>Lockwood, N.R., 2003. Work/life balance. </w:t>
      </w:r>
      <w:r w:rsidRPr="00F071DB">
        <w:rPr>
          <w:i/>
          <w:iCs/>
        </w:rPr>
        <w:t>Challenges and Solutions, SHRM Research, USA</w:t>
      </w:r>
      <w:r w:rsidRPr="00F071DB">
        <w:t>, </w:t>
      </w:r>
      <w:r w:rsidRPr="00F071DB">
        <w:rPr>
          <w:i/>
          <w:iCs/>
        </w:rPr>
        <w:t>2</w:t>
      </w:r>
      <w:r w:rsidRPr="00F071DB">
        <w:t>(10), pp.2073-2079.</w:t>
      </w:r>
    </w:p>
    <w:p w14:paraId="68049CC5" w14:textId="4CD76AFC" w:rsidR="00BD6D2E" w:rsidRDefault="00BD6D2E" w:rsidP="00A15128">
      <w:r w:rsidRPr="00BD6D2E">
        <w:t>Richardson, F.W., 2014. </w:t>
      </w:r>
      <w:r w:rsidRPr="00BD6D2E">
        <w:rPr>
          <w:i/>
          <w:iCs/>
        </w:rPr>
        <w:t>Enhancing strategies to improve workplace performance</w:t>
      </w:r>
      <w:r w:rsidRPr="00BD6D2E">
        <w:t> (Doctoral dissertation, Walden University).</w:t>
      </w:r>
    </w:p>
    <w:p w14:paraId="2CBEE27C" w14:textId="7E61CD6E" w:rsidR="00901C27" w:rsidRDefault="00901C27" w:rsidP="00A15128">
      <w:r w:rsidRPr="00901C27">
        <w:t>Juul Andersen, T. and Minbaeva, D., 2013. The role of human resource management in strategy making. </w:t>
      </w:r>
      <w:r w:rsidRPr="00901C27">
        <w:rPr>
          <w:i/>
          <w:iCs/>
        </w:rPr>
        <w:t>Human Resource Management</w:t>
      </w:r>
      <w:r w:rsidRPr="00901C27">
        <w:t>, </w:t>
      </w:r>
      <w:r w:rsidRPr="00901C27">
        <w:rPr>
          <w:i/>
          <w:iCs/>
        </w:rPr>
        <w:t>52</w:t>
      </w:r>
      <w:r w:rsidRPr="00901C27">
        <w:t>(5), pp.809-827.</w:t>
      </w:r>
    </w:p>
    <w:p w14:paraId="48CCFCF2" w14:textId="7DD749F5" w:rsidR="00DF3040" w:rsidRPr="00A15128" w:rsidRDefault="00DF3040" w:rsidP="00A15128">
      <w:r w:rsidRPr="00DF3040">
        <w:t>Cunningham, D.R., 2022. </w:t>
      </w:r>
      <w:r w:rsidRPr="00DF3040">
        <w:rPr>
          <w:i/>
          <w:iCs/>
        </w:rPr>
        <w:t>Strategies to promote employee engagement in the aerospace industry</w:t>
      </w:r>
      <w:r w:rsidRPr="00DF3040">
        <w:t> (Doctoral dissertation, Walden University).</w:t>
      </w:r>
    </w:p>
    <w:p w14:paraId="62EF235E" w14:textId="66B3D465" w:rsidR="00A15128" w:rsidRDefault="00C82347" w:rsidP="002204DC">
      <w:pPr>
        <w:rPr>
          <w:rFonts w:ascii="Arial" w:hAnsi="Arial" w:cs="Arial"/>
        </w:rPr>
      </w:pPr>
      <w:r w:rsidRPr="00C82347">
        <w:rPr>
          <w:rFonts w:ascii="Arial" w:hAnsi="Arial" w:cs="Arial"/>
        </w:rPr>
        <w:t>Obaid, A., 2013. </w:t>
      </w:r>
      <w:r w:rsidRPr="00C82347">
        <w:rPr>
          <w:rFonts w:ascii="Arial" w:hAnsi="Arial" w:cs="Arial"/>
          <w:i/>
          <w:iCs/>
        </w:rPr>
        <w:t>Changes in the pay structures and systems in the banking sector of Pakistan: Implications for a differentiated workforce and the employee psychological contract</w:t>
      </w:r>
      <w:r w:rsidRPr="00C82347">
        <w:rPr>
          <w:rFonts w:ascii="Arial" w:hAnsi="Arial" w:cs="Arial"/>
        </w:rPr>
        <w:t>. The University of Manchester (United Kingdom).</w:t>
      </w:r>
    </w:p>
    <w:p w14:paraId="6F5B8EE8" w14:textId="587420F5" w:rsidR="004925CE" w:rsidRPr="00DD179C" w:rsidRDefault="001F085F" w:rsidP="004925CE">
      <w:r w:rsidRPr="001F085F">
        <w:t>Baltes, B.B., Briggs, T.E., Huff, J.W., Wright, J.A. and Neuman, G.A., 1999. Flexible and compressed workweek schedules: A meta-analysis of their effects on work-related criteria. </w:t>
      </w:r>
      <w:r w:rsidRPr="001F085F">
        <w:rPr>
          <w:i/>
          <w:iCs/>
        </w:rPr>
        <w:t xml:space="preserve">Journal of </w:t>
      </w:r>
      <w:r w:rsidR="00CD6EAB">
        <w:rPr>
          <w:i/>
          <w:iCs/>
        </w:rPr>
        <w:t>Applied Psychology</w:t>
      </w:r>
      <w:r w:rsidRPr="001F085F">
        <w:t>, </w:t>
      </w:r>
      <w:r w:rsidRPr="001F085F">
        <w:rPr>
          <w:i/>
          <w:iCs/>
        </w:rPr>
        <w:t>84</w:t>
      </w:r>
      <w:r w:rsidRPr="001F085F">
        <w:t>(4), p.496.</w:t>
      </w:r>
    </w:p>
    <w:p w14:paraId="1B322FAC" w14:textId="77777777" w:rsidR="004925CE" w:rsidRPr="002204DC" w:rsidRDefault="004925CE" w:rsidP="002204DC">
      <w:pPr>
        <w:rPr>
          <w:rFonts w:ascii="Arial" w:hAnsi="Arial" w:cs="Arial"/>
        </w:rPr>
      </w:pPr>
    </w:p>
    <w:p w14:paraId="1CF3ACEF" w14:textId="77777777" w:rsidR="00F10F1C" w:rsidRPr="006B2BF9" w:rsidRDefault="00F10F1C" w:rsidP="006B2BF9"/>
    <w:p w14:paraId="76B1CD65" w14:textId="69A25B06" w:rsidR="006B2BF9" w:rsidRPr="00DD79BF" w:rsidRDefault="006B2BF9" w:rsidP="00DD79BF"/>
    <w:p w14:paraId="3B63E857" w14:textId="77777777" w:rsidR="00DD79BF" w:rsidRPr="00DD79BF" w:rsidRDefault="00DD79BF" w:rsidP="00DD79BF"/>
    <w:p w14:paraId="4ED384A4" w14:textId="77777777" w:rsidR="00DD79BF" w:rsidRPr="00DD79BF" w:rsidRDefault="00DD79BF" w:rsidP="00DD79BF">
      <w:pPr>
        <w:rPr>
          <w:rFonts w:ascii="Arial" w:hAnsi="Arial" w:cs="Arial"/>
        </w:rPr>
      </w:pPr>
    </w:p>
    <w:p w14:paraId="231A70CE" w14:textId="77777777" w:rsidR="00DD79BF" w:rsidRPr="00DD79BF" w:rsidRDefault="00DD79BF" w:rsidP="00DD79BF"/>
    <w:p w14:paraId="53B677EE" w14:textId="77777777" w:rsidR="00DD79BF" w:rsidRPr="00DD79BF" w:rsidRDefault="00DD79BF" w:rsidP="00DD79BF"/>
    <w:p w14:paraId="73D1D256" w14:textId="77777777" w:rsidR="000A3EDA" w:rsidRPr="00DD79BF" w:rsidRDefault="000A3EDA">
      <w:pPr>
        <w:rPr>
          <w:rFonts w:ascii="Arial" w:hAnsi="Arial" w:cs="Arial"/>
          <w:sz w:val="24"/>
          <w:szCs w:val="24"/>
        </w:rPr>
      </w:pPr>
    </w:p>
    <w:sectPr w:rsidR="000A3EDA" w:rsidRPr="00DD79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BF"/>
    <w:rsid w:val="000315D8"/>
    <w:rsid w:val="0003444B"/>
    <w:rsid w:val="000A3EDA"/>
    <w:rsid w:val="000B18A1"/>
    <w:rsid w:val="000D0F2F"/>
    <w:rsid w:val="00151F07"/>
    <w:rsid w:val="00162DE6"/>
    <w:rsid w:val="00163949"/>
    <w:rsid w:val="001A414A"/>
    <w:rsid w:val="001F085F"/>
    <w:rsid w:val="002204DC"/>
    <w:rsid w:val="002602FA"/>
    <w:rsid w:val="00303B0C"/>
    <w:rsid w:val="00310A34"/>
    <w:rsid w:val="00344565"/>
    <w:rsid w:val="00357173"/>
    <w:rsid w:val="00383234"/>
    <w:rsid w:val="003D3295"/>
    <w:rsid w:val="0040763D"/>
    <w:rsid w:val="004513F0"/>
    <w:rsid w:val="00466AEA"/>
    <w:rsid w:val="00485C9A"/>
    <w:rsid w:val="004925CE"/>
    <w:rsid w:val="00506007"/>
    <w:rsid w:val="005607C0"/>
    <w:rsid w:val="00565F05"/>
    <w:rsid w:val="005E0FB3"/>
    <w:rsid w:val="00621A9D"/>
    <w:rsid w:val="00690A99"/>
    <w:rsid w:val="006B2BF9"/>
    <w:rsid w:val="00727CC7"/>
    <w:rsid w:val="0073382D"/>
    <w:rsid w:val="007C2D15"/>
    <w:rsid w:val="007C4D96"/>
    <w:rsid w:val="00806C97"/>
    <w:rsid w:val="008B390C"/>
    <w:rsid w:val="00901C27"/>
    <w:rsid w:val="00940BA1"/>
    <w:rsid w:val="009A6EC5"/>
    <w:rsid w:val="009C50D1"/>
    <w:rsid w:val="00A15128"/>
    <w:rsid w:val="00A45EB8"/>
    <w:rsid w:val="00A53F60"/>
    <w:rsid w:val="00AC2F84"/>
    <w:rsid w:val="00BD6D2E"/>
    <w:rsid w:val="00BE3F14"/>
    <w:rsid w:val="00BF3B7F"/>
    <w:rsid w:val="00C045E3"/>
    <w:rsid w:val="00C27743"/>
    <w:rsid w:val="00C82347"/>
    <w:rsid w:val="00C91DF3"/>
    <w:rsid w:val="00CC5CF2"/>
    <w:rsid w:val="00CD6EAB"/>
    <w:rsid w:val="00D91B1B"/>
    <w:rsid w:val="00DA30AD"/>
    <w:rsid w:val="00DD179C"/>
    <w:rsid w:val="00DD79BF"/>
    <w:rsid w:val="00DF3040"/>
    <w:rsid w:val="00E60795"/>
    <w:rsid w:val="00E67EFB"/>
    <w:rsid w:val="00F071DB"/>
    <w:rsid w:val="00F10F1C"/>
    <w:rsid w:val="00F72F1B"/>
    <w:rsid w:val="00FF3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16F2F"/>
  <w15:chartTrackingRefBased/>
  <w15:docId w15:val="{3E6BDB3E-7689-4944-815A-DBF8A9EE8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7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7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7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7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7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7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7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7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7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7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9BF"/>
    <w:rPr>
      <w:rFonts w:eastAsiaTheme="majorEastAsia" w:cstheme="majorBidi"/>
      <w:color w:val="272727" w:themeColor="text1" w:themeTint="D8"/>
    </w:rPr>
  </w:style>
  <w:style w:type="paragraph" w:styleId="Title">
    <w:name w:val="Title"/>
    <w:basedOn w:val="Normal"/>
    <w:next w:val="Normal"/>
    <w:link w:val="TitleChar"/>
    <w:uiPriority w:val="10"/>
    <w:qFormat/>
    <w:rsid w:val="00DD7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9BF"/>
    <w:pPr>
      <w:spacing w:before="160"/>
      <w:jc w:val="center"/>
    </w:pPr>
    <w:rPr>
      <w:i/>
      <w:iCs/>
      <w:color w:val="404040" w:themeColor="text1" w:themeTint="BF"/>
    </w:rPr>
  </w:style>
  <w:style w:type="character" w:customStyle="1" w:styleId="QuoteChar">
    <w:name w:val="Quote Char"/>
    <w:basedOn w:val="DefaultParagraphFont"/>
    <w:link w:val="Quote"/>
    <w:uiPriority w:val="29"/>
    <w:rsid w:val="00DD79BF"/>
    <w:rPr>
      <w:i/>
      <w:iCs/>
      <w:color w:val="404040" w:themeColor="text1" w:themeTint="BF"/>
    </w:rPr>
  </w:style>
  <w:style w:type="paragraph" w:styleId="ListParagraph">
    <w:name w:val="List Paragraph"/>
    <w:basedOn w:val="Normal"/>
    <w:uiPriority w:val="34"/>
    <w:qFormat/>
    <w:rsid w:val="00DD79BF"/>
    <w:pPr>
      <w:ind w:left="720"/>
      <w:contextualSpacing/>
    </w:pPr>
  </w:style>
  <w:style w:type="character" w:styleId="IntenseEmphasis">
    <w:name w:val="Intense Emphasis"/>
    <w:basedOn w:val="DefaultParagraphFont"/>
    <w:uiPriority w:val="21"/>
    <w:qFormat/>
    <w:rsid w:val="00DD79BF"/>
    <w:rPr>
      <w:i/>
      <w:iCs/>
      <w:color w:val="0F4761" w:themeColor="accent1" w:themeShade="BF"/>
    </w:rPr>
  </w:style>
  <w:style w:type="paragraph" w:styleId="IntenseQuote">
    <w:name w:val="Intense Quote"/>
    <w:basedOn w:val="Normal"/>
    <w:next w:val="Normal"/>
    <w:link w:val="IntenseQuoteChar"/>
    <w:uiPriority w:val="30"/>
    <w:qFormat/>
    <w:rsid w:val="00DD7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9BF"/>
    <w:rPr>
      <w:i/>
      <w:iCs/>
      <w:color w:val="0F4761" w:themeColor="accent1" w:themeShade="BF"/>
    </w:rPr>
  </w:style>
  <w:style w:type="character" w:styleId="IntenseReference">
    <w:name w:val="Intense Reference"/>
    <w:basedOn w:val="DefaultParagraphFont"/>
    <w:uiPriority w:val="32"/>
    <w:qFormat/>
    <w:rsid w:val="00DD79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6092">
      <w:bodyDiv w:val="1"/>
      <w:marLeft w:val="0"/>
      <w:marRight w:val="0"/>
      <w:marTop w:val="0"/>
      <w:marBottom w:val="0"/>
      <w:divBdr>
        <w:top w:val="none" w:sz="0" w:space="0" w:color="auto"/>
        <w:left w:val="none" w:sz="0" w:space="0" w:color="auto"/>
        <w:bottom w:val="none" w:sz="0" w:space="0" w:color="auto"/>
        <w:right w:val="none" w:sz="0" w:space="0" w:color="auto"/>
      </w:divBdr>
    </w:div>
    <w:div w:id="19354775">
      <w:bodyDiv w:val="1"/>
      <w:marLeft w:val="0"/>
      <w:marRight w:val="0"/>
      <w:marTop w:val="0"/>
      <w:marBottom w:val="0"/>
      <w:divBdr>
        <w:top w:val="none" w:sz="0" w:space="0" w:color="auto"/>
        <w:left w:val="none" w:sz="0" w:space="0" w:color="auto"/>
        <w:bottom w:val="none" w:sz="0" w:space="0" w:color="auto"/>
        <w:right w:val="none" w:sz="0" w:space="0" w:color="auto"/>
      </w:divBdr>
    </w:div>
    <w:div w:id="29769633">
      <w:bodyDiv w:val="1"/>
      <w:marLeft w:val="0"/>
      <w:marRight w:val="0"/>
      <w:marTop w:val="0"/>
      <w:marBottom w:val="0"/>
      <w:divBdr>
        <w:top w:val="none" w:sz="0" w:space="0" w:color="auto"/>
        <w:left w:val="none" w:sz="0" w:space="0" w:color="auto"/>
        <w:bottom w:val="none" w:sz="0" w:space="0" w:color="auto"/>
        <w:right w:val="none" w:sz="0" w:space="0" w:color="auto"/>
      </w:divBdr>
    </w:div>
    <w:div w:id="105472368">
      <w:bodyDiv w:val="1"/>
      <w:marLeft w:val="0"/>
      <w:marRight w:val="0"/>
      <w:marTop w:val="0"/>
      <w:marBottom w:val="0"/>
      <w:divBdr>
        <w:top w:val="none" w:sz="0" w:space="0" w:color="auto"/>
        <w:left w:val="none" w:sz="0" w:space="0" w:color="auto"/>
        <w:bottom w:val="none" w:sz="0" w:space="0" w:color="auto"/>
        <w:right w:val="none" w:sz="0" w:space="0" w:color="auto"/>
      </w:divBdr>
    </w:div>
    <w:div w:id="190263945">
      <w:bodyDiv w:val="1"/>
      <w:marLeft w:val="0"/>
      <w:marRight w:val="0"/>
      <w:marTop w:val="0"/>
      <w:marBottom w:val="0"/>
      <w:divBdr>
        <w:top w:val="none" w:sz="0" w:space="0" w:color="auto"/>
        <w:left w:val="none" w:sz="0" w:space="0" w:color="auto"/>
        <w:bottom w:val="none" w:sz="0" w:space="0" w:color="auto"/>
        <w:right w:val="none" w:sz="0" w:space="0" w:color="auto"/>
      </w:divBdr>
    </w:div>
    <w:div w:id="216429205">
      <w:bodyDiv w:val="1"/>
      <w:marLeft w:val="0"/>
      <w:marRight w:val="0"/>
      <w:marTop w:val="0"/>
      <w:marBottom w:val="0"/>
      <w:divBdr>
        <w:top w:val="none" w:sz="0" w:space="0" w:color="auto"/>
        <w:left w:val="none" w:sz="0" w:space="0" w:color="auto"/>
        <w:bottom w:val="none" w:sz="0" w:space="0" w:color="auto"/>
        <w:right w:val="none" w:sz="0" w:space="0" w:color="auto"/>
      </w:divBdr>
    </w:div>
    <w:div w:id="249780326">
      <w:bodyDiv w:val="1"/>
      <w:marLeft w:val="0"/>
      <w:marRight w:val="0"/>
      <w:marTop w:val="0"/>
      <w:marBottom w:val="0"/>
      <w:divBdr>
        <w:top w:val="none" w:sz="0" w:space="0" w:color="auto"/>
        <w:left w:val="none" w:sz="0" w:space="0" w:color="auto"/>
        <w:bottom w:val="none" w:sz="0" w:space="0" w:color="auto"/>
        <w:right w:val="none" w:sz="0" w:space="0" w:color="auto"/>
      </w:divBdr>
    </w:div>
    <w:div w:id="252469230">
      <w:bodyDiv w:val="1"/>
      <w:marLeft w:val="0"/>
      <w:marRight w:val="0"/>
      <w:marTop w:val="0"/>
      <w:marBottom w:val="0"/>
      <w:divBdr>
        <w:top w:val="none" w:sz="0" w:space="0" w:color="auto"/>
        <w:left w:val="none" w:sz="0" w:space="0" w:color="auto"/>
        <w:bottom w:val="none" w:sz="0" w:space="0" w:color="auto"/>
        <w:right w:val="none" w:sz="0" w:space="0" w:color="auto"/>
      </w:divBdr>
    </w:div>
    <w:div w:id="279841186">
      <w:bodyDiv w:val="1"/>
      <w:marLeft w:val="0"/>
      <w:marRight w:val="0"/>
      <w:marTop w:val="0"/>
      <w:marBottom w:val="0"/>
      <w:divBdr>
        <w:top w:val="none" w:sz="0" w:space="0" w:color="auto"/>
        <w:left w:val="none" w:sz="0" w:space="0" w:color="auto"/>
        <w:bottom w:val="none" w:sz="0" w:space="0" w:color="auto"/>
        <w:right w:val="none" w:sz="0" w:space="0" w:color="auto"/>
      </w:divBdr>
    </w:div>
    <w:div w:id="388000822">
      <w:bodyDiv w:val="1"/>
      <w:marLeft w:val="0"/>
      <w:marRight w:val="0"/>
      <w:marTop w:val="0"/>
      <w:marBottom w:val="0"/>
      <w:divBdr>
        <w:top w:val="none" w:sz="0" w:space="0" w:color="auto"/>
        <w:left w:val="none" w:sz="0" w:space="0" w:color="auto"/>
        <w:bottom w:val="none" w:sz="0" w:space="0" w:color="auto"/>
        <w:right w:val="none" w:sz="0" w:space="0" w:color="auto"/>
      </w:divBdr>
    </w:div>
    <w:div w:id="445926298">
      <w:bodyDiv w:val="1"/>
      <w:marLeft w:val="0"/>
      <w:marRight w:val="0"/>
      <w:marTop w:val="0"/>
      <w:marBottom w:val="0"/>
      <w:divBdr>
        <w:top w:val="none" w:sz="0" w:space="0" w:color="auto"/>
        <w:left w:val="none" w:sz="0" w:space="0" w:color="auto"/>
        <w:bottom w:val="none" w:sz="0" w:space="0" w:color="auto"/>
        <w:right w:val="none" w:sz="0" w:space="0" w:color="auto"/>
      </w:divBdr>
    </w:div>
    <w:div w:id="501968687">
      <w:bodyDiv w:val="1"/>
      <w:marLeft w:val="0"/>
      <w:marRight w:val="0"/>
      <w:marTop w:val="0"/>
      <w:marBottom w:val="0"/>
      <w:divBdr>
        <w:top w:val="none" w:sz="0" w:space="0" w:color="auto"/>
        <w:left w:val="none" w:sz="0" w:space="0" w:color="auto"/>
        <w:bottom w:val="none" w:sz="0" w:space="0" w:color="auto"/>
        <w:right w:val="none" w:sz="0" w:space="0" w:color="auto"/>
      </w:divBdr>
    </w:div>
    <w:div w:id="544029565">
      <w:bodyDiv w:val="1"/>
      <w:marLeft w:val="0"/>
      <w:marRight w:val="0"/>
      <w:marTop w:val="0"/>
      <w:marBottom w:val="0"/>
      <w:divBdr>
        <w:top w:val="none" w:sz="0" w:space="0" w:color="auto"/>
        <w:left w:val="none" w:sz="0" w:space="0" w:color="auto"/>
        <w:bottom w:val="none" w:sz="0" w:space="0" w:color="auto"/>
        <w:right w:val="none" w:sz="0" w:space="0" w:color="auto"/>
      </w:divBdr>
    </w:div>
    <w:div w:id="574628988">
      <w:bodyDiv w:val="1"/>
      <w:marLeft w:val="0"/>
      <w:marRight w:val="0"/>
      <w:marTop w:val="0"/>
      <w:marBottom w:val="0"/>
      <w:divBdr>
        <w:top w:val="none" w:sz="0" w:space="0" w:color="auto"/>
        <w:left w:val="none" w:sz="0" w:space="0" w:color="auto"/>
        <w:bottom w:val="none" w:sz="0" w:space="0" w:color="auto"/>
        <w:right w:val="none" w:sz="0" w:space="0" w:color="auto"/>
      </w:divBdr>
    </w:div>
    <w:div w:id="618603920">
      <w:bodyDiv w:val="1"/>
      <w:marLeft w:val="0"/>
      <w:marRight w:val="0"/>
      <w:marTop w:val="0"/>
      <w:marBottom w:val="0"/>
      <w:divBdr>
        <w:top w:val="none" w:sz="0" w:space="0" w:color="auto"/>
        <w:left w:val="none" w:sz="0" w:space="0" w:color="auto"/>
        <w:bottom w:val="none" w:sz="0" w:space="0" w:color="auto"/>
        <w:right w:val="none" w:sz="0" w:space="0" w:color="auto"/>
      </w:divBdr>
    </w:div>
    <w:div w:id="619075083">
      <w:bodyDiv w:val="1"/>
      <w:marLeft w:val="0"/>
      <w:marRight w:val="0"/>
      <w:marTop w:val="0"/>
      <w:marBottom w:val="0"/>
      <w:divBdr>
        <w:top w:val="none" w:sz="0" w:space="0" w:color="auto"/>
        <w:left w:val="none" w:sz="0" w:space="0" w:color="auto"/>
        <w:bottom w:val="none" w:sz="0" w:space="0" w:color="auto"/>
        <w:right w:val="none" w:sz="0" w:space="0" w:color="auto"/>
      </w:divBdr>
    </w:div>
    <w:div w:id="647899834">
      <w:bodyDiv w:val="1"/>
      <w:marLeft w:val="0"/>
      <w:marRight w:val="0"/>
      <w:marTop w:val="0"/>
      <w:marBottom w:val="0"/>
      <w:divBdr>
        <w:top w:val="none" w:sz="0" w:space="0" w:color="auto"/>
        <w:left w:val="none" w:sz="0" w:space="0" w:color="auto"/>
        <w:bottom w:val="none" w:sz="0" w:space="0" w:color="auto"/>
        <w:right w:val="none" w:sz="0" w:space="0" w:color="auto"/>
      </w:divBdr>
    </w:div>
    <w:div w:id="726953780">
      <w:bodyDiv w:val="1"/>
      <w:marLeft w:val="0"/>
      <w:marRight w:val="0"/>
      <w:marTop w:val="0"/>
      <w:marBottom w:val="0"/>
      <w:divBdr>
        <w:top w:val="none" w:sz="0" w:space="0" w:color="auto"/>
        <w:left w:val="none" w:sz="0" w:space="0" w:color="auto"/>
        <w:bottom w:val="none" w:sz="0" w:space="0" w:color="auto"/>
        <w:right w:val="none" w:sz="0" w:space="0" w:color="auto"/>
      </w:divBdr>
    </w:div>
    <w:div w:id="776679752">
      <w:bodyDiv w:val="1"/>
      <w:marLeft w:val="0"/>
      <w:marRight w:val="0"/>
      <w:marTop w:val="0"/>
      <w:marBottom w:val="0"/>
      <w:divBdr>
        <w:top w:val="none" w:sz="0" w:space="0" w:color="auto"/>
        <w:left w:val="none" w:sz="0" w:space="0" w:color="auto"/>
        <w:bottom w:val="none" w:sz="0" w:space="0" w:color="auto"/>
        <w:right w:val="none" w:sz="0" w:space="0" w:color="auto"/>
      </w:divBdr>
    </w:div>
    <w:div w:id="801924072">
      <w:bodyDiv w:val="1"/>
      <w:marLeft w:val="0"/>
      <w:marRight w:val="0"/>
      <w:marTop w:val="0"/>
      <w:marBottom w:val="0"/>
      <w:divBdr>
        <w:top w:val="none" w:sz="0" w:space="0" w:color="auto"/>
        <w:left w:val="none" w:sz="0" w:space="0" w:color="auto"/>
        <w:bottom w:val="none" w:sz="0" w:space="0" w:color="auto"/>
        <w:right w:val="none" w:sz="0" w:space="0" w:color="auto"/>
      </w:divBdr>
    </w:div>
    <w:div w:id="849608994">
      <w:bodyDiv w:val="1"/>
      <w:marLeft w:val="0"/>
      <w:marRight w:val="0"/>
      <w:marTop w:val="0"/>
      <w:marBottom w:val="0"/>
      <w:divBdr>
        <w:top w:val="none" w:sz="0" w:space="0" w:color="auto"/>
        <w:left w:val="none" w:sz="0" w:space="0" w:color="auto"/>
        <w:bottom w:val="none" w:sz="0" w:space="0" w:color="auto"/>
        <w:right w:val="none" w:sz="0" w:space="0" w:color="auto"/>
      </w:divBdr>
    </w:div>
    <w:div w:id="935135971">
      <w:bodyDiv w:val="1"/>
      <w:marLeft w:val="0"/>
      <w:marRight w:val="0"/>
      <w:marTop w:val="0"/>
      <w:marBottom w:val="0"/>
      <w:divBdr>
        <w:top w:val="none" w:sz="0" w:space="0" w:color="auto"/>
        <w:left w:val="none" w:sz="0" w:space="0" w:color="auto"/>
        <w:bottom w:val="none" w:sz="0" w:space="0" w:color="auto"/>
        <w:right w:val="none" w:sz="0" w:space="0" w:color="auto"/>
      </w:divBdr>
    </w:div>
    <w:div w:id="1063526658">
      <w:bodyDiv w:val="1"/>
      <w:marLeft w:val="0"/>
      <w:marRight w:val="0"/>
      <w:marTop w:val="0"/>
      <w:marBottom w:val="0"/>
      <w:divBdr>
        <w:top w:val="none" w:sz="0" w:space="0" w:color="auto"/>
        <w:left w:val="none" w:sz="0" w:space="0" w:color="auto"/>
        <w:bottom w:val="none" w:sz="0" w:space="0" w:color="auto"/>
        <w:right w:val="none" w:sz="0" w:space="0" w:color="auto"/>
      </w:divBdr>
    </w:div>
    <w:div w:id="1153184615">
      <w:bodyDiv w:val="1"/>
      <w:marLeft w:val="0"/>
      <w:marRight w:val="0"/>
      <w:marTop w:val="0"/>
      <w:marBottom w:val="0"/>
      <w:divBdr>
        <w:top w:val="none" w:sz="0" w:space="0" w:color="auto"/>
        <w:left w:val="none" w:sz="0" w:space="0" w:color="auto"/>
        <w:bottom w:val="none" w:sz="0" w:space="0" w:color="auto"/>
        <w:right w:val="none" w:sz="0" w:space="0" w:color="auto"/>
      </w:divBdr>
    </w:div>
    <w:div w:id="1177307716">
      <w:bodyDiv w:val="1"/>
      <w:marLeft w:val="0"/>
      <w:marRight w:val="0"/>
      <w:marTop w:val="0"/>
      <w:marBottom w:val="0"/>
      <w:divBdr>
        <w:top w:val="none" w:sz="0" w:space="0" w:color="auto"/>
        <w:left w:val="none" w:sz="0" w:space="0" w:color="auto"/>
        <w:bottom w:val="none" w:sz="0" w:space="0" w:color="auto"/>
        <w:right w:val="none" w:sz="0" w:space="0" w:color="auto"/>
      </w:divBdr>
    </w:div>
    <w:div w:id="1190725261">
      <w:bodyDiv w:val="1"/>
      <w:marLeft w:val="0"/>
      <w:marRight w:val="0"/>
      <w:marTop w:val="0"/>
      <w:marBottom w:val="0"/>
      <w:divBdr>
        <w:top w:val="none" w:sz="0" w:space="0" w:color="auto"/>
        <w:left w:val="none" w:sz="0" w:space="0" w:color="auto"/>
        <w:bottom w:val="none" w:sz="0" w:space="0" w:color="auto"/>
        <w:right w:val="none" w:sz="0" w:space="0" w:color="auto"/>
      </w:divBdr>
    </w:div>
    <w:div w:id="1315840960">
      <w:bodyDiv w:val="1"/>
      <w:marLeft w:val="0"/>
      <w:marRight w:val="0"/>
      <w:marTop w:val="0"/>
      <w:marBottom w:val="0"/>
      <w:divBdr>
        <w:top w:val="none" w:sz="0" w:space="0" w:color="auto"/>
        <w:left w:val="none" w:sz="0" w:space="0" w:color="auto"/>
        <w:bottom w:val="none" w:sz="0" w:space="0" w:color="auto"/>
        <w:right w:val="none" w:sz="0" w:space="0" w:color="auto"/>
      </w:divBdr>
    </w:div>
    <w:div w:id="1401443363">
      <w:bodyDiv w:val="1"/>
      <w:marLeft w:val="0"/>
      <w:marRight w:val="0"/>
      <w:marTop w:val="0"/>
      <w:marBottom w:val="0"/>
      <w:divBdr>
        <w:top w:val="none" w:sz="0" w:space="0" w:color="auto"/>
        <w:left w:val="none" w:sz="0" w:space="0" w:color="auto"/>
        <w:bottom w:val="none" w:sz="0" w:space="0" w:color="auto"/>
        <w:right w:val="none" w:sz="0" w:space="0" w:color="auto"/>
      </w:divBdr>
    </w:div>
    <w:div w:id="1417094980">
      <w:bodyDiv w:val="1"/>
      <w:marLeft w:val="0"/>
      <w:marRight w:val="0"/>
      <w:marTop w:val="0"/>
      <w:marBottom w:val="0"/>
      <w:divBdr>
        <w:top w:val="none" w:sz="0" w:space="0" w:color="auto"/>
        <w:left w:val="none" w:sz="0" w:space="0" w:color="auto"/>
        <w:bottom w:val="none" w:sz="0" w:space="0" w:color="auto"/>
        <w:right w:val="none" w:sz="0" w:space="0" w:color="auto"/>
      </w:divBdr>
    </w:div>
    <w:div w:id="1430202385">
      <w:bodyDiv w:val="1"/>
      <w:marLeft w:val="0"/>
      <w:marRight w:val="0"/>
      <w:marTop w:val="0"/>
      <w:marBottom w:val="0"/>
      <w:divBdr>
        <w:top w:val="none" w:sz="0" w:space="0" w:color="auto"/>
        <w:left w:val="none" w:sz="0" w:space="0" w:color="auto"/>
        <w:bottom w:val="none" w:sz="0" w:space="0" w:color="auto"/>
        <w:right w:val="none" w:sz="0" w:space="0" w:color="auto"/>
      </w:divBdr>
    </w:div>
    <w:div w:id="1606228050">
      <w:bodyDiv w:val="1"/>
      <w:marLeft w:val="0"/>
      <w:marRight w:val="0"/>
      <w:marTop w:val="0"/>
      <w:marBottom w:val="0"/>
      <w:divBdr>
        <w:top w:val="none" w:sz="0" w:space="0" w:color="auto"/>
        <w:left w:val="none" w:sz="0" w:space="0" w:color="auto"/>
        <w:bottom w:val="none" w:sz="0" w:space="0" w:color="auto"/>
        <w:right w:val="none" w:sz="0" w:space="0" w:color="auto"/>
      </w:divBdr>
    </w:div>
    <w:div w:id="1730030218">
      <w:bodyDiv w:val="1"/>
      <w:marLeft w:val="0"/>
      <w:marRight w:val="0"/>
      <w:marTop w:val="0"/>
      <w:marBottom w:val="0"/>
      <w:divBdr>
        <w:top w:val="none" w:sz="0" w:space="0" w:color="auto"/>
        <w:left w:val="none" w:sz="0" w:space="0" w:color="auto"/>
        <w:bottom w:val="none" w:sz="0" w:space="0" w:color="auto"/>
        <w:right w:val="none" w:sz="0" w:space="0" w:color="auto"/>
      </w:divBdr>
    </w:div>
    <w:div w:id="1733119366">
      <w:bodyDiv w:val="1"/>
      <w:marLeft w:val="0"/>
      <w:marRight w:val="0"/>
      <w:marTop w:val="0"/>
      <w:marBottom w:val="0"/>
      <w:divBdr>
        <w:top w:val="none" w:sz="0" w:space="0" w:color="auto"/>
        <w:left w:val="none" w:sz="0" w:space="0" w:color="auto"/>
        <w:bottom w:val="none" w:sz="0" w:space="0" w:color="auto"/>
        <w:right w:val="none" w:sz="0" w:space="0" w:color="auto"/>
      </w:divBdr>
    </w:div>
    <w:div w:id="1795562967">
      <w:bodyDiv w:val="1"/>
      <w:marLeft w:val="0"/>
      <w:marRight w:val="0"/>
      <w:marTop w:val="0"/>
      <w:marBottom w:val="0"/>
      <w:divBdr>
        <w:top w:val="none" w:sz="0" w:space="0" w:color="auto"/>
        <w:left w:val="none" w:sz="0" w:space="0" w:color="auto"/>
        <w:bottom w:val="none" w:sz="0" w:space="0" w:color="auto"/>
        <w:right w:val="none" w:sz="0" w:space="0" w:color="auto"/>
      </w:divBdr>
    </w:div>
    <w:div w:id="1812360971">
      <w:bodyDiv w:val="1"/>
      <w:marLeft w:val="0"/>
      <w:marRight w:val="0"/>
      <w:marTop w:val="0"/>
      <w:marBottom w:val="0"/>
      <w:divBdr>
        <w:top w:val="none" w:sz="0" w:space="0" w:color="auto"/>
        <w:left w:val="none" w:sz="0" w:space="0" w:color="auto"/>
        <w:bottom w:val="none" w:sz="0" w:space="0" w:color="auto"/>
        <w:right w:val="none" w:sz="0" w:space="0" w:color="auto"/>
      </w:divBdr>
    </w:div>
    <w:div w:id="1864123884">
      <w:bodyDiv w:val="1"/>
      <w:marLeft w:val="0"/>
      <w:marRight w:val="0"/>
      <w:marTop w:val="0"/>
      <w:marBottom w:val="0"/>
      <w:divBdr>
        <w:top w:val="none" w:sz="0" w:space="0" w:color="auto"/>
        <w:left w:val="none" w:sz="0" w:space="0" w:color="auto"/>
        <w:bottom w:val="none" w:sz="0" w:space="0" w:color="auto"/>
        <w:right w:val="none" w:sz="0" w:space="0" w:color="auto"/>
      </w:divBdr>
    </w:div>
    <w:div w:id="1882084619">
      <w:bodyDiv w:val="1"/>
      <w:marLeft w:val="0"/>
      <w:marRight w:val="0"/>
      <w:marTop w:val="0"/>
      <w:marBottom w:val="0"/>
      <w:divBdr>
        <w:top w:val="none" w:sz="0" w:space="0" w:color="auto"/>
        <w:left w:val="none" w:sz="0" w:space="0" w:color="auto"/>
        <w:bottom w:val="none" w:sz="0" w:space="0" w:color="auto"/>
        <w:right w:val="none" w:sz="0" w:space="0" w:color="auto"/>
      </w:divBdr>
    </w:div>
    <w:div w:id="1936667884">
      <w:bodyDiv w:val="1"/>
      <w:marLeft w:val="0"/>
      <w:marRight w:val="0"/>
      <w:marTop w:val="0"/>
      <w:marBottom w:val="0"/>
      <w:divBdr>
        <w:top w:val="none" w:sz="0" w:space="0" w:color="auto"/>
        <w:left w:val="none" w:sz="0" w:space="0" w:color="auto"/>
        <w:bottom w:val="none" w:sz="0" w:space="0" w:color="auto"/>
        <w:right w:val="none" w:sz="0" w:space="0" w:color="auto"/>
      </w:divBdr>
    </w:div>
    <w:div w:id="2078167307">
      <w:bodyDiv w:val="1"/>
      <w:marLeft w:val="0"/>
      <w:marRight w:val="0"/>
      <w:marTop w:val="0"/>
      <w:marBottom w:val="0"/>
      <w:divBdr>
        <w:top w:val="none" w:sz="0" w:space="0" w:color="auto"/>
        <w:left w:val="none" w:sz="0" w:space="0" w:color="auto"/>
        <w:bottom w:val="none" w:sz="0" w:space="0" w:color="auto"/>
        <w:right w:val="none" w:sz="0" w:space="0" w:color="auto"/>
      </w:divBdr>
    </w:div>
    <w:div w:id="213601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1396</TotalTime>
  <Pages>6</Pages>
  <Words>2052</Words>
  <Characters>12814</Characters>
  <Application>Microsoft Office Word</Application>
  <DocSecurity>0</DocSecurity>
  <Lines>231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dc:creator>
  <cp:keywords/>
  <dc:description/>
  <cp:lastModifiedBy>Marco Guarracino</cp:lastModifiedBy>
  <cp:revision>61</cp:revision>
  <dcterms:created xsi:type="dcterms:W3CDTF">2024-07-22T22:43:00Z</dcterms:created>
  <dcterms:modified xsi:type="dcterms:W3CDTF">2024-07-23T21:59:00Z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a692547b-e484-4e16-84b3-07c9a59a82cf</vt:lpwstr>
  </property>
</Properties>
</file>