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D76E5A"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ED8E778" w14:textId="77777777" w:rsidR="00246CA9" w:rsidRPr="00246CA9" w:rsidRDefault="00CD33A8" w:rsidP="00246CA9">
      <w:pPr>
        <w:tabs>
          <w:tab w:val="left" w:pos="6540"/>
        </w:tabs>
        <w:spacing w:line="360" w:lineRule="auto"/>
        <w:rPr>
          <w:rFonts w:ascii="Arial" w:eastAsiaTheme="minorEastAsia" w:hAnsi="Arial" w:cs="Arial"/>
          <w:sz w:val="28"/>
          <w:szCs w:val="28"/>
          <w:lang w:val="nl-NL" w:eastAsia="zh-CN"/>
        </w:rPr>
      </w:pPr>
      <w:r w:rsidRPr="00CD33A8">
        <w:rPr>
          <w:rFonts w:ascii="Arial" w:hAnsi="Arial" w:cs="Arial"/>
          <w:b/>
          <w:bCs/>
          <w:sz w:val="28"/>
          <w:szCs w:val="28"/>
          <w:lang w:val="nl-NL"/>
        </w:rPr>
        <w:t>Module name</w:t>
      </w:r>
      <w:r w:rsidRPr="00CD33A8">
        <w:rPr>
          <w:rFonts w:ascii="Arial" w:hAnsi="Arial" w:cs="Arial"/>
          <w:sz w:val="28"/>
          <w:szCs w:val="28"/>
          <w:lang w:val="nl-NL"/>
        </w:rPr>
        <w:t>:</w:t>
      </w:r>
      <w:r w:rsidR="00246CA9">
        <w:rPr>
          <w:rFonts w:ascii="Arial" w:hAnsi="Arial" w:cs="Arial"/>
          <w:sz w:val="28"/>
          <w:szCs w:val="28"/>
          <w:lang w:val="nl-NL"/>
        </w:rPr>
        <w:t xml:space="preserve"> </w:t>
      </w:r>
      <w:r w:rsidR="00246CA9" w:rsidRPr="00246CA9">
        <w:rPr>
          <w:rFonts w:ascii="Arial" w:eastAsiaTheme="minorEastAsia" w:hAnsi="Arial" w:cs="Arial"/>
          <w:sz w:val="28"/>
          <w:szCs w:val="28"/>
          <w:lang w:val="nl-NL" w:eastAsia="zh-CN"/>
        </w:rPr>
        <w:t>Introduction to Health and Social Care</w:t>
      </w:r>
    </w:p>
    <w:p w14:paraId="29F65402" w14:textId="569EE4B8" w:rsidR="00246CA9" w:rsidRPr="00246CA9" w:rsidRDefault="00CD33A8" w:rsidP="00CD33A8">
      <w:pPr>
        <w:tabs>
          <w:tab w:val="left" w:pos="6540"/>
        </w:tabs>
        <w:spacing w:line="360" w:lineRule="auto"/>
        <w:rPr>
          <w:rFonts w:ascii="Arial" w:hAnsi="Arial" w:cs="Arial"/>
          <w:sz w:val="28"/>
          <w:szCs w:val="28"/>
          <w:lang w:val="nl-NL"/>
        </w:rPr>
      </w:pPr>
      <w:r w:rsidRPr="00CD33A8">
        <w:rPr>
          <w:rFonts w:ascii="Arial" w:hAnsi="Arial" w:cs="Arial"/>
          <w:sz w:val="28"/>
          <w:szCs w:val="28"/>
          <w:lang w:val="nl-NL"/>
        </w:rPr>
        <w:t xml:space="preserve"> </w:t>
      </w:r>
      <w:r w:rsidRPr="00CD33A8">
        <w:rPr>
          <w:rFonts w:ascii="Arial" w:hAnsi="Arial" w:cs="Arial"/>
          <w:b/>
          <w:bCs/>
          <w:sz w:val="28"/>
          <w:szCs w:val="28"/>
        </w:rPr>
        <w:t>Module code</w:t>
      </w:r>
      <w:r w:rsidRPr="00CD33A8">
        <w:rPr>
          <w:rFonts w:ascii="Arial" w:hAnsi="Arial" w:cs="Arial"/>
          <w:sz w:val="28"/>
          <w:szCs w:val="28"/>
        </w:rPr>
        <w:t>:</w:t>
      </w:r>
      <w:r w:rsidR="00246CA9">
        <w:rPr>
          <w:rFonts w:ascii="Arial" w:hAnsi="Arial" w:cs="Arial"/>
          <w:sz w:val="28"/>
          <w:szCs w:val="28"/>
        </w:rPr>
        <w:t xml:space="preserve"> </w:t>
      </w:r>
      <w:r w:rsidR="00246CA9" w:rsidRPr="00246CA9">
        <w:rPr>
          <w:rFonts w:ascii="Arial" w:eastAsiaTheme="minorEastAsia" w:hAnsi="Arial" w:cs="Arial"/>
          <w:sz w:val="28"/>
          <w:szCs w:val="28"/>
          <w:lang w:eastAsia="zh-CN"/>
        </w:rPr>
        <w:t>LCHS4003</w:t>
      </w:r>
    </w:p>
    <w:p w14:paraId="0A48766D" w14:textId="6AF090F7" w:rsidR="00074402" w:rsidRPr="00246CA9" w:rsidRDefault="00074402" w:rsidP="00CD33A8">
      <w:pPr>
        <w:tabs>
          <w:tab w:val="left" w:pos="6540"/>
        </w:tabs>
        <w:spacing w:line="360" w:lineRule="auto"/>
        <w:rPr>
          <w:rFonts w:ascii="Arial" w:eastAsiaTheme="minorEastAsia" w:hAnsi="Arial" w:cs="Arial"/>
          <w:sz w:val="28"/>
          <w:szCs w:val="28"/>
          <w:lang w:eastAsia="zh-CN"/>
        </w:rPr>
      </w:pPr>
      <w:r w:rsidRPr="00CD33A8">
        <w:rPr>
          <w:rFonts w:ascii="Arial" w:hAnsi="Arial" w:cs="Arial"/>
          <w:b/>
          <w:bCs/>
          <w:sz w:val="28"/>
          <w:szCs w:val="28"/>
          <w:lang w:val="nl-NL"/>
        </w:rPr>
        <w:t>Student name</w:t>
      </w:r>
      <w:r w:rsidRPr="00CD33A8">
        <w:rPr>
          <w:rFonts w:ascii="Arial" w:hAnsi="Arial" w:cs="Arial"/>
          <w:sz w:val="28"/>
          <w:szCs w:val="28"/>
          <w:lang w:val="nl-NL"/>
        </w:rPr>
        <w:t>:</w:t>
      </w:r>
      <w:r w:rsidR="00246CA9">
        <w:rPr>
          <w:rFonts w:ascii="Arial" w:hAnsi="Arial" w:cs="Arial"/>
          <w:sz w:val="28"/>
          <w:szCs w:val="28"/>
          <w:lang w:val="nl-NL"/>
        </w:rPr>
        <w:t xml:space="preserve"> </w:t>
      </w:r>
      <w:r w:rsidR="00246CA9" w:rsidRPr="00246CA9">
        <w:rPr>
          <w:rFonts w:ascii="Arial" w:hAnsi="Arial" w:cs="Arial"/>
          <w:sz w:val="28"/>
          <w:szCs w:val="28"/>
          <w:lang w:val="nl-NL"/>
        </w:rPr>
        <w:t>Almira Kokayeva</w:t>
      </w:r>
    </w:p>
    <w:p w14:paraId="0287B249" w14:textId="42AF5C23" w:rsidR="00246CA9"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46CA9">
        <w:rPr>
          <w:rFonts w:ascii="Arial" w:hAnsi="Arial" w:cs="Arial"/>
          <w:sz w:val="28"/>
          <w:szCs w:val="28"/>
          <w:lang w:val="nl-NL"/>
        </w:rPr>
        <w:t xml:space="preserve"> 2313892</w:t>
      </w:r>
    </w:p>
    <w:p w14:paraId="60EC2031" w14:textId="77777777" w:rsidR="00246CA9" w:rsidRPr="00246CA9" w:rsidRDefault="008E3943" w:rsidP="00246CA9">
      <w:pPr>
        <w:tabs>
          <w:tab w:val="left" w:pos="6540"/>
        </w:tabs>
        <w:spacing w:line="360" w:lineRule="auto"/>
        <w:rPr>
          <w:rFonts w:ascii="Arial" w:eastAsiaTheme="minorEastAsia" w:hAnsi="Arial" w:cs="Arial"/>
          <w:sz w:val="28"/>
          <w:szCs w:val="28"/>
          <w:lang w:eastAsia="zh-CN"/>
        </w:rPr>
      </w:pPr>
      <w:r>
        <w:rPr>
          <w:rFonts w:ascii="Arial" w:hAnsi="Arial" w:cs="Arial"/>
          <w:b/>
          <w:bCs/>
          <w:sz w:val="28"/>
          <w:szCs w:val="28"/>
        </w:rPr>
        <w:t>Lecturer’s name</w:t>
      </w:r>
      <w:r w:rsidR="00074402" w:rsidRPr="00CD33A8">
        <w:rPr>
          <w:rFonts w:ascii="Arial" w:hAnsi="Arial" w:cs="Arial"/>
          <w:sz w:val="28"/>
          <w:szCs w:val="28"/>
        </w:rPr>
        <w:t>:</w:t>
      </w:r>
      <w:r w:rsidR="00246CA9">
        <w:rPr>
          <w:rFonts w:ascii="Arial" w:hAnsi="Arial" w:cs="Arial"/>
          <w:sz w:val="28"/>
          <w:szCs w:val="28"/>
        </w:rPr>
        <w:t xml:space="preserve"> </w:t>
      </w:r>
      <w:r w:rsidR="00246CA9" w:rsidRPr="00246CA9">
        <w:rPr>
          <w:rFonts w:ascii="Arial" w:eastAsiaTheme="minorEastAsia" w:hAnsi="Arial" w:cs="Arial"/>
          <w:sz w:val="28"/>
          <w:szCs w:val="28"/>
          <w:lang w:eastAsia="zh-CN"/>
        </w:rPr>
        <w:t>Oluwadamilola Tayo</w:t>
      </w:r>
    </w:p>
    <w:p w14:paraId="1A0B2D2B" w14:textId="5D9BE0A0" w:rsidR="00074402" w:rsidRPr="00246CA9" w:rsidRDefault="00074402" w:rsidP="00CD33A8">
      <w:pPr>
        <w:tabs>
          <w:tab w:val="left" w:pos="6540"/>
        </w:tabs>
        <w:spacing w:line="360" w:lineRule="auto"/>
        <w:rPr>
          <w:rFonts w:ascii="Arial" w:hAnsi="Arial" w:cs="Arial"/>
          <w:sz w:val="28"/>
          <w:szCs w:val="28"/>
          <w:lang w:val="nl-NL"/>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4E2A951D" w14:textId="0B79F800" w:rsidR="00246CA9" w:rsidRPr="00246CA9" w:rsidRDefault="00246CA9" w:rsidP="00246CA9">
      <w:pPr>
        <w:spacing w:line="360" w:lineRule="auto"/>
        <w:rPr>
          <w:rFonts w:asciiTheme="minorBidi" w:hAnsiTheme="minorBidi"/>
          <w:sz w:val="22"/>
        </w:rPr>
      </w:pPr>
      <w:r w:rsidRPr="00246CA9">
        <w:rPr>
          <w:rFonts w:asciiTheme="minorBidi" w:hAnsiTheme="minorBidi"/>
          <w:sz w:val="22"/>
        </w:rPr>
        <w:t>1. Introduction ..................................................</w:t>
      </w:r>
      <w:r w:rsidR="004A2592">
        <w:rPr>
          <w:rFonts w:asciiTheme="minorBidi" w:hAnsiTheme="minorBidi"/>
          <w:sz w:val="22"/>
        </w:rPr>
        <w:t>.................</w:t>
      </w:r>
      <w:r w:rsidRPr="00246CA9">
        <w:rPr>
          <w:rFonts w:asciiTheme="minorBidi" w:hAnsiTheme="minorBidi"/>
          <w:sz w:val="22"/>
        </w:rPr>
        <w:t xml:space="preserve">Page 3 </w:t>
      </w:r>
    </w:p>
    <w:p w14:paraId="52A7638F" w14:textId="297F15F4" w:rsidR="00246CA9" w:rsidRPr="00246CA9" w:rsidRDefault="004A2592" w:rsidP="00246CA9">
      <w:pPr>
        <w:spacing w:line="360" w:lineRule="auto"/>
        <w:rPr>
          <w:rFonts w:asciiTheme="minorBidi" w:hAnsiTheme="minorBidi"/>
          <w:sz w:val="22"/>
        </w:rPr>
      </w:pPr>
      <w:r>
        <w:rPr>
          <w:rFonts w:asciiTheme="minorBidi" w:hAnsiTheme="minorBidi"/>
          <w:sz w:val="22"/>
        </w:rPr>
        <w:t>2. Importance of effective communication</w:t>
      </w:r>
      <w:r w:rsidR="00246CA9" w:rsidRPr="00246CA9">
        <w:rPr>
          <w:rFonts w:asciiTheme="minorBidi" w:hAnsiTheme="minorBidi"/>
          <w:sz w:val="22"/>
        </w:rPr>
        <w:t xml:space="preserve">.........................Page 3 - 4 </w:t>
      </w:r>
    </w:p>
    <w:p w14:paraId="7AA33F9C" w14:textId="6FF873CB" w:rsidR="00246CA9" w:rsidRPr="00246CA9" w:rsidRDefault="00246CA9" w:rsidP="00246CA9">
      <w:pPr>
        <w:spacing w:line="360" w:lineRule="auto"/>
        <w:rPr>
          <w:rFonts w:asciiTheme="minorBidi" w:hAnsiTheme="minorBidi"/>
          <w:sz w:val="22"/>
        </w:rPr>
      </w:pPr>
      <w:r w:rsidRPr="00246CA9">
        <w:rPr>
          <w:rFonts w:asciiTheme="minorBidi" w:hAnsiTheme="minorBidi"/>
          <w:sz w:val="22"/>
        </w:rPr>
        <w:t xml:space="preserve">3. </w:t>
      </w:r>
      <w:r w:rsidR="004A2592">
        <w:rPr>
          <w:rFonts w:asciiTheme="minorBidi" w:hAnsiTheme="minorBidi"/>
          <w:sz w:val="22"/>
        </w:rPr>
        <w:t xml:space="preserve"> Importance of good administrative skills</w:t>
      </w:r>
      <w:r w:rsidRPr="00246CA9">
        <w:rPr>
          <w:rFonts w:asciiTheme="minorBidi" w:hAnsiTheme="minorBidi"/>
          <w:sz w:val="22"/>
        </w:rPr>
        <w:t xml:space="preserve"> ......................Page 4 - 5 </w:t>
      </w:r>
    </w:p>
    <w:p w14:paraId="63CC3BA1" w14:textId="392C34F5" w:rsidR="00246CA9" w:rsidRPr="00246CA9" w:rsidRDefault="00246CA9" w:rsidP="00246CA9">
      <w:pPr>
        <w:spacing w:line="360" w:lineRule="auto"/>
        <w:rPr>
          <w:rFonts w:asciiTheme="minorBidi" w:hAnsiTheme="minorBidi"/>
          <w:sz w:val="22"/>
        </w:rPr>
      </w:pPr>
      <w:r w:rsidRPr="00246CA9">
        <w:rPr>
          <w:rFonts w:asciiTheme="minorBidi" w:hAnsiTheme="minorBidi"/>
          <w:sz w:val="22"/>
        </w:rPr>
        <w:t xml:space="preserve">4. </w:t>
      </w:r>
      <w:r w:rsidR="004A2592">
        <w:rPr>
          <w:rFonts w:asciiTheme="minorBidi" w:hAnsiTheme="minorBidi"/>
          <w:sz w:val="22"/>
        </w:rPr>
        <w:t>Importance of working collaboratively</w:t>
      </w:r>
      <w:r w:rsidRPr="00246CA9">
        <w:rPr>
          <w:rFonts w:asciiTheme="minorBidi" w:hAnsiTheme="minorBidi"/>
          <w:sz w:val="22"/>
        </w:rPr>
        <w:t xml:space="preserve"> ...........................Page 5 - 6 </w:t>
      </w:r>
    </w:p>
    <w:p w14:paraId="2D188859" w14:textId="49671848" w:rsidR="00246CA9" w:rsidRPr="00246CA9" w:rsidRDefault="00246CA9" w:rsidP="00246CA9">
      <w:pPr>
        <w:spacing w:line="360" w:lineRule="auto"/>
        <w:rPr>
          <w:rFonts w:asciiTheme="minorBidi" w:hAnsiTheme="minorBidi"/>
          <w:sz w:val="22"/>
        </w:rPr>
      </w:pPr>
      <w:r w:rsidRPr="00246CA9">
        <w:rPr>
          <w:rFonts w:asciiTheme="minorBidi" w:hAnsiTheme="minorBidi"/>
          <w:sz w:val="22"/>
        </w:rPr>
        <w:t>5. Conclusion ..................................................</w:t>
      </w:r>
      <w:r w:rsidR="004A2592">
        <w:rPr>
          <w:rFonts w:asciiTheme="minorBidi" w:hAnsiTheme="minorBidi"/>
          <w:sz w:val="22"/>
        </w:rPr>
        <w:t>..................</w:t>
      </w:r>
      <w:r w:rsidR="00853E3E">
        <w:rPr>
          <w:rFonts w:asciiTheme="minorBidi" w:hAnsiTheme="minorBidi"/>
          <w:sz w:val="22"/>
        </w:rPr>
        <w:t>.</w:t>
      </w:r>
      <w:r w:rsidRPr="00246CA9">
        <w:rPr>
          <w:rFonts w:asciiTheme="minorBidi" w:hAnsiTheme="minorBidi"/>
          <w:sz w:val="22"/>
        </w:rPr>
        <w:t>Page 7</w:t>
      </w:r>
    </w:p>
    <w:p w14:paraId="2E79F7ED" w14:textId="612BE0FA" w:rsidR="00B87E75" w:rsidRPr="00CD33A8" w:rsidRDefault="00246CA9" w:rsidP="00246CA9">
      <w:pPr>
        <w:spacing w:line="360" w:lineRule="auto"/>
        <w:rPr>
          <w:rFonts w:asciiTheme="minorBidi" w:hAnsiTheme="minorBidi"/>
          <w:sz w:val="22"/>
        </w:rPr>
      </w:pPr>
      <w:r w:rsidRPr="00246CA9">
        <w:rPr>
          <w:rFonts w:asciiTheme="minorBidi" w:hAnsiTheme="minorBidi"/>
          <w:sz w:val="22"/>
        </w:rPr>
        <w:t>6. References .................................................</w:t>
      </w:r>
      <w:r w:rsidR="004A2592">
        <w:rPr>
          <w:rFonts w:asciiTheme="minorBidi" w:hAnsiTheme="minorBidi"/>
          <w:sz w:val="22"/>
        </w:rPr>
        <w:t>...................</w:t>
      </w:r>
      <w:r w:rsidRPr="00246CA9">
        <w:rPr>
          <w:rFonts w:asciiTheme="minorBidi" w:hAnsiTheme="minorBidi"/>
          <w:sz w:val="22"/>
        </w:rPr>
        <w:t>Page 8</w:t>
      </w: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0B88A126" w14:textId="77777777" w:rsidR="00902F34" w:rsidRPr="00902F34" w:rsidRDefault="00902F34" w:rsidP="00902F34">
      <w:pPr>
        <w:pStyle w:val="NormalWeb"/>
        <w:spacing w:line="360" w:lineRule="auto"/>
        <w:rPr>
          <w:rFonts w:ascii="Arial" w:hAnsi="Arial" w:cs="Arial"/>
          <w:sz w:val="22"/>
          <w:szCs w:val="22"/>
        </w:rPr>
      </w:pPr>
      <w:r w:rsidRPr="00902F34">
        <w:rPr>
          <w:rFonts w:ascii="Arial" w:hAnsi="Arial" w:cs="Arial"/>
          <w:sz w:val="22"/>
          <w:szCs w:val="22"/>
        </w:rPr>
        <w:t>Effective communication, administrative skills, and collaborative working are fundamental components of health and social care, as they support the delivery of safe and person-centred services (NHS England, 2023). These elements help ensure that service users’ needs are understood, appropriate care is provided, and services are delivered efficiently and safely. They also contribute to building trust between patients and healthcare professionals, which is essential for effective care.</w:t>
      </w:r>
    </w:p>
    <w:p w14:paraId="139AE3C8" w14:textId="77777777" w:rsidR="00902F34" w:rsidRPr="00902F34" w:rsidRDefault="00902F34" w:rsidP="00902F34">
      <w:pPr>
        <w:pStyle w:val="NormalWeb"/>
        <w:spacing w:line="360" w:lineRule="auto"/>
        <w:rPr>
          <w:rFonts w:ascii="Arial" w:hAnsi="Arial" w:cs="Arial"/>
          <w:sz w:val="22"/>
          <w:szCs w:val="22"/>
        </w:rPr>
      </w:pPr>
      <w:r w:rsidRPr="00902F34">
        <w:rPr>
          <w:rFonts w:ascii="Arial" w:hAnsi="Arial" w:cs="Arial"/>
          <w:sz w:val="22"/>
          <w:szCs w:val="22"/>
        </w:rPr>
        <w:t>This assignment focuses on a case study of Mr Ahmed, who experiences communication barriers due to language differences. These barriers may limit his ability to understand medical information, express his needs, and fully engage with healthcare professionals. As a result, this may negatively affect the quality of care he receives and increase potential risks to his health and wellbeing.</w:t>
      </w:r>
    </w:p>
    <w:p w14:paraId="3821333E" w14:textId="77777777" w:rsidR="00902F34" w:rsidRPr="00902F34" w:rsidRDefault="00902F34" w:rsidP="00902F34">
      <w:pPr>
        <w:pStyle w:val="NormalWeb"/>
        <w:spacing w:line="360" w:lineRule="auto"/>
        <w:rPr>
          <w:rFonts w:ascii="Arial" w:hAnsi="Arial" w:cs="Arial"/>
          <w:sz w:val="22"/>
          <w:szCs w:val="22"/>
        </w:rPr>
      </w:pPr>
      <w:r w:rsidRPr="00902F34">
        <w:rPr>
          <w:rFonts w:ascii="Arial" w:hAnsi="Arial" w:cs="Arial"/>
          <w:sz w:val="22"/>
          <w:szCs w:val="22"/>
        </w:rPr>
        <w:t>The essay will critically explore how effective communication, accurate administrative processes, and collaborative working contribute to improving patient outcomes and maintaining high standards of care within health and social care settings.</w:t>
      </w:r>
    </w:p>
    <w:p w14:paraId="14BF3272" w14:textId="7240324D" w:rsidR="0026393A" w:rsidRDefault="0026393A" w:rsidP="008E3943">
      <w:pPr>
        <w:tabs>
          <w:tab w:val="left" w:pos="6540"/>
        </w:tabs>
        <w:spacing w:line="360" w:lineRule="auto"/>
        <w:rPr>
          <w:rFonts w:ascii="Arial" w:hAnsi="Arial" w:cs="Arial"/>
          <w:sz w:val="22"/>
        </w:rPr>
      </w:pP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7DB9512D" w14:textId="5599A0CF" w:rsidR="00902F34" w:rsidRPr="00C26797" w:rsidRDefault="00902F34" w:rsidP="00C26797">
      <w:pPr>
        <w:pStyle w:val="NormalWeb"/>
        <w:spacing w:line="360" w:lineRule="auto"/>
        <w:rPr>
          <w:rFonts w:ascii="Arial" w:hAnsi="Arial" w:cs="Arial"/>
          <w:sz w:val="22"/>
          <w:szCs w:val="22"/>
        </w:rPr>
      </w:pPr>
      <w:r w:rsidRPr="00C26797">
        <w:rPr>
          <w:rFonts w:ascii="Arial" w:hAnsi="Arial" w:cs="Arial"/>
          <w:sz w:val="22"/>
          <w:szCs w:val="22"/>
        </w:rPr>
        <w:t>Effective communication is essential in health and social care, as it ensures that service users receive safe, appropriate, and person-centred care. It enables healthcare professionals to understand patients’ needs, provide clear information, and support informed decision-making. Without effective communication, the quality and safety of care may be significantly reduced, which highlights its critical role in healthcare practice</w:t>
      </w:r>
      <w:r w:rsidRPr="00C26797">
        <w:rPr>
          <w:rFonts w:ascii="Arial" w:hAnsi="Arial" w:cs="Arial"/>
          <w:i/>
          <w:iCs/>
          <w:sz w:val="22"/>
          <w:szCs w:val="22"/>
        </w:rPr>
        <w:t>.</w:t>
      </w:r>
      <w:r w:rsidR="00C26797" w:rsidRPr="00C26797">
        <w:rPr>
          <w:rStyle w:val="Heading2Char"/>
          <w:rFonts w:cs="Arial"/>
          <w:i w:val="0"/>
          <w:iCs/>
          <w:sz w:val="22"/>
          <w:szCs w:val="22"/>
        </w:rPr>
        <w:t xml:space="preserve"> </w:t>
      </w:r>
      <w:r w:rsidR="00C26797" w:rsidRPr="00C26797">
        <w:rPr>
          <w:rStyle w:val="Emphasis"/>
          <w:rFonts w:ascii="Arial" w:hAnsi="Arial" w:cs="Arial"/>
          <w:i w:val="0"/>
          <w:iCs w:val="0"/>
          <w:sz w:val="22"/>
          <w:szCs w:val="22"/>
        </w:rPr>
        <w:t>This highlights that communication is not only important for information exchange but also for ensuring patient safety and effective care delivery</w:t>
      </w:r>
      <w:r w:rsidR="00C26797" w:rsidRPr="00C26797">
        <w:rPr>
          <w:rStyle w:val="Emphasis"/>
          <w:rFonts w:ascii="Arial" w:hAnsi="Arial" w:cs="Arial"/>
          <w:sz w:val="22"/>
          <w:szCs w:val="22"/>
        </w:rPr>
        <w:t>.</w:t>
      </w:r>
      <w:r w:rsidRPr="00C26797">
        <w:rPr>
          <w:rFonts w:ascii="Arial" w:hAnsi="Arial" w:cs="Arial"/>
          <w:sz w:val="22"/>
          <w:szCs w:val="22"/>
        </w:rPr>
        <w:t xml:space="preserve"> In addition, effective communication helps to build trust between patients and healthcare professionals, which is necessary for developing positive relationships and encouraging patient engagement in their own care.</w:t>
      </w:r>
    </w:p>
    <w:p w14:paraId="496C2568" w14:textId="77777777" w:rsidR="00902F34" w:rsidRPr="00C26797" w:rsidRDefault="00902F34" w:rsidP="00C26797">
      <w:pPr>
        <w:pStyle w:val="NormalWeb"/>
        <w:spacing w:line="360" w:lineRule="auto"/>
        <w:rPr>
          <w:rFonts w:ascii="Arial" w:hAnsi="Arial" w:cs="Arial"/>
          <w:sz w:val="22"/>
          <w:szCs w:val="22"/>
        </w:rPr>
      </w:pPr>
      <w:r w:rsidRPr="00C26797">
        <w:rPr>
          <w:rFonts w:ascii="Arial" w:hAnsi="Arial" w:cs="Arial"/>
          <w:sz w:val="22"/>
          <w:szCs w:val="22"/>
        </w:rPr>
        <w:t xml:space="preserve">The Shannon and Weaver model explains communication as a process involving a sender, message, and receiver, where barriers such as language, noise, or misunderstanding can </w:t>
      </w:r>
      <w:r w:rsidRPr="00C26797">
        <w:rPr>
          <w:rFonts w:ascii="Arial" w:hAnsi="Arial" w:cs="Arial"/>
          <w:sz w:val="22"/>
          <w:szCs w:val="22"/>
        </w:rPr>
        <w:lastRenderedPageBreak/>
        <w:t>disrupt the transmission of information. In health and social care settings, these barriers may prevent accurate communication between professionals and patients. For example, if a patient does not fully understand the information provided, the intended message may be distorted, leading to confusion or incorrect interpretation. According to NHS England (2023), communication failures are a leading cause of patient safety incidents, which demonstrates the importance of effective information exchange. In addition, the Care Act 2014 emphasises the need for clear communication to ensure that individuals’ needs are properly assessed and met, further highlighting the legal importance of effective communication.</w:t>
      </w:r>
    </w:p>
    <w:p w14:paraId="54E3DC93" w14:textId="77777777" w:rsidR="00902F34" w:rsidRPr="00C26797" w:rsidRDefault="00902F34" w:rsidP="00C26797">
      <w:pPr>
        <w:pStyle w:val="NormalWeb"/>
        <w:spacing w:line="360" w:lineRule="auto"/>
        <w:rPr>
          <w:rFonts w:ascii="Arial" w:hAnsi="Arial" w:cs="Arial"/>
          <w:sz w:val="22"/>
          <w:szCs w:val="22"/>
        </w:rPr>
      </w:pPr>
      <w:r w:rsidRPr="00C26797">
        <w:rPr>
          <w:rFonts w:ascii="Arial" w:hAnsi="Arial" w:cs="Arial"/>
          <w:sz w:val="22"/>
          <w:szCs w:val="22"/>
        </w:rPr>
        <w:t>This demonstrates that ineffective communication can have serious consequences for patient safety and wellbeing. When important information is not clearly understood, it may result in incorrect treatment, missed medication, or delays in care. Consequently, this can reduce patient trust and increase anxiety, particularly for individuals who already face additional challenges such as language barriers. Poor communication may also lead to a lack of patient involvement in decision-making, which can negatively affect their overall experience of care. Therefore, improving communication is essential to reduce risks and enhance the quality of care provided.</w:t>
      </w:r>
    </w:p>
    <w:p w14:paraId="4491CC6B" w14:textId="77777777" w:rsidR="00902F34" w:rsidRPr="00C26797" w:rsidRDefault="00902F34" w:rsidP="00C26797">
      <w:pPr>
        <w:pStyle w:val="NormalWeb"/>
        <w:spacing w:line="360" w:lineRule="auto"/>
        <w:rPr>
          <w:rFonts w:ascii="Arial" w:hAnsi="Arial" w:cs="Arial"/>
          <w:sz w:val="22"/>
          <w:szCs w:val="22"/>
        </w:rPr>
      </w:pPr>
      <w:r w:rsidRPr="00C26797">
        <w:rPr>
          <w:rFonts w:ascii="Arial" w:hAnsi="Arial" w:cs="Arial"/>
          <w:sz w:val="22"/>
          <w:szCs w:val="22"/>
        </w:rPr>
        <w:t>In Mr Ahmed’s case, communication is especially important due to his limited English skills. Language differences may prevent him from fully understanding medical advice, expressing his symptoms clearly, or asking important questions about his treatment. This increases the risk of misunderstanding and inappropriate care. For example, if he is unable to explain his symptoms accurately, healthcare professionals may make incorrect clinical decisions. Therefore, healthcare professionals must use appropriate strategies, such as interpreters, visual aids, or simplified language, to ensure effective communication. This will help improve understanding, reduce risks, and support better patient outcomes.</w:t>
      </w: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32A7A77A" w14:textId="77777777" w:rsidR="00C26797" w:rsidRPr="00C26797" w:rsidRDefault="00C26797" w:rsidP="00C26797">
      <w:pPr>
        <w:pStyle w:val="NormalWeb"/>
        <w:spacing w:line="360" w:lineRule="auto"/>
        <w:rPr>
          <w:rFonts w:ascii="Arial" w:hAnsi="Arial" w:cs="Arial"/>
          <w:sz w:val="22"/>
          <w:szCs w:val="22"/>
        </w:rPr>
      </w:pPr>
      <w:r w:rsidRPr="00C26797">
        <w:rPr>
          <w:rFonts w:ascii="Arial" w:hAnsi="Arial" w:cs="Arial"/>
          <w:sz w:val="22"/>
          <w:szCs w:val="22"/>
        </w:rPr>
        <w:t xml:space="preserve">Administrative skills play a vital role in health and social care, as they support the accurate organisation, documentation, and delivery of services. These skills ensure that patient information is recorded correctly, appointments are managed efficiently, and care is coordinated between different professionals. As a result, effective administration supports </w:t>
      </w:r>
      <w:r w:rsidRPr="00C26797">
        <w:rPr>
          <w:rFonts w:ascii="Arial" w:hAnsi="Arial" w:cs="Arial"/>
          <w:sz w:val="22"/>
          <w:szCs w:val="22"/>
        </w:rPr>
        <w:lastRenderedPageBreak/>
        <w:t>continuity of care and contributes to safe and informed decision-making within healthcare settings. In addition, strong administrative processes help to reduce errors and ensure that healthcare services operate in a structured and organised way.</w:t>
      </w:r>
    </w:p>
    <w:p w14:paraId="64D0CD75" w14:textId="77777777" w:rsidR="00C26797" w:rsidRPr="00C26797" w:rsidRDefault="00C26797" w:rsidP="00C26797">
      <w:pPr>
        <w:pStyle w:val="NormalWeb"/>
        <w:spacing w:line="360" w:lineRule="auto"/>
        <w:rPr>
          <w:rFonts w:ascii="Arial" w:hAnsi="Arial" w:cs="Arial"/>
          <w:sz w:val="22"/>
          <w:szCs w:val="22"/>
        </w:rPr>
      </w:pPr>
      <w:r w:rsidRPr="00C26797">
        <w:rPr>
          <w:rFonts w:ascii="Arial" w:hAnsi="Arial" w:cs="Arial"/>
          <w:sz w:val="22"/>
          <w:szCs w:val="22"/>
        </w:rPr>
        <w:t>The importance of administrative skills is reinforced by the Data Protection Act 2018, which requires that personal information is stored securely and handled appropriately. In health and social care, maintaining accurate and confidential records is essential to protect patient privacy and ensure that relevant information is available when needed. NHS England (2023) also highlights that effective record-keeping and information management are critical for delivering safe and high-quality care, which demonstrates the direct link between administration and patient safety. This also shows that administrative skills are not only organisational but are directly connected to the protection and wellbeing of patients.</w:t>
      </w:r>
    </w:p>
    <w:p w14:paraId="3966EF0D" w14:textId="77777777" w:rsidR="00C26797" w:rsidRPr="00C26797" w:rsidRDefault="00C26797" w:rsidP="00C26797">
      <w:pPr>
        <w:pStyle w:val="NormalWeb"/>
        <w:spacing w:line="360" w:lineRule="auto"/>
        <w:rPr>
          <w:rFonts w:ascii="Arial" w:hAnsi="Arial" w:cs="Arial"/>
          <w:sz w:val="22"/>
          <w:szCs w:val="22"/>
        </w:rPr>
      </w:pPr>
      <w:r w:rsidRPr="00C26797">
        <w:rPr>
          <w:rFonts w:ascii="Arial" w:hAnsi="Arial" w:cs="Arial"/>
          <w:sz w:val="22"/>
          <w:szCs w:val="22"/>
        </w:rPr>
        <w:t>This suggests that poor administrative practices can lead to serious consequences. Inaccurate or incomplete records may result in incorrect treatment, delays in care, or duplication of services. For example, missing information about allergies, medication, or communication needs can place patients at significant risk of harm. Furthermore, failure to protect sensitive information may lead to breaches of confidentiality, which can reduce trust in healthcare services and cause emotional distress. Poor organisation of appointments and records may also lead to missed visits or confusion between professionals, further affecting the quality of care provided.</w:t>
      </w:r>
    </w:p>
    <w:p w14:paraId="3CED8EA1" w14:textId="77777777" w:rsidR="00C26797" w:rsidRPr="00C26797" w:rsidRDefault="00C26797" w:rsidP="00C26797">
      <w:pPr>
        <w:pStyle w:val="NormalWeb"/>
        <w:spacing w:line="360" w:lineRule="auto"/>
        <w:rPr>
          <w:rFonts w:ascii="Arial" w:hAnsi="Arial" w:cs="Arial"/>
          <w:sz w:val="22"/>
          <w:szCs w:val="22"/>
        </w:rPr>
      </w:pPr>
      <w:r w:rsidRPr="00C26797">
        <w:rPr>
          <w:rFonts w:ascii="Arial" w:hAnsi="Arial" w:cs="Arial"/>
          <w:sz w:val="22"/>
          <w:szCs w:val="22"/>
        </w:rPr>
        <w:t>In Mr Ahmed’s case, administrative skills are particularly important due to his communication needs. If his language barrier is not properly documented, healthcare professionals may not recognise the need for additional support, such as interpreters. Consequently, this may result in misunderstandings, inaccurate information being recorded, and inappropriate care being provided. For example, if important details about his condition are not updated, different professionals may make decisions based on incorrect information. Therefore, accurate record-keeping and effective administrative processes are essential to ensure that Mr Ahmed receives safe, appropriate, and person-centred care, while also reducing risks and improving overall care outcomes.</w:t>
      </w: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lastRenderedPageBreak/>
        <w:t>4</w:t>
      </w:r>
      <w:r w:rsidR="00B87E75" w:rsidRPr="00CD33A8">
        <w:t xml:space="preserve">. </w:t>
      </w:r>
      <w:r w:rsidR="008E3943">
        <w:t>I</w:t>
      </w:r>
      <w:r w:rsidR="008E3943" w:rsidRPr="008E3943">
        <w:t>mportance of working collaboratively</w:t>
      </w:r>
    </w:p>
    <w:p w14:paraId="2DABF5E0" w14:textId="77777777"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 xml:space="preserve">Collaborative working plays a vital role in health and social care, as it involves professionals from different disciplines working together to provide coordinated and effective care. This approach ensures that all aspects of a patient’s needs are addressed, leading to improved outcomes and a higher quality of care. By working collaboratively, healthcare professionals </w:t>
      </w:r>
      <w:proofErr w:type="gramStart"/>
      <w:r w:rsidRPr="00E31B60">
        <w:rPr>
          <w:rFonts w:ascii="Arial" w:hAnsi="Arial" w:cs="Arial"/>
          <w:sz w:val="22"/>
          <w:szCs w:val="22"/>
        </w:rPr>
        <w:t>are able to</w:t>
      </w:r>
      <w:proofErr w:type="gramEnd"/>
      <w:r w:rsidRPr="00E31B60">
        <w:rPr>
          <w:rFonts w:ascii="Arial" w:hAnsi="Arial" w:cs="Arial"/>
          <w:sz w:val="22"/>
          <w:szCs w:val="22"/>
        </w:rPr>
        <w:t xml:space="preserve"> share information, skills, and responsibilities, which is particularly important in complex cases where multiple needs must be managed simultaneously. In addition, collaborative working supports a holistic approach to care, where physical, emotional, and social needs are considered together.</w:t>
      </w:r>
    </w:p>
    <w:p w14:paraId="39044BD9" w14:textId="77777777"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The importance of collaborative working is reinforced by the Care Act 2014, which promotes partnership between health and social care services to meet individual needs effectively. In addition, Skills for Care (2021) highlights that teamwork and communication between professionals are key factors in delivering safe and person-centred care. The World Health Organization (2022) also reports that poor communication and lack of teamwork are among the leading causes of patient safety issues, which demonstrates the critical role of effective collaboration in reducing risks. This highlights that strong collaboration is essential not only for improving care quality but also for protecting patient safety.</w:t>
      </w:r>
    </w:p>
    <w:p w14:paraId="74DE8385" w14:textId="4A14781D"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This suggests that a lack of collaborative working can lead to serious consequences for patient safety and quality of care. When professionals fail to communicate or share important information, it may result in gaps in care, duplication of tasks, or delays in treatment. Consequently, this can increase the risk of errors and negatively affect patient outcomes. This also highlights that effective collaboration supports clear role distribution and accountability among professionals, ensuring that each member of the team understands their responsibilities and contributes to safe care delivery.</w:t>
      </w:r>
      <w:r w:rsidRPr="00E31B60">
        <w:rPr>
          <w:rFonts w:ascii="Arial" w:hAnsi="Arial" w:cs="Arial"/>
          <w:sz w:val="22"/>
          <w:szCs w:val="22"/>
        </w:rPr>
        <w:t xml:space="preserve"> </w:t>
      </w:r>
      <w:r w:rsidRPr="00E31B60">
        <w:rPr>
          <w:rFonts w:ascii="Arial" w:hAnsi="Arial" w:cs="Arial"/>
          <w:sz w:val="22"/>
          <w:szCs w:val="22"/>
        </w:rPr>
        <w:t>Furthermore, poor teamwork may lead to staff confusion, increased stress, and a higher likelihood of mistakes, particularly in complex care situations. In some cases, lack of coordination may also result in inconsistent care plans, which can further compromise patient wellbeing.</w:t>
      </w:r>
    </w:p>
    <w:p w14:paraId="17686E4B" w14:textId="77777777"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 xml:space="preserve">In Mr Ahmed’s case, collaborative working is especially important due to his communication barriers and health needs. Different professionals, including doctors, nurses, and support workers, must work together to ensure that his needs are fully understood and appropriately addressed. For example, an interpreter may be required to support communication, while accurate and up-to-date information must be shared between team members. If professionals do not communicate effectively, there is a risk that important details about his </w:t>
      </w:r>
      <w:r w:rsidRPr="00E31B60">
        <w:rPr>
          <w:rFonts w:ascii="Arial" w:hAnsi="Arial" w:cs="Arial"/>
          <w:sz w:val="22"/>
          <w:szCs w:val="22"/>
        </w:rPr>
        <w:lastRenderedPageBreak/>
        <w:t>condition may be misunderstood or overlooked. Therefore, strong teamwork and effective communication between professionals are essential to improve care coordination, reduce risks, and ensure that Mr Ahmed receives safe and person-centred care.</w:t>
      </w:r>
    </w:p>
    <w:p w14:paraId="682D1769" w14:textId="77777777" w:rsidR="003E4ECF" w:rsidRDefault="003E4ECF" w:rsidP="00E31B60">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4666A590" w14:textId="77777777" w:rsidR="00E31B60" w:rsidRPr="00E31B60" w:rsidRDefault="00E31B60" w:rsidP="00E31B60">
      <w:pPr>
        <w:pStyle w:val="NormalWeb"/>
        <w:spacing w:line="360" w:lineRule="auto"/>
        <w:rPr>
          <w:rFonts w:ascii="Arial" w:hAnsi="Arial" w:cs="Arial"/>
          <w:sz w:val="22"/>
          <w:szCs w:val="22"/>
        </w:rPr>
      </w:pPr>
      <w:r>
        <w:rPr>
          <w:rFonts w:asciiTheme="minorBidi" w:hAnsiTheme="minorBidi"/>
          <w:sz w:val="22"/>
        </w:rPr>
        <w:t xml:space="preserve"> </w:t>
      </w:r>
      <w:r w:rsidRPr="00E31B60">
        <w:rPr>
          <w:rFonts w:ascii="Arial" w:hAnsi="Arial" w:cs="Arial"/>
          <w:sz w:val="22"/>
          <w:szCs w:val="22"/>
        </w:rPr>
        <w:t>In conclusion, effective communication, strong administrative skills, and collaborative working are fundamental in delivering safe and high-quality care within health and social care settings. These elements support the accurate exchange of information, efficient organisation of services, and effective coordination between professionals.</w:t>
      </w:r>
    </w:p>
    <w:p w14:paraId="6AEA62D2" w14:textId="77777777"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The discussion has demonstrated that poor communication, ineffective administrative practices, and a lack of collaboration can lead to serious consequences, including misunderstandings, delays in treatment, and increased risks to patient safety. This highlights the need for healthcare professionals to maintain high standards in all aspects of care to ensure positive outcomes.</w:t>
      </w:r>
    </w:p>
    <w:p w14:paraId="3CDE0681" w14:textId="77777777"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In Mr Ahmed’s case, these skills are particularly important due to his communication barriers. Without appropriate support, such as clear communication strategies, accurate record-keeping, and effective teamwork, there is a significant risk of inappropriate care. Therefore, healthcare professionals must work collaboratively to ensure that his needs are fully understood and that he receives safe, person-centred, and effective care.</w:t>
      </w:r>
    </w:p>
    <w:p w14:paraId="2CAC5237" w14:textId="77777777" w:rsidR="00E31B60" w:rsidRPr="00E31B60" w:rsidRDefault="00E31B60" w:rsidP="00E31B60">
      <w:pPr>
        <w:pStyle w:val="NormalWeb"/>
        <w:spacing w:line="360" w:lineRule="auto"/>
        <w:rPr>
          <w:rFonts w:ascii="Arial" w:hAnsi="Arial" w:cs="Arial"/>
          <w:sz w:val="22"/>
          <w:szCs w:val="22"/>
        </w:rPr>
      </w:pPr>
      <w:r w:rsidRPr="00E31B60">
        <w:rPr>
          <w:rFonts w:ascii="Arial" w:hAnsi="Arial" w:cs="Arial"/>
          <w:sz w:val="22"/>
          <w:szCs w:val="22"/>
        </w:rPr>
        <w:t>Overall, maintaining high standards of communication, administration, and collaboration is essential to ensure safe practice and continuous improvement within health and social care services.</w:t>
      </w:r>
    </w:p>
    <w:p w14:paraId="6DBC958B" w14:textId="69DAC92A" w:rsidR="00CD33A8" w:rsidRPr="00CD33A8" w:rsidRDefault="00CD33A8" w:rsidP="008E3943">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33F8F0BD" w14:textId="7A463969" w:rsidR="00B87E75" w:rsidRDefault="004A2592" w:rsidP="00E31B60">
      <w:pPr>
        <w:pStyle w:val="Heading1"/>
      </w:pPr>
      <w:r>
        <w:lastRenderedPageBreak/>
        <w:t>References</w:t>
      </w:r>
    </w:p>
    <w:p w14:paraId="42FE8A16"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Care Act 2014 (2014) </w:t>
      </w:r>
      <w:r w:rsidRPr="004A2592">
        <w:rPr>
          <w:rStyle w:val="Emphasis"/>
          <w:rFonts w:ascii="Arial" w:hAnsi="Arial" w:cs="Arial"/>
          <w:sz w:val="22"/>
          <w:szCs w:val="22"/>
        </w:rPr>
        <w:t>Care Act 2014</w:t>
      </w:r>
      <w:r w:rsidRPr="004A2592">
        <w:rPr>
          <w:rFonts w:ascii="Arial" w:hAnsi="Arial" w:cs="Arial"/>
          <w:sz w:val="22"/>
          <w:szCs w:val="22"/>
        </w:rPr>
        <w:t xml:space="preserve">. Available at: </w:t>
      </w:r>
      <w:hyperlink r:id="rId9" w:tgtFrame="_new" w:history="1">
        <w:r w:rsidRPr="004A2592">
          <w:rPr>
            <w:rStyle w:val="Hyperlink"/>
            <w:rFonts w:ascii="Arial" w:hAnsi="Arial" w:cs="Arial"/>
            <w:sz w:val="22"/>
            <w:szCs w:val="22"/>
          </w:rPr>
          <w:t>https://www.legislation.gov.uk/ukpga/2014/23/contents</w:t>
        </w:r>
      </w:hyperlink>
      <w:r w:rsidRPr="004A2592">
        <w:rPr>
          <w:rFonts w:ascii="Arial" w:hAnsi="Arial" w:cs="Arial"/>
          <w:sz w:val="22"/>
          <w:szCs w:val="22"/>
        </w:rPr>
        <w:t xml:space="preserve"> (Accessed: 18 April 2026).</w:t>
      </w:r>
    </w:p>
    <w:p w14:paraId="3A043BEB"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Data Protection Act 2018 (2018) </w:t>
      </w:r>
      <w:r w:rsidRPr="004A2592">
        <w:rPr>
          <w:rStyle w:val="Emphasis"/>
          <w:rFonts w:ascii="Arial" w:hAnsi="Arial" w:cs="Arial"/>
          <w:sz w:val="22"/>
          <w:szCs w:val="22"/>
        </w:rPr>
        <w:t>Data Protection Act 2018</w:t>
      </w:r>
      <w:r w:rsidRPr="004A2592">
        <w:rPr>
          <w:rFonts w:ascii="Arial" w:hAnsi="Arial" w:cs="Arial"/>
          <w:sz w:val="22"/>
          <w:szCs w:val="22"/>
        </w:rPr>
        <w:t xml:space="preserve">. Available at: </w:t>
      </w:r>
      <w:hyperlink r:id="rId10" w:tgtFrame="_new" w:history="1">
        <w:r w:rsidRPr="004A2592">
          <w:rPr>
            <w:rStyle w:val="Hyperlink"/>
            <w:rFonts w:ascii="Arial" w:hAnsi="Arial" w:cs="Arial"/>
            <w:sz w:val="22"/>
            <w:szCs w:val="22"/>
          </w:rPr>
          <w:t>https://www.legislation.gov.uk/ukpga/2018/12/contents</w:t>
        </w:r>
      </w:hyperlink>
      <w:r w:rsidRPr="004A2592">
        <w:rPr>
          <w:rFonts w:ascii="Arial" w:hAnsi="Arial" w:cs="Arial"/>
          <w:sz w:val="22"/>
          <w:szCs w:val="22"/>
        </w:rPr>
        <w:t xml:space="preserve"> (Accessed: 18 April 2026).</w:t>
      </w:r>
    </w:p>
    <w:p w14:paraId="4F7B7C9D"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Equality Act 2010 (2010) </w:t>
      </w:r>
      <w:r w:rsidRPr="004A2592">
        <w:rPr>
          <w:rStyle w:val="Emphasis"/>
          <w:rFonts w:ascii="Arial" w:hAnsi="Arial" w:cs="Arial"/>
          <w:sz w:val="22"/>
          <w:szCs w:val="22"/>
        </w:rPr>
        <w:t>Equality Act 2010</w:t>
      </w:r>
      <w:r w:rsidRPr="004A2592">
        <w:rPr>
          <w:rFonts w:ascii="Arial" w:hAnsi="Arial" w:cs="Arial"/>
          <w:sz w:val="22"/>
          <w:szCs w:val="22"/>
        </w:rPr>
        <w:t xml:space="preserve">. Available at: </w:t>
      </w:r>
      <w:hyperlink r:id="rId11" w:tgtFrame="_new" w:history="1">
        <w:r w:rsidRPr="004A2592">
          <w:rPr>
            <w:rStyle w:val="Hyperlink"/>
            <w:rFonts w:ascii="Arial" w:hAnsi="Arial" w:cs="Arial"/>
            <w:sz w:val="22"/>
            <w:szCs w:val="22"/>
          </w:rPr>
          <w:t>https://www.legislation.gov.uk/ukpga/2010/15/contents</w:t>
        </w:r>
      </w:hyperlink>
      <w:r w:rsidRPr="004A2592">
        <w:rPr>
          <w:rFonts w:ascii="Arial" w:hAnsi="Arial" w:cs="Arial"/>
          <w:sz w:val="22"/>
          <w:szCs w:val="22"/>
        </w:rPr>
        <w:t xml:space="preserve"> (Accessed: 18 April 2026).</w:t>
      </w:r>
    </w:p>
    <w:p w14:paraId="4F686F7F"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Morrison, D. et al. (2020) </w:t>
      </w:r>
      <w:r w:rsidRPr="004A2592">
        <w:rPr>
          <w:rStyle w:val="Emphasis"/>
          <w:rFonts w:ascii="Arial" w:hAnsi="Arial" w:cs="Arial"/>
          <w:sz w:val="22"/>
          <w:szCs w:val="22"/>
        </w:rPr>
        <w:t>Effective communication in health and social care</w:t>
      </w:r>
      <w:r w:rsidRPr="004A2592">
        <w:rPr>
          <w:rFonts w:ascii="Arial" w:hAnsi="Arial" w:cs="Arial"/>
          <w:sz w:val="22"/>
          <w:szCs w:val="22"/>
        </w:rPr>
        <w:t xml:space="preserve">. Available at: </w:t>
      </w:r>
      <w:hyperlink r:id="rId12" w:tgtFrame="_new" w:history="1">
        <w:r w:rsidRPr="004A2592">
          <w:rPr>
            <w:rStyle w:val="Hyperlink"/>
            <w:rFonts w:ascii="Arial" w:hAnsi="Arial" w:cs="Arial"/>
            <w:sz w:val="22"/>
            <w:szCs w:val="22"/>
          </w:rPr>
          <w:t>https://www.sciencedirect.com/science/article/pii/S1877042820301234</w:t>
        </w:r>
      </w:hyperlink>
      <w:r w:rsidRPr="004A2592">
        <w:rPr>
          <w:rFonts w:ascii="Arial" w:hAnsi="Arial" w:cs="Arial"/>
          <w:sz w:val="22"/>
          <w:szCs w:val="22"/>
        </w:rPr>
        <w:t xml:space="preserve"> (Accessed: 18 April 2026).</w:t>
      </w:r>
    </w:p>
    <w:p w14:paraId="748A3A84"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NHS England (2023) </w:t>
      </w:r>
      <w:r w:rsidRPr="004A2592">
        <w:rPr>
          <w:rStyle w:val="Emphasis"/>
          <w:rFonts w:ascii="Arial" w:hAnsi="Arial" w:cs="Arial"/>
          <w:sz w:val="22"/>
          <w:szCs w:val="22"/>
        </w:rPr>
        <w:t>Communication with patients</w:t>
      </w:r>
      <w:r w:rsidRPr="004A2592">
        <w:rPr>
          <w:rFonts w:ascii="Arial" w:hAnsi="Arial" w:cs="Arial"/>
          <w:sz w:val="22"/>
          <w:szCs w:val="22"/>
        </w:rPr>
        <w:t xml:space="preserve">. Available at: </w:t>
      </w:r>
      <w:hyperlink r:id="rId13" w:tgtFrame="_new" w:history="1">
        <w:r w:rsidRPr="004A2592">
          <w:rPr>
            <w:rStyle w:val="Hyperlink"/>
            <w:rFonts w:ascii="Arial" w:hAnsi="Arial" w:cs="Arial"/>
            <w:sz w:val="22"/>
            <w:szCs w:val="22"/>
          </w:rPr>
          <w:t>https://www.england.nhs.uk/ourwork/clinical-policy/patient-safety/</w:t>
        </w:r>
      </w:hyperlink>
      <w:r w:rsidRPr="004A2592">
        <w:rPr>
          <w:rFonts w:ascii="Arial" w:hAnsi="Arial" w:cs="Arial"/>
          <w:sz w:val="22"/>
          <w:szCs w:val="22"/>
        </w:rPr>
        <w:t xml:space="preserve"> (Accessed: 18 April 2026).</w:t>
      </w:r>
    </w:p>
    <w:p w14:paraId="75F3E2EB"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Skills for Care (2021) </w:t>
      </w:r>
      <w:r w:rsidRPr="004A2592">
        <w:rPr>
          <w:rStyle w:val="Emphasis"/>
          <w:rFonts w:ascii="Arial" w:hAnsi="Arial" w:cs="Arial"/>
          <w:sz w:val="22"/>
          <w:szCs w:val="22"/>
        </w:rPr>
        <w:t>Partnership working in adult social care</w:t>
      </w:r>
      <w:r w:rsidRPr="004A2592">
        <w:rPr>
          <w:rFonts w:ascii="Arial" w:hAnsi="Arial" w:cs="Arial"/>
          <w:sz w:val="22"/>
          <w:szCs w:val="22"/>
        </w:rPr>
        <w:t xml:space="preserve">. Available at: </w:t>
      </w:r>
      <w:hyperlink r:id="rId14" w:tgtFrame="_new" w:history="1">
        <w:r w:rsidRPr="004A2592">
          <w:rPr>
            <w:rStyle w:val="Hyperlink"/>
            <w:rFonts w:ascii="Arial" w:hAnsi="Arial" w:cs="Arial"/>
            <w:sz w:val="22"/>
            <w:szCs w:val="22"/>
          </w:rPr>
          <w:t>https://www.skillsforcare.org.uk/adult-social-care-workforce-data/partnership-working.aspx</w:t>
        </w:r>
      </w:hyperlink>
      <w:r w:rsidRPr="004A2592">
        <w:rPr>
          <w:rFonts w:ascii="Arial" w:hAnsi="Arial" w:cs="Arial"/>
          <w:sz w:val="22"/>
          <w:szCs w:val="22"/>
        </w:rPr>
        <w:t xml:space="preserve"> (Accessed: 18 April 2026).</w:t>
      </w:r>
    </w:p>
    <w:p w14:paraId="28555313" w14:textId="77777777" w:rsidR="004A2592" w:rsidRPr="004A2592" w:rsidRDefault="004A2592" w:rsidP="004A2592">
      <w:pPr>
        <w:pStyle w:val="NormalWeb"/>
        <w:spacing w:line="360" w:lineRule="auto"/>
        <w:rPr>
          <w:rFonts w:ascii="Arial" w:hAnsi="Arial" w:cs="Arial"/>
          <w:sz w:val="22"/>
          <w:szCs w:val="22"/>
        </w:rPr>
      </w:pPr>
      <w:r w:rsidRPr="004A2592">
        <w:rPr>
          <w:rFonts w:ascii="Arial" w:hAnsi="Arial" w:cs="Arial"/>
          <w:sz w:val="22"/>
          <w:szCs w:val="22"/>
        </w:rPr>
        <w:t xml:space="preserve">World Health Organization (2022) </w:t>
      </w:r>
      <w:r w:rsidRPr="004A2592">
        <w:rPr>
          <w:rStyle w:val="Emphasis"/>
          <w:rFonts w:ascii="Arial" w:hAnsi="Arial" w:cs="Arial"/>
          <w:sz w:val="22"/>
          <w:szCs w:val="22"/>
        </w:rPr>
        <w:t>Patient safety: improving communication in healthcare</w:t>
      </w:r>
      <w:r w:rsidRPr="004A2592">
        <w:rPr>
          <w:rFonts w:ascii="Arial" w:hAnsi="Arial" w:cs="Arial"/>
          <w:sz w:val="22"/>
          <w:szCs w:val="22"/>
        </w:rPr>
        <w:t xml:space="preserve">. Available at: </w:t>
      </w:r>
      <w:hyperlink r:id="rId15" w:tgtFrame="_new" w:history="1">
        <w:r w:rsidRPr="004A2592">
          <w:rPr>
            <w:rStyle w:val="Hyperlink"/>
            <w:rFonts w:ascii="Arial" w:hAnsi="Arial" w:cs="Arial"/>
            <w:sz w:val="22"/>
            <w:szCs w:val="22"/>
          </w:rPr>
          <w:t>https://www.who.int/news-room/fact-sheets/detail/patient-safety</w:t>
        </w:r>
      </w:hyperlink>
      <w:r w:rsidRPr="004A2592">
        <w:rPr>
          <w:rFonts w:ascii="Arial" w:hAnsi="Arial" w:cs="Arial"/>
          <w:sz w:val="22"/>
          <w:szCs w:val="22"/>
        </w:rPr>
        <w:t xml:space="preserve"> (Accessed: 22 April 2026).</w:t>
      </w:r>
    </w:p>
    <w:p w14:paraId="1776A2D8" w14:textId="77777777" w:rsidR="004A2592" w:rsidRPr="004A2592" w:rsidRDefault="004A2592" w:rsidP="004A2592"/>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36954" w14:textId="77777777" w:rsidR="00A754A3" w:rsidRDefault="00A754A3" w:rsidP="003E4ECF">
      <w:pPr>
        <w:spacing w:after="0" w:line="240" w:lineRule="auto"/>
      </w:pPr>
      <w:r>
        <w:separator/>
      </w:r>
    </w:p>
  </w:endnote>
  <w:endnote w:type="continuationSeparator" w:id="0">
    <w:p w14:paraId="656F3BAE" w14:textId="77777777" w:rsidR="00A754A3" w:rsidRDefault="00A754A3"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80BB0" w14:textId="77777777" w:rsidR="00A754A3" w:rsidRDefault="00A754A3" w:rsidP="003E4ECF">
      <w:pPr>
        <w:spacing w:after="0" w:line="240" w:lineRule="auto"/>
      </w:pPr>
      <w:r>
        <w:separator/>
      </w:r>
    </w:p>
  </w:footnote>
  <w:footnote w:type="continuationSeparator" w:id="0">
    <w:p w14:paraId="10FD68B7" w14:textId="77777777" w:rsidR="00A754A3" w:rsidRDefault="00A754A3"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94063"/>
    <w:rsid w:val="001D7C03"/>
    <w:rsid w:val="00216C85"/>
    <w:rsid w:val="00246CA9"/>
    <w:rsid w:val="0026393A"/>
    <w:rsid w:val="00273EDD"/>
    <w:rsid w:val="002C3965"/>
    <w:rsid w:val="00321C4C"/>
    <w:rsid w:val="00392BBC"/>
    <w:rsid w:val="003E4ECF"/>
    <w:rsid w:val="004A2592"/>
    <w:rsid w:val="004A736E"/>
    <w:rsid w:val="006925AA"/>
    <w:rsid w:val="00717BAA"/>
    <w:rsid w:val="00725177"/>
    <w:rsid w:val="007A1B8D"/>
    <w:rsid w:val="00814A9E"/>
    <w:rsid w:val="00853E3E"/>
    <w:rsid w:val="008E3943"/>
    <w:rsid w:val="0090040D"/>
    <w:rsid w:val="00902F34"/>
    <w:rsid w:val="009D052C"/>
    <w:rsid w:val="009D1D1E"/>
    <w:rsid w:val="00A035FD"/>
    <w:rsid w:val="00A754A3"/>
    <w:rsid w:val="00AD23A0"/>
    <w:rsid w:val="00B87E75"/>
    <w:rsid w:val="00C26797"/>
    <w:rsid w:val="00CD33A8"/>
    <w:rsid w:val="00D76E5A"/>
    <w:rsid w:val="00E31B60"/>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246CA9"/>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C26797"/>
    <w:rPr>
      <w:i/>
      <w:iCs/>
    </w:rPr>
  </w:style>
  <w:style w:type="character" w:styleId="Hyperlink">
    <w:name w:val="Hyperlink"/>
    <w:basedOn w:val="DefaultParagraphFont"/>
    <w:uiPriority w:val="99"/>
    <w:semiHidden/>
    <w:unhideWhenUsed/>
    <w:rsid w:val="004A259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ourwork/clinical-policy/patient-safet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science/article/pii/S187704282030123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hyperlink" Target="https://www.who.int/news-room/fact-sheets/detail/patient-safety" TargetMode="Externa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hyperlink" Target="https://www.skillsforcare.org.uk/adult-social-care-workforce-data/partnership-working.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0D16F-EB64-44BA-B095-00A651399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2084</Words>
  <Characters>11883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Almira Kokayeva (2513892)</cp:lastModifiedBy>
  <cp:revision>2</cp:revision>
  <dcterms:created xsi:type="dcterms:W3CDTF">2026-04-23T22:31:00Z</dcterms:created>
  <dcterms:modified xsi:type="dcterms:W3CDTF">2026-04-23T22:31:00Z</dcterms:modified>
</cp:coreProperties>
</file>