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2D65C" w14:textId="30E23C46" w:rsidR="001F65D9" w:rsidRPr="001F65D9" w:rsidRDefault="001F65D9" w:rsidP="001F65D9">
      <w:pPr>
        <w:jc w:val="center"/>
        <w:rPr>
          <w:rFonts w:eastAsia="DengXian"/>
          <w:b/>
          <w:bCs/>
          <w:sz w:val="32"/>
          <w:szCs w:val="32"/>
          <w:u w:val="single"/>
        </w:rPr>
      </w:pPr>
      <w:r w:rsidRPr="001F65D9">
        <w:rPr>
          <w:rFonts w:eastAsia="DengXian"/>
          <w:b/>
          <w:bCs/>
          <w:sz w:val="32"/>
          <w:szCs w:val="32"/>
          <w:u w:val="single"/>
        </w:rPr>
        <w:t xml:space="preserve">Digital Opportunities for Customer Engagement at </w:t>
      </w:r>
      <w:proofErr w:type="spellStart"/>
      <w:r w:rsidRPr="001F65D9">
        <w:rPr>
          <w:rFonts w:eastAsia="DengXian"/>
          <w:b/>
          <w:bCs/>
          <w:sz w:val="32"/>
          <w:szCs w:val="32"/>
          <w:u w:val="single"/>
        </w:rPr>
        <w:t>BrightWave</w:t>
      </w:r>
      <w:proofErr w:type="spellEnd"/>
      <w:r w:rsidRPr="001F65D9">
        <w:rPr>
          <w:rFonts w:eastAsia="DengXian"/>
          <w:b/>
          <w:bCs/>
          <w:sz w:val="32"/>
          <w:szCs w:val="32"/>
          <w:u w:val="single"/>
        </w:rPr>
        <w:t xml:space="preserve"> Café</w:t>
      </w:r>
    </w:p>
    <w:p w14:paraId="13B4BC63" w14:textId="77777777" w:rsidR="001F65D9" w:rsidRDefault="001F65D9" w:rsidP="001F65D9">
      <w:pPr>
        <w:jc w:val="center"/>
      </w:pPr>
    </w:p>
    <w:p w14:paraId="240C3373" w14:textId="47C35F3E" w:rsidR="001F65D9" w:rsidRDefault="001F65D9" w:rsidP="00F85024"/>
    <w:p w14:paraId="799707A8" w14:textId="77777777" w:rsidR="00C77017" w:rsidRPr="0017172B" w:rsidRDefault="00C77017" w:rsidP="00C77017">
      <w:pPr>
        <w:rPr>
          <w:rFonts w:asciiTheme="minorHAnsi" w:hAnsiTheme="minorHAnsi"/>
          <w:b/>
          <w:bCs/>
          <w:sz w:val="28"/>
          <w:szCs w:val="28"/>
          <w:u w:val="single"/>
        </w:rPr>
      </w:pPr>
      <w:r w:rsidRPr="0017172B">
        <w:rPr>
          <w:rFonts w:asciiTheme="minorHAnsi" w:hAnsiTheme="minorHAnsi"/>
          <w:b/>
          <w:bCs/>
          <w:sz w:val="28"/>
          <w:szCs w:val="28"/>
        </w:rPr>
        <w:t>Introduction</w:t>
      </w:r>
      <w:r w:rsidRPr="0017172B">
        <w:rPr>
          <w:rFonts w:asciiTheme="minorHAnsi" w:hAnsiTheme="minorHAnsi"/>
          <w:b/>
          <w:bCs/>
          <w:sz w:val="28"/>
          <w:szCs w:val="28"/>
          <w:u w:val="single"/>
        </w:rPr>
        <w:t xml:space="preserve"> </w:t>
      </w:r>
    </w:p>
    <w:p w14:paraId="320DBEAE" w14:textId="29C67D47" w:rsidR="00C77017" w:rsidRDefault="00C77017" w:rsidP="00C77017">
      <w:pPr>
        <w:rPr>
          <w:rFonts w:asciiTheme="minorHAnsi" w:hAnsiTheme="minorHAnsi"/>
          <w:sz w:val="24"/>
          <w:szCs w:val="24"/>
        </w:rPr>
      </w:pPr>
      <w:proofErr w:type="spellStart"/>
      <w:r w:rsidRPr="00C77017">
        <w:rPr>
          <w:rFonts w:asciiTheme="minorHAnsi" w:hAnsiTheme="minorHAnsi"/>
          <w:sz w:val="24"/>
          <w:szCs w:val="24"/>
        </w:rPr>
        <w:t>BrightWave</w:t>
      </w:r>
      <w:proofErr w:type="spellEnd"/>
      <w:r w:rsidRPr="00C77017">
        <w:rPr>
          <w:rFonts w:asciiTheme="minorHAnsi" w:hAnsiTheme="minorHAnsi"/>
          <w:sz w:val="24"/>
          <w:szCs w:val="24"/>
        </w:rPr>
        <w:t xml:space="preserve"> Café operates in a hospitality environment. Where customers have expectation shaped by digital experience. To strengthen customer service and improve loyalty with customer.</w:t>
      </w:r>
      <w:r w:rsidR="003B3AE1">
        <w:rPr>
          <w:rFonts w:asciiTheme="minorHAnsi" w:hAnsiTheme="minorHAnsi"/>
          <w:sz w:val="24"/>
          <w:szCs w:val="24"/>
        </w:rPr>
        <w:t xml:space="preserve"> </w:t>
      </w:r>
      <w:r w:rsidR="00E164F6">
        <w:rPr>
          <w:rFonts w:asciiTheme="minorHAnsi" w:hAnsiTheme="minorHAnsi"/>
          <w:sz w:val="24"/>
          <w:szCs w:val="24"/>
        </w:rPr>
        <w:t xml:space="preserve">This </w:t>
      </w:r>
      <w:r w:rsidR="008D3FB3">
        <w:rPr>
          <w:rFonts w:asciiTheme="minorHAnsi" w:hAnsiTheme="minorHAnsi"/>
          <w:sz w:val="24"/>
          <w:szCs w:val="24"/>
        </w:rPr>
        <w:t xml:space="preserve">report </w:t>
      </w:r>
      <w:r w:rsidR="00E164F6">
        <w:rPr>
          <w:rFonts w:asciiTheme="minorHAnsi" w:hAnsiTheme="minorHAnsi"/>
          <w:sz w:val="24"/>
          <w:szCs w:val="24"/>
        </w:rPr>
        <w:t xml:space="preserve">analyses </w:t>
      </w:r>
      <w:r w:rsidR="008D3FB3" w:rsidRPr="008D3FB3">
        <w:rPr>
          <w:rFonts w:asciiTheme="minorHAnsi" w:hAnsiTheme="minorHAnsi"/>
          <w:sz w:val="24"/>
          <w:szCs w:val="24"/>
        </w:rPr>
        <w:t>in relation to current market trends, including consumer preferences for high</w:t>
      </w:r>
      <w:r w:rsidR="008D3FB3" w:rsidRPr="008D3FB3">
        <w:rPr>
          <w:rFonts w:asciiTheme="minorHAnsi" w:hAnsiTheme="minorHAnsi"/>
          <w:sz w:val="24"/>
          <w:szCs w:val="24"/>
        </w:rPr>
        <w:noBreakHyphen/>
        <w:t>quality beverages</w:t>
      </w:r>
      <w:r w:rsidR="008D3FB3">
        <w:rPr>
          <w:rFonts w:asciiTheme="minorHAnsi" w:hAnsiTheme="minorHAnsi"/>
          <w:sz w:val="24"/>
          <w:szCs w:val="24"/>
        </w:rPr>
        <w:t xml:space="preserve"> </w:t>
      </w:r>
      <w:r w:rsidR="008D3FB3" w:rsidRPr="008D3FB3">
        <w:rPr>
          <w:rFonts w:asciiTheme="minorHAnsi" w:hAnsiTheme="minorHAnsi"/>
          <w:sz w:val="24"/>
          <w:szCs w:val="24"/>
        </w:rPr>
        <w:t>sustainable practices and digital ordering solutions. The purpose of this report is to assess the café</w:t>
      </w:r>
      <w:r w:rsidR="008D3FB3">
        <w:rPr>
          <w:rFonts w:asciiTheme="minorHAnsi" w:hAnsiTheme="minorHAnsi"/>
          <w:sz w:val="24"/>
          <w:szCs w:val="24"/>
        </w:rPr>
        <w:t>’</w:t>
      </w:r>
      <w:r w:rsidR="008D3FB3" w:rsidRPr="008D3FB3">
        <w:rPr>
          <w:rFonts w:asciiTheme="minorHAnsi" w:hAnsiTheme="minorHAnsi"/>
          <w:sz w:val="24"/>
          <w:szCs w:val="24"/>
        </w:rPr>
        <w:t>s strategic position and identify opportunities that can enhance its market share and long</w:t>
      </w:r>
      <w:r w:rsidR="008D3FB3" w:rsidRPr="008D3FB3">
        <w:rPr>
          <w:rFonts w:asciiTheme="minorHAnsi" w:hAnsiTheme="minorHAnsi"/>
          <w:sz w:val="24"/>
          <w:szCs w:val="24"/>
        </w:rPr>
        <w:noBreakHyphen/>
        <w:t>term profitability.</w:t>
      </w:r>
    </w:p>
    <w:p w14:paraId="6DBC86C9" w14:textId="77777777" w:rsidR="00C77017" w:rsidRPr="00C77017" w:rsidRDefault="00C77017" w:rsidP="00C77017">
      <w:pPr>
        <w:rPr>
          <w:rFonts w:asciiTheme="minorHAnsi" w:hAnsiTheme="minorHAnsi"/>
          <w:sz w:val="24"/>
          <w:szCs w:val="24"/>
        </w:rPr>
      </w:pPr>
    </w:p>
    <w:p w14:paraId="5458DC6C" w14:textId="77777777" w:rsidR="00C77017" w:rsidRPr="0017172B" w:rsidRDefault="00C77017" w:rsidP="00C77017">
      <w:pPr>
        <w:rPr>
          <w:rFonts w:asciiTheme="minorHAnsi" w:hAnsiTheme="minorHAnsi"/>
          <w:b/>
          <w:bCs/>
          <w:sz w:val="28"/>
          <w:szCs w:val="28"/>
        </w:rPr>
      </w:pPr>
      <w:r w:rsidRPr="0017172B">
        <w:rPr>
          <w:rFonts w:asciiTheme="minorHAnsi" w:hAnsiTheme="minorHAnsi"/>
          <w:b/>
          <w:bCs/>
          <w:sz w:val="28"/>
          <w:szCs w:val="28"/>
        </w:rPr>
        <w:t>Email Newsletters</w:t>
      </w:r>
    </w:p>
    <w:p w14:paraId="700CF273" w14:textId="77777777" w:rsidR="00C77017" w:rsidRPr="00C77017" w:rsidRDefault="00C77017" w:rsidP="00C77017">
      <w:pPr>
        <w:rPr>
          <w:rFonts w:asciiTheme="minorHAnsi" w:hAnsiTheme="minorHAnsi"/>
          <w:sz w:val="24"/>
          <w:szCs w:val="24"/>
        </w:rPr>
      </w:pPr>
      <w:r w:rsidRPr="00C77017">
        <w:rPr>
          <w:rFonts w:asciiTheme="minorHAnsi" w:hAnsiTheme="minorHAnsi"/>
          <w:sz w:val="24"/>
          <w:szCs w:val="24"/>
        </w:rPr>
        <w:t xml:space="preserve">Email newsletters offer a direct and personalised way to communicate with customers. </w:t>
      </w:r>
      <w:proofErr w:type="spellStart"/>
      <w:r w:rsidRPr="00C77017">
        <w:rPr>
          <w:rFonts w:asciiTheme="minorHAnsi" w:hAnsiTheme="minorHAnsi"/>
          <w:sz w:val="24"/>
          <w:szCs w:val="24"/>
        </w:rPr>
        <w:t>BrightWave</w:t>
      </w:r>
      <w:proofErr w:type="spellEnd"/>
      <w:r w:rsidRPr="00C77017">
        <w:rPr>
          <w:rFonts w:asciiTheme="minorHAnsi" w:hAnsiTheme="minorHAnsi"/>
          <w:sz w:val="24"/>
          <w:szCs w:val="24"/>
        </w:rPr>
        <w:t xml:space="preserve"> Café could use newsletters to:</w:t>
      </w:r>
    </w:p>
    <w:p w14:paraId="3BBE101A" w14:textId="77777777" w:rsidR="00C77017" w:rsidRPr="00C77017" w:rsidRDefault="00C77017" w:rsidP="00C77017">
      <w:pPr>
        <w:numPr>
          <w:ilvl w:val="0"/>
          <w:numId w:val="1"/>
        </w:numPr>
        <w:spacing w:after="160" w:line="278" w:lineRule="auto"/>
        <w:rPr>
          <w:rFonts w:asciiTheme="minorHAnsi" w:hAnsiTheme="minorHAnsi"/>
          <w:sz w:val="24"/>
          <w:szCs w:val="24"/>
        </w:rPr>
      </w:pPr>
      <w:r w:rsidRPr="00C77017">
        <w:rPr>
          <w:rFonts w:asciiTheme="minorHAnsi" w:hAnsiTheme="minorHAnsi"/>
          <w:b/>
          <w:bCs/>
          <w:sz w:val="24"/>
          <w:szCs w:val="24"/>
        </w:rPr>
        <w:t>Promote weekly specials and seasonal menus</w:t>
      </w:r>
    </w:p>
    <w:p w14:paraId="057C85B3" w14:textId="77777777" w:rsidR="00C77017" w:rsidRPr="00C77017" w:rsidRDefault="00C77017" w:rsidP="00C77017">
      <w:pPr>
        <w:numPr>
          <w:ilvl w:val="0"/>
          <w:numId w:val="1"/>
        </w:numPr>
        <w:spacing w:after="160" w:line="278" w:lineRule="auto"/>
        <w:rPr>
          <w:rFonts w:asciiTheme="minorHAnsi" w:hAnsiTheme="minorHAnsi"/>
          <w:sz w:val="24"/>
          <w:szCs w:val="24"/>
        </w:rPr>
      </w:pPr>
      <w:r w:rsidRPr="00C77017">
        <w:rPr>
          <w:rFonts w:asciiTheme="minorHAnsi" w:hAnsiTheme="minorHAnsi"/>
          <w:b/>
          <w:bCs/>
          <w:sz w:val="24"/>
          <w:szCs w:val="24"/>
        </w:rPr>
        <w:t>Share exclusive discounts or loyalty rewards</w:t>
      </w:r>
    </w:p>
    <w:p w14:paraId="1521C5BF" w14:textId="77777777" w:rsidR="00C77017" w:rsidRPr="00C77017" w:rsidRDefault="00C77017" w:rsidP="00C77017">
      <w:pPr>
        <w:numPr>
          <w:ilvl w:val="0"/>
          <w:numId w:val="1"/>
        </w:numPr>
        <w:spacing w:after="160" w:line="278" w:lineRule="auto"/>
        <w:rPr>
          <w:rFonts w:asciiTheme="minorHAnsi" w:hAnsiTheme="minorHAnsi"/>
          <w:sz w:val="24"/>
          <w:szCs w:val="24"/>
        </w:rPr>
      </w:pPr>
      <w:r w:rsidRPr="00C77017">
        <w:rPr>
          <w:rFonts w:asciiTheme="minorHAnsi" w:hAnsiTheme="minorHAnsi"/>
          <w:b/>
          <w:bCs/>
          <w:sz w:val="24"/>
          <w:szCs w:val="24"/>
        </w:rPr>
        <w:t>Highlight new products</w:t>
      </w:r>
      <w:r w:rsidRPr="00C77017">
        <w:rPr>
          <w:rFonts w:asciiTheme="minorHAnsi" w:hAnsiTheme="minorHAnsi"/>
          <w:sz w:val="24"/>
          <w:szCs w:val="24"/>
        </w:rPr>
        <w:t>, like pastries or specialty drinks</w:t>
      </w:r>
    </w:p>
    <w:p w14:paraId="4BAC002F" w14:textId="77777777" w:rsidR="00C77017" w:rsidRPr="00C77017" w:rsidRDefault="00C77017" w:rsidP="00C77017">
      <w:pPr>
        <w:rPr>
          <w:rFonts w:asciiTheme="minorHAnsi" w:hAnsiTheme="minorHAnsi"/>
          <w:sz w:val="24"/>
          <w:szCs w:val="24"/>
        </w:rPr>
      </w:pPr>
      <w:r w:rsidRPr="00C77017">
        <w:rPr>
          <w:rFonts w:asciiTheme="minorHAnsi" w:hAnsiTheme="minorHAnsi"/>
          <w:sz w:val="24"/>
          <w:szCs w:val="24"/>
        </w:rPr>
        <w:t>By segmenting the mailing list (students, regular customers, and families), the café can tailor content to different customer groups, increasing relevance and engagement.</w:t>
      </w:r>
    </w:p>
    <w:p w14:paraId="208FF613" w14:textId="77777777" w:rsidR="00C77017" w:rsidRPr="0017172B" w:rsidRDefault="00C77017" w:rsidP="00C77017">
      <w:pPr>
        <w:rPr>
          <w:rFonts w:asciiTheme="minorHAnsi" w:hAnsiTheme="minorHAnsi"/>
          <w:b/>
          <w:bCs/>
          <w:sz w:val="28"/>
          <w:szCs w:val="28"/>
        </w:rPr>
      </w:pPr>
      <w:r w:rsidRPr="00C77017">
        <w:rPr>
          <w:rFonts w:asciiTheme="minorHAnsi" w:hAnsiTheme="minorHAnsi"/>
          <w:sz w:val="24"/>
          <w:szCs w:val="24"/>
        </w:rPr>
        <w:br/>
      </w:r>
      <w:r w:rsidRPr="0017172B">
        <w:rPr>
          <w:rFonts w:asciiTheme="minorHAnsi" w:hAnsiTheme="minorHAnsi"/>
          <w:b/>
          <w:bCs/>
          <w:sz w:val="28"/>
          <w:szCs w:val="28"/>
        </w:rPr>
        <w:t xml:space="preserve">Social media posts and scheduled content </w:t>
      </w:r>
    </w:p>
    <w:p w14:paraId="4DDFF910" w14:textId="77777777" w:rsidR="00C77017" w:rsidRPr="00C77017" w:rsidRDefault="00C77017" w:rsidP="00C77017">
      <w:pPr>
        <w:rPr>
          <w:rFonts w:asciiTheme="minorHAnsi" w:hAnsiTheme="minorHAnsi"/>
          <w:sz w:val="24"/>
          <w:szCs w:val="24"/>
        </w:rPr>
      </w:pPr>
      <w:r w:rsidRPr="00C77017">
        <w:rPr>
          <w:rFonts w:asciiTheme="minorHAnsi" w:hAnsiTheme="minorHAnsi"/>
          <w:sz w:val="24"/>
          <w:szCs w:val="24"/>
        </w:rPr>
        <w:t xml:space="preserve">Social media platforms such as Instagram, Facebook, and TikTok are essential for reaching local audience. </w:t>
      </w:r>
      <w:proofErr w:type="spellStart"/>
      <w:r w:rsidRPr="00C77017">
        <w:rPr>
          <w:rFonts w:asciiTheme="minorHAnsi" w:hAnsiTheme="minorHAnsi"/>
          <w:sz w:val="24"/>
          <w:szCs w:val="24"/>
        </w:rPr>
        <w:t>Brightwave</w:t>
      </w:r>
      <w:proofErr w:type="spellEnd"/>
      <w:r w:rsidRPr="00C77017">
        <w:rPr>
          <w:rFonts w:asciiTheme="minorHAnsi" w:hAnsiTheme="minorHAnsi"/>
          <w:sz w:val="24"/>
          <w:szCs w:val="24"/>
        </w:rPr>
        <w:t xml:space="preserve"> café can use them to showcase daily specials, behind the scenes of videos. Staff highlight, and customer stories. Scheduling tools allow posts to be planned to ensure consistent activity even during busy periods. AI can assist by generating by caption ideas, suggesting hashtags, or analysing which posts perform best. </w:t>
      </w:r>
    </w:p>
    <w:p w14:paraId="2462C390" w14:textId="77777777" w:rsidR="00C77017" w:rsidRPr="00C77017" w:rsidRDefault="00C77017" w:rsidP="00C77017">
      <w:pPr>
        <w:rPr>
          <w:rFonts w:asciiTheme="minorHAnsi" w:hAnsiTheme="minorHAnsi"/>
          <w:sz w:val="24"/>
          <w:szCs w:val="24"/>
        </w:rPr>
      </w:pPr>
    </w:p>
    <w:p w14:paraId="7BF5429A" w14:textId="77777777" w:rsidR="00C77017" w:rsidRPr="0017172B" w:rsidRDefault="00C77017" w:rsidP="00C77017">
      <w:pPr>
        <w:rPr>
          <w:rFonts w:asciiTheme="minorHAnsi" w:hAnsiTheme="minorHAnsi"/>
          <w:b/>
          <w:bCs/>
          <w:sz w:val="28"/>
          <w:szCs w:val="28"/>
        </w:rPr>
      </w:pPr>
      <w:r w:rsidRPr="0017172B">
        <w:rPr>
          <w:rFonts w:asciiTheme="minorHAnsi" w:hAnsiTheme="minorHAnsi"/>
          <w:b/>
          <w:bCs/>
          <w:sz w:val="28"/>
          <w:szCs w:val="28"/>
        </w:rPr>
        <w:t xml:space="preserve">Digital menus and QR ordering </w:t>
      </w:r>
    </w:p>
    <w:p w14:paraId="0B08FF3E" w14:textId="77777777" w:rsidR="00C77017" w:rsidRDefault="00C77017" w:rsidP="00C77017">
      <w:pPr>
        <w:rPr>
          <w:rFonts w:asciiTheme="minorHAnsi" w:hAnsiTheme="minorHAnsi"/>
          <w:sz w:val="24"/>
          <w:szCs w:val="24"/>
        </w:rPr>
      </w:pPr>
      <w:r w:rsidRPr="00C77017">
        <w:rPr>
          <w:rFonts w:asciiTheme="minorHAnsi" w:hAnsiTheme="minorHAnsi"/>
          <w:sz w:val="24"/>
          <w:szCs w:val="24"/>
        </w:rPr>
        <w:t xml:space="preserve">Digital menus accessed through QR codes reduce printing costs and allow instant updates when items sell out or prices change. This improves customer service experience by ensuring information is always accurate. </w:t>
      </w:r>
    </w:p>
    <w:p w14:paraId="32DF6EEF" w14:textId="77777777" w:rsidR="00C77017" w:rsidRPr="00C77017" w:rsidRDefault="00C77017" w:rsidP="00C77017">
      <w:pPr>
        <w:rPr>
          <w:rFonts w:asciiTheme="minorHAnsi" w:hAnsiTheme="minorHAnsi"/>
          <w:sz w:val="24"/>
          <w:szCs w:val="24"/>
        </w:rPr>
      </w:pPr>
    </w:p>
    <w:p w14:paraId="73349336" w14:textId="77777777" w:rsidR="00C77017" w:rsidRPr="0017172B" w:rsidRDefault="00C77017" w:rsidP="00C77017">
      <w:pPr>
        <w:rPr>
          <w:rFonts w:asciiTheme="minorHAnsi" w:hAnsiTheme="minorHAnsi"/>
          <w:b/>
          <w:bCs/>
          <w:sz w:val="28"/>
          <w:szCs w:val="28"/>
        </w:rPr>
      </w:pPr>
      <w:r w:rsidRPr="0017172B">
        <w:rPr>
          <w:rFonts w:asciiTheme="minorHAnsi" w:hAnsiTheme="minorHAnsi"/>
          <w:b/>
          <w:bCs/>
          <w:sz w:val="28"/>
          <w:szCs w:val="28"/>
        </w:rPr>
        <w:t>Streamlining Business Tasks with AI</w:t>
      </w:r>
    </w:p>
    <w:p w14:paraId="43006678" w14:textId="77777777" w:rsidR="00C77017" w:rsidRPr="00C77017" w:rsidRDefault="00C77017" w:rsidP="00C77017">
      <w:pPr>
        <w:rPr>
          <w:rFonts w:asciiTheme="minorHAnsi" w:hAnsiTheme="minorHAnsi"/>
          <w:sz w:val="24"/>
          <w:szCs w:val="24"/>
        </w:rPr>
      </w:pPr>
      <w:r w:rsidRPr="00C77017">
        <w:rPr>
          <w:rFonts w:asciiTheme="minorHAnsi" w:hAnsiTheme="minorHAnsi"/>
          <w:sz w:val="24"/>
          <w:szCs w:val="24"/>
        </w:rPr>
        <w:t>AI tools can support simple administrative tasks such as drafting social media captions, generating promotional ideas, or summarising customer feedback. For example, AI can help create weekly content plans, analyse online reviews to identify recurring themes, or produce templates for staff communication. These tools do not replace human decision</w:t>
      </w:r>
      <w:r w:rsidRPr="00C77017">
        <w:rPr>
          <w:rFonts w:asciiTheme="minorHAnsi" w:hAnsiTheme="minorHAnsi"/>
          <w:sz w:val="24"/>
          <w:szCs w:val="24"/>
        </w:rPr>
        <w:noBreakHyphen/>
        <w:t>making but can save time and improve consistency.</w:t>
      </w:r>
    </w:p>
    <w:p w14:paraId="06FA1A12" w14:textId="77777777" w:rsidR="00C77017" w:rsidRDefault="00C77017" w:rsidP="00C77017">
      <w:pPr>
        <w:rPr>
          <w:rFonts w:asciiTheme="minorHAnsi" w:hAnsiTheme="minorHAnsi"/>
          <w:b/>
          <w:bCs/>
          <w:sz w:val="24"/>
          <w:szCs w:val="24"/>
        </w:rPr>
      </w:pPr>
    </w:p>
    <w:p w14:paraId="5F9BAB05" w14:textId="5A9CC842" w:rsidR="00C77017" w:rsidRPr="0017172B" w:rsidRDefault="00C77017" w:rsidP="00C77017">
      <w:pPr>
        <w:rPr>
          <w:rFonts w:asciiTheme="minorHAnsi" w:hAnsiTheme="minorHAnsi"/>
          <w:b/>
          <w:bCs/>
          <w:sz w:val="28"/>
          <w:szCs w:val="28"/>
        </w:rPr>
      </w:pPr>
      <w:r w:rsidRPr="0017172B">
        <w:rPr>
          <w:rFonts w:asciiTheme="minorHAnsi" w:hAnsiTheme="minorHAnsi"/>
          <w:b/>
          <w:bCs/>
          <w:sz w:val="28"/>
          <w:szCs w:val="28"/>
        </w:rPr>
        <w:t>Conclusion</w:t>
      </w:r>
    </w:p>
    <w:p w14:paraId="08287B09" w14:textId="77777777" w:rsidR="00C77017" w:rsidRPr="00C77017" w:rsidRDefault="00C77017" w:rsidP="00C77017">
      <w:pPr>
        <w:rPr>
          <w:rFonts w:asciiTheme="minorHAnsi" w:hAnsiTheme="minorHAnsi"/>
          <w:sz w:val="24"/>
          <w:szCs w:val="24"/>
        </w:rPr>
      </w:pPr>
      <w:r w:rsidRPr="00C77017">
        <w:rPr>
          <w:rFonts w:asciiTheme="minorHAnsi" w:hAnsiTheme="minorHAnsi"/>
          <w:sz w:val="24"/>
          <w:szCs w:val="24"/>
        </w:rPr>
        <w:lastRenderedPageBreak/>
        <w:t>By adopting digital communication tools and light</w:t>
      </w:r>
      <w:r w:rsidRPr="00C77017">
        <w:rPr>
          <w:rFonts w:asciiTheme="minorHAnsi" w:hAnsiTheme="minorHAnsi"/>
          <w:sz w:val="24"/>
          <w:szCs w:val="24"/>
        </w:rPr>
        <w:noBreakHyphen/>
        <w:t xml:space="preserve">touch AI solutions, </w:t>
      </w:r>
      <w:proofErr w:type="spellStart"/>
      <w:r w:rsidRPr="00C77017">
        <w:rPr>
          <w:rFonts w:asciiTheme="minorHAnsi" w:hAnsiTheme="minorHAnsi"/>
          <w:sz w:val="24"/>
          <w:szCs w:val="24"/>
        </w:rPr>
        <w:t>BrightWave</w:t>
      </w:r>
      <w:proofErr w:type="spellEnd"/>
      <w:r w:rsidRPr="00C77017">
        <w:rPr>
          <w:rFonts w:asciiTheme="minorHAnsi" w:hAnsiTheme="minorHAnsi"/>
          <w:sz w:val="24"/>
          <w:szCs w:val="24"/>
        </w:rPr>
        <w:t xml:space="preserve"> Café can strengthen customer relationships, improve operational efficiency, and enhance its brand presence. These technologies offer practical, low</w:t>
      </w:r>
      <w:r w:rsidRPr="00C77017">
        <w:rPr>
          <w:rFonts w:asciiTheme="minorHAnsi" w:hAnsiTheme="minorHAnsi"/>
          <w:sz w:val="24"/>
          <w:szCs w:val="24"/>
        </w:rPr>
        <w:noBreakHyphen/>
        <w:t>cost opportunities that align with the café’s goals of delivering excellent service and building a loyal customer base.</w:t>
      </w:r>
    </w:p>
    <w:p w14:paraId="1404C797" w14:textId="77777777" w:rsidR="00C77017" w:rsidRPr="00C77017" w:rsidRDefault="00C77017" w:rsidP="00C77017">
      <w:pPr>
        <w:rPr>
          <w:rFonts w:asciiTheme="minorHAnsi" w:hAnsiTheme="minorHAnsi"/>
          <w:sz w:val="24"/>
          <w:szCs w:val="24"/>
        </w:rPr>
      </w:pPr>
    </w:p>
    <w:p w14:paraId="16699721" w14:textId="2FEADDD5" w:rsidR="00C77017" w:rsidRPr="00C77017" w:rsidRDefault="00C77017" w:rsidP="00C77017">
      <w:pPr>
        <w:rPr>
          <w:rFonts w:asciiTheme="minorHAnsi" w:hAnsiTheme="minorHAnsi"/>
          <w:sz w:val="24"/>
          <w:szCs w:val="24"/>
        </w:rPr>
      </w:pPr>
      <w:r w:rsidRPr="00C77017">
        <w:rPr>
          <w:rFonts w:asciiTheme="minorHAnsi" w:hAnsiTheme="minorHAnsi"/>
          <w:sz w:val="24"/>
          <w:szCs w:val="24"/>
        </w:rPr>
        <w:t xml:space="preserve">Digital menus can also include allergen filters, photos, and nutritional details. If the café chooses to expand further, QR based ordering can speed up service during pick ours and reduce queue lengths. Customers </w:t>
      </w:r>
      <w:r w:rsidR="00794772" w:rsidRPr="00C77017">
        <w:rPr>
          <w:rFonts w:asciiTheme="minorHAnsi" w:hAnsiTheme="minorHAnsi"/>
          <w:sz w:val="24"/>
          <w:szCs w:val="24"/>
        </w:rPr>
        <w:t>can</w:t>
      </w:r>
      <w:r w:rsidRPr="00C77017">
        <w:rPr>
          <w:rFonts w:asciiTheme="minorHAnsi" w:hAnsiTheme="minorHAnsi"/>
          <w:sz w:val="24"/>
          <w:szCs w:val="24"/>
        </w:rPr>
        <w:t xml:space="preserve"> browse. Order, and pay directly from their phones, while staff focus on preparation and customer interaction.</w:t>
      </w:r>
      <w:r w:rsidRPr="00C77017">
        <w:rPr>
          <w:rFonts w:asciiTheme="minorHAnsi" w:hAnsiTheme="minorHAnsi"/>
          <w:color w:val="3A3A3A"/>
          <w:sz w:val="24"/>
          <w:szCs w:val="24"/>
          <w:shd w:val="clear" w:color="auto" w:fill="FFFFFF"/>
        </w:rPr>
        <w:t xml:space="preserve"> </w:t>
      </w:r>
      <w:r w:rsidRPr="00C77017">
        <w:rPr>
          <w:rFonts w:asciiTheme="minorHAnsi" w:hAnsiTheme="minorHAnsi"/>
          <w:sz w:val="24"/>
          <w:szCs w:val="24"/>
        </w:rPr>
        <w:t> The results indicated that consumers psychological perceptions positively influenced their anxiety, dissatisfaction, negative word-of-mouth and consumer resistance behaviours.</w:t>
      </w:r>
    </w:p>
    <w:p w14:paraId="6BD78FB6" w14:textId="77777777" w:rsidR="00C77017" w:rsidRPr="0017172B" w:rsidRDefault="00C77017" w:rsidP="00C77017">
      <w:pPr>
        <w:rPr>
          <w:b/>
          <w:bCs/>
          <w:sz w:val="28"/>
          <w:szCs w:val="28"/>
        </w:rPr>
      </w:pPr>
    </w:p>
    <w:p w14:paraId="47B11C96" w14:textId="77777777" w:rsidR="00C77017" w:rsidRPr="0017172B" w:rsidRDefault="00C77017" w:rsidP="00C77017">
      <w:pPr>
        <w:rPr>
          <w:rFonts w:asciiTheme="minorHAnsi" w:hAnsiTheme="minorHAnsi"/>
          <w:b/>
          <w:bCs/>
          <w:sz w:val="28"/>
          <w:szCs w:val="28"/>
        </w:rPr>
      </w:pPr>
      <w:r w:rsidRPr="0017172B">
        <w:rPr>
          <w:rFonts w:asciiTheme="minorHAnsi" w:hAnsiTheme="minorHAnsi"/>
          <w:b/>
          <w:bCs/>
          <w:sz w:val="28"/>
          <w:szCs w:val="28"/>
        </w:rPr>
        <w:t xml:space="preserve">AI tools help with anxiety </w:t>
      </w:r>
    </w:p>
    <w:p w14:paraId="2F5B50E2" w14:textId="2808504C" w:rsidR="00926A5F" w:rsidRDefault="00C130C5" w:rsidP="001F65D9">
      <w:pPr>
        <w:rPr>
          <w:rFonts w:asciiTheme="minorHAnsi" w:hAnsiTheme="minorHAnsi"/>
          <w:sz w:val="24"/>
          <w:szCs w:val="24"/>
        </w:rPr>
      </w:pPr>
      <w:r>
        <w:rPr>
          <w:rFonts w:asciiTheme="minorHAnsi" w:hAnsiTheme="minorHAnsi"/>
          <w:sz w:val="24"/>
          <w:szCs w:val="24"/>
        </w:rPr>
        <w:t xml:space="preserve">AI tool can help you with your anxiety </w:t>
      </w:r>
      <w:r w:rsidR="00571800">
        <w:rPr>
          <w:rFonts w:asciiTheme="minorHAnsi" w:hAnsiTheme="minorHAnsi"/>
          <w:sz w:val="24"/>
          <w:szCs w:val="24"/>
        </w:rPr>
        <w:t xml:space="preserve">they are </w:t>
      </w:r>
      <w:r w:rsidR="008758FC">
        <w:rPr>
          <w:rFonts w:asciiTheme="minorHAnsi" w:hAnsiTheme="minorHAnsi"/>
          <w:sz w:val="24"/>
          <w:szCs w:val="24"/>
        </w:rPr>
        <w:t>designed to overcome your anxiety with talking with people mouth to mouth</w:t>
      </w:r>
      <w:r w:rsidR="00471914">
        <w:rPr>
          <w:rFonts w:asciiTheme="minorHAnsi" w:hAnsiTheme="minorHAnsi"/>
          <w:sz w:val="24"/>
          <w:szCs w:val="24"/>
        </w:rPr>
        <w:t>.</w:t>
      </w:r>
      <w:r w:rsidR="00D06DC0">
        <w:rPr>
          <w:rFonts w:asciiTheme="minorHAnsi" w:hAnsiTheme="minorHAnsi"/>
          <w:sz w:val="24"/>
          <w:szCs w:val="24"/>
        </w:rPr>
        <w:t xml:space="preserve"> </w:t>
      </w:r>
      <w:r w:rsidR="00471914">
        <w:rPr>
          <w:rFonts w:asciiTheme="minorHAnsi" w:hAnsiTheme="minorHAnsi"/>
          <w:sz w:val="24"/>
          <w:szCs w:val="24"/>
        </w:rPr>
        <w:br/>
      </w:r>
    </w:p>
    <w:p w14:paraId="3F51B637" w14:textId="45955B7A" w:rsidR="00C24486" w:rsidRDefault="004B2588" w:rsidP="001F65D9">
      <w:pPr>
        <w:rPr>
          <w:rFonts w:asciiTheme="minorHAnsi" w:hAnsiTheme="minorHAnsi"/>
          <w:sz w:val="24"/>
          <w:szCs w:val="24"/>
        </w:rPr>
      </w:pPr>
      <w:r w:rsidRPr="0017172B">
        <w:rPr>
          <w:rFonts w:ascii="Aptos" w:eastAsia="DengXian" w:hAnsi="Aptos" w:cs="Arial"/>
          <w:b/>
          <w:bCs/>
          <w:kern w:val="2"/>
          <w:sz w:val="28"/>
          <w:szCs w:val="28"/>
          <w:lang w:eastAsia="zh-CN"/>
          <w14:ligatures w14:val="standardContextual"/>
        </w:rPr>
        <w:t>Ethical/Professional Reflection</w:t>
      </w:r>
      <w:r w:rsidR="00471914">
        <w:rPr>
          <w:rFonts w:asciiTheme="minorHAnsi" w:hAnsiTheme="minorHAnsi"/>
          <w:sz w:val="24"/>
          <w:szCs w:val="24"/>
        </w:rPr>
        <w:br/>
      </w:r>
      <w:r w:rsidR="008B08D1">
        <w:rPr>
          <w:rFonts w:asciiTheme="minorHAnsi" w:hAnsiTheme="minorHAnsi"/>
          <w:sz w:val="24"/>
          <w:szCs w:val="24"/>
        </w:rPr>
        <w:t>B</w:t>
      </w:r>
      <w:r w:rsidR="008B08D1" w:rsidRPr="008B08D1">
        <w:rPr>
          <w:rFonts w:asciiTheme="minorHAnsi" w:hAnsiTheme="minorHAnsi"/>
          <w:sz w:val="24"/>
          <w:szCs w:val="24"/>
        </w:rPr>
        <w:t xml:space="preserve">ackground Interactive artificial intelligence tools such as </w:t>
      </w:r>
      <w:r w:rsidR="008B08D1">
        <w:rPr>
          <w:rFonts w:asciiTheme="minorHAnsi" w:hAnsiTheme="minorHAnsi"/>
          <w:sz w:val="24"/>
          <w:szCs w:val="24"/>
        </w:rPr>
        <w:t>AI</w:t>
      </w:r>
      <w:r w:rsidR="008B08D1" w:rsidRPr="008B08D1">
        <w:rPr>
          <w:rFonts w:asciiTheme="minorHAnsi" w:hAnsiTheme="minorHAnsi"/>
          <w:sz w:val="24"/>
          <w:szCs w:val="24"/>
        </w:rPr>
        <w:t xml:space="preserve"> have gained popularity, yet little is known about their reliability as a reference tool for healthcare</w:t>
      </w:r>
      <w:r w:rsidR="008B08D1">
        <w:rPr>
          <w:rFonts w:asciiTheme="minorHAnsi" w:hAnsiTheme="minorHAnsi"/>
          <w:sz w:val="24"/>
          <w:szCs w:val="24"/>
        </w:rPr>
        <w:t xml:space="preserve"> </w:t>
      </w:r>
      <w:r w:rsidR="008B08D1" w:rsidRPr="008B08D1">
        <w:rPr>
          <w:rFonts w:asciiTheme="minorHAnsi" w:hAnsiTheme="minorHAnsi"/>
          <w:sz w:val="24"/>
          <w:szCs w:val="24"/>
        </w:rPr>
        <w:t>related information for healthcare providers and trainees. The objective of this study was to assess the consistency</w:t>
      </w:r>
      <w:r w:rsidR="008B08D1">
        <w:rPr>
          <w:rFonts w:asciiTheme="minorHAnsi" w:hAnsiTheme="minorHAnsi"/>
          <w:sz w:val="24"/>
          <w:szCs w:val="24"/>
        </w:rPr>
        <w:t xml:space="preserve"> </w:t>
      </w:r>
      <w:r w:rsidR="008B08D1" w:rsidRPr="008B08D1">
        <w:rPr>
          <w:rFonts w:asciiTheme="minorHAnsi" w:hAnsiTheme="minorHAnsi"/>
          <w:sz w:val="24"/>
          <w:szCs w:val="24"/>
        </w:rPr>
        <w:t>quality</w:t>
      </w:r>
      <w:r w:rsidR="008B08D1" w:rsidRPr="008B08D1">
        <w:rPr>
          <w:rFonts w:asciiTheme="minorHAnsi" w:hAnsiTheme="minorHAnsi"/>
          <w:sz w:val="24"/>
          <w:szCs w:val="24"/>
        </w:rPr>
        <w:t xml:space="preserve"> and accuracy of the responses generated by </w:t>
      </w:r>
      <w:r w:rsidR="008B08D1">
        <w:rPr>
          <w:rFonts w:asciiTheme="minorHAnsi" w:hAnsiTheme="minorHAnsi"/>
          <w:sz w:val="24"/>
          <w:szCs w:val="24"/>
        </w:rPr>
        <w:t>AI.</w:t>
      </w:r>
    </w:p>
    <w:p w14:paraId="17B0E910" w14:textId="5FE09FBC" w:rsidR="00CF0453" w:rsidRDefault="00CF0453" w:rsidP="001F65D9">
      <w:pPr>
        <w:rPr>
          <w:rFonts w:asciiTheme="minorHAnsi" w:hAnsiTheme="minorHAnsi"/>
          <w:sz w:val="24"/>
          <w:szCs w:val="24"/>
        </w:rPr>
      </w:pPr>
      <w:r w:rsidRPr="00CF0453">
        <w:rPr>
          <w:rFonts w:asciiTheme="minorHAnsi" w:hAnsiTheme="minorHAnsi"/>
          <w:sz w:val="24"/>
          <w:szCs w:val="24"/>
        </w:rPr>
        <w:t>Our analysis suggests that AI explanations can reconfigure judgment strategies in multiple ways, at times supporting productive editing but at other times amplifying uncertainty or encouraging premature reliance. We therefore reconceptualize explanations not as trust-building tools but as interface elements that structure judgment flow and responsibility allocation, deriving design implications for AI-assisted creative review systems</w:t>
      </w:r>
    </w:p>
    <w:p w14:paraId="0197F8FB" w14:textId="77777777" w:rsidR="001654E3" w:rsidRDefault="001654E3" w:rsidP="001F65D9">
      <w:pPr>
        <w:rPr>
          <w:rFonts w:asciiTheme="minorHAnsi" w:hAnsiTheme="minorHAnsi"/>
          <w:sz w:val="24"/>
          <w:szCs w:val="24"/>
        </w:rPr>
      </w:pPr>
    </w:p>
    <w:p w14:paraId="6578D6B9" w14:textId="77777777" w:rsidR="00F63F1E" w:rsidRDefault="001654E3" w:rsidP="001F65D9">
      <w:pPr>
        <w:rPr>
          <w:rFonts w:asciiTheme="minorHAnsi" w:hAnsiTheme="minorHAnsi"/>
          <w:sz w:val="24"/>
          <w:szCs w:val="24"/>
        </w:rPr>
      </w:pPr>
      <w:r w:rsidRPr="001654E3">
        <w:rPr>
          <w:rFonts w:asciiTheme="minorHAnsi" w:hAnsiTheme="minorHAnsi"/>
          <w:sz w:val="24"/>
          <w:szCs w:val="24"/>
        </w:rPr>
        <w:t>Responsible use of AI in a small business means treating it as a support tool rather than a replacement for expertise. It can speed up research, generate ideas, and streamline communication, but decisions that affect customers, staff, or finances must still be grounded in human judgement. Human oversight is essential for editing AI outputs, ensuring the tone fits the business, the information is correct, and the final message aligns with ethical and professional standards. AI can enhance productivity, but the responsibility for accuracy and integrity ultimately remains with the business owner.</w:t>
      </w:r>
      <w:r w:rsidR="00AB48CB">
        <w:rPr>
          <w:rFonts w:asciiTheme="minorHAnsi" w:hAnsiTheme="minorHAnsi"/>
          <w:sz w:val="24"/>
          <w:szCs w:val="24"/>
        </w:rPr>
        <w:br/>
      </w:r>
      <w:r w:rsidR="00AB48CB">
        <w:rPr>
          <w:rFonts w:asciiTheme="minorHAnsi" w:hAnsiTheme="minorHAnsi"/>
          <w:sz w:val="24"/>
          <w:szCs w:val="24"/>
        </w:rPr>
        <w:br/>
        <w:t xml:space="preserve">I have used artificial intelligence to do my research and understanding the concept </w:t>
      </w:r>
      <w:r w:rsidR="00C24486">
        <w:rPr>
          <w:rFonts w:asciiTheme="minorHAnsi" w:hAnsiTheme="minorHAnsi"/>
          <w:sz w:val="24"/>
          <w:szCs w:val="24"/>
        </w:rPr>
        <w:t>on different subject.</w:t>
      </w:r>
    </w:p>
    <w:p w14:paraId="0CB5316E" w14:textId="77777777" w:rsidR="00F63F1E" w:rsidRDefault="00F63F1E" w:rsidP="001F65D9">
      <w:pPr>
        <w:rPr>
          <w:rFonts w:asciiTheme="minorHAnsi" w:hAnsiTheme="minorHAnsi"/>
          <w:sz w:val="24"/>
          <w:szCs w:val="24"/>
        </w:rPr>
      </w:pPr>
    </w:p>
    <w:p w14:paraId="1E35F1A6" w14:textId="77777777" w:rsidR="00F63F1E" w:rsidRPr="008F7232" w:rsidRDefault="00E71122" w:rsidP="00F63F1E">
      <w:pPr>
        <w:rPr>
          <w:b/>
          <w:bCs/>
          <w:sz w:val="32"/>
          <w:szCs w:val="32"/>
        </w:rPr>
      </w:pPr>
      <w:r>
        <w:rPr>
          <w:rFonts w:asciiTheme="minorHAnsi" w:hAnsiTheme="minorHAnsi"/>
          <w:sz w:val="24"/>
          <w:szCs w:val="24"/>
        </w:rPr>
        <w:br/>
      </w:r>
      <w:r w:rsidR="00F63F1E" w:rsidRPr="008F7232">
        <w:rPr>
          <w:b/>
          <w:bCs/>
          <w:sz w:val="32"/>
          <w:szCs w:val="32"/>
        </w:rPr>
        <w:t>Reference</w:t>
      </w:r>
    </w:p>
    <w:p w14:paraId="168438FC" w14:textId="77777777" w:rsidR="00F63F1E" w:rsidRPr="00F63F1E" w:rsidRDefault="00F63F1E" w:rsidP="00F63F1E">
      <w:pPr>
        <w:pStyle w:val="ListParagraph"/>
        <w:numPr>
          <w:ilvl w:val="0"/>
          <w:numId w:val="2"/>
        </w:numPr>
        <w:spacing w:after="160" w:line="278" w:lineRule="auto"/>
        <w:ind w:left="502"/>
        <w:rPr>
          <w:sz w:val="24"/>
          <w:szCs w:val="24"/>
        </w:rPr>
      </w:pPr>
      <w:r w:rsidRPr="00F63F1E">
        <w:rPr>
          <w:sz w:val="24"/>
          <w:szCs w:val="24"/>
        </w:rPr>
        <w:t xml:space="preserve">Bell, M. (2024) “Communicating with Your Lists,” </w:t>
      </w:r>
      <w:proofErr w:type="spellStart"/>
      <w:r w:rsidRPr="00F63F1E">
        <w:rPr>
          <w:i/>
          <w:iCs/>
          <w:sz w:val="24"/>
          <w:szCs w:val="24"/>
        </w:rPr>
        <w:t>Keap</w:t>
      </w:r>
      <w:proofErr w:type="spellEnd"/>
      <w:r w:rsidRPr="00F63F1E">
        <w:rPr>
          <w:i/>
          <w:iCs/>
          <w:sz w:val="24"/>
          <w:szCs w:val="24"/>
        </w:rPr>
        <w:t xml:space="preserve"> Cookbook</w:t>
      </w:r>
      <w:r w:rsidRPr="00F63F1E">
        <w:rPr>
          <w:sz w:val="24"/>
          <w:szCs w:val="24"/>
        </w:rPr>
        <w:t xml:space="preserve">. United Kingdom: </w:t>
      </w:r>
      <w:proofErr w:type="spellStart"/>
      <w:r w:rsidRPr="00F63F1E">
        <w:rPr>
          <w:sz w:val="24"/>
          <w:szCs w:val="24"/>
        </w:rPr>
        <w:t>Packt</w:t>
      </w:r>
      <w:proofErr w:type="spellEnd"/>
      <w:r w:rsidRPr="00F63F1E">
        <w:rPr>
          <w:sz w:val="24"/>
          <w:szCs w:val="24"/>
        </w:rPr>
        <w:t xml:space="preserve"> Publishing, Limited.</w:t>
      </w:r>
    </w:p>
    <w:p w14:paraId="698AE08E" w14:textId="77777777" w:rsidR="00F63F1E" w:rsidRPr="00F63F1E" w:rsidRDefault="00F63F1E" w:rsidP="00F63F1E">
      <w:pPr>
        <w:pStyle w:val="ListParagraph"/>
        <w:numPr>
          <w:ilvl w:val="0"/>
          <w:numId w:val="2"/>
        </w:numPr>
        <w:spacing w:after="160" w:line="278" w:lineRule="auto"/>
        <w:ind w:left="502"/>
        <w:rPr>
          <w:sz w:val="24"/>
          <w:szCs w:val="24"/>
        </w:rPr>
      </w:pPr>
      <w:r w:rsidRPr="00F63F1E">
        <w:rPr>
          <w:sz w:val="24"/>
          <w:szCs w:val="24"/>
        </w:rPr>
        <w:t xml:space="preserve">Hether, H.J., O’Connor-Coates, E. and Crittendon, R. (2023) “Process Evaluation of a Collaborative Social Media Health Campaign: An Analysis of Partner and User </w:t>
      </w:r>
      <w:r w:rsidRPr="00F63F1E">
        <w:rPr>
          <w:sz w:val="24"/>
          <w:szCs w:val="24"/>
        </w:rPr>
        <w:lastRenderedPageBreak/>
        <w:t xml:space="preserve">Engagement,” </w:t>
      </w:r>
      <w:r w:rsidRPr="00F63F1E">
        <w:rPr>
          <w:i/>
          <w:iCs/>
          <w:sz w:val="24"/>
          <w:szCs w:val="24"/>
        </w:rPr>
        <w:t>Health promotion practice</w:t>
      </w:r>
      <w:r w:rsidRPr="00F63F1E">
        <w:rPr>
          <w:sz w:val="24"/>
          <w:szCs w:val="24"/>
        </w:rPr>
        <w:t xml:space="preserve">, 24(4), pp. 723–727. Available at: </w:t>
      </w:r>
      <w:hyperlink r:id="rId7" w:history="1">
        <w:r w:rsidRPr="00F63F1E">
          <w:rPr>
            <w:rStyle w:val="Hyperlink"/>
            <w:sz w:val="24"/>
            <w:szCs w:val="24"/>
          </w:rPr>
          <w:t>https://doi.org/10.1177/15248399231152469</w:t>
        </w:r>
      </w:hyperlink>
      <w:r w:rsidRPr="00F63F1E">
        <w:rPr>
          <w:sz w:val="24"/>
          <w:szCs w:val="24"/>
        </w:rPr>
        <w:t>.</w:t>
      </w:r>
    </w:p>
    <w:p w14:paraId="0FD58C98" w14:textId="77777777" w:rsidR="00F63F1E" w:rsidRPr="00F63F1E" w:rsidRDefault="00F63F1E" w:rsidP="00F63F1E">
      <w:pPr>
        <w:pStyle w:val="ListParagraph"/>
        <w:numPr>
          <w:ilvl w:val="0"/>
          <w:numId w:val="2"/>
        </w:numPr>
        <w:spacing w:after="160" w:line="278" w:lineRule="auto"/>
        <w:ind w:left="502"/>
        <w:rPr>
          <w:sz w:val="24"/>
          <w:szCs w:val="24"/>
        </w:rPr>
      </w:pPr>
      <w:r w:rsidRPr="00F63F1E">
        <w:rPr>
          <w:sz w:val="24"/>
          <w:szCs w:val="24"/>
        </w:rPr>
        <w:t xml:space="preserve">Lin, X. </w:t>
      </w:r>
      <w:r w:rsidRPr="00F63F1E">
        <w:rPr>
          <w:i/>
          <w:iCs/>
          <w:sz w:val="24"/>
          <w:szCs w:val="24"/>
        </w:rPr>
        <w:t>et al.</w:t>
      </w:r>
      <w:r w:rsidRPr="00F63F1E">
        <w:rPr>
          <w:sz w:val="24"/>
          <w:szCs w:val="24"/>
        </w:rPr>
        <w:t xml:space="preserve"> (2024) “The Impact of Mental Perception of Digital QR Code Menus on Consumer Resistance in the Context of Big Data,” </w:t>
      </w:r>
      <w:r w:rsidRPr="00F63F1E">
        <w:rPr>
          <w:i/>
          <w:iCs/>
          <w:sz w:val="24"/>
          <w:szCs w:val="24"/>
        </w:rPr>
        <w:t>Proceedings of the 2024 5th International Conference on Big Data Economy and Information Management</w:t>
      </w:r>
      <w:r w:rsidRPr="00F63F1E">
        <w:rPr>
          <w:sz w:val="24"/>
          <w:szCs w:val="24"/>
        </w:rPr>
        <w:t>. New York, NY, USA: ACM, pp. 807–811. Available at: https://doi.org/10.1145/3724154.3724287.</w:t>
      </w:r>
    </w:p>
    <w:p w14:paraId="0E7F5101" w14:textId="77777777" w:rsidR="00F63F1E" w:rsidRPr="00F63F1E" w:rsidRDefault="00F63F1E" w:rsidP="00F63F1E">
      <w:pPr>
        <w:pStyle w:val="ListParagraph"/>
        <w:numPr>
          <w:ilvl w:val="0"/>
          <w:numId w:val="2"/>
        </w:numPr>
        <w:ind w:left="502"/>
        <w:rPr>
          <w:sz w:val="24"/>
          <w:szCs w:val="24"/>
        </w:rPr>
      </w:pPr>
      <w:r w:rsidRPr="00F63F1E">
        <w:rPr>
          <w:sz w:val="24"/>
          <w:szCs w:val="24"/>
        </w:rPr>
        <w:t xml:space="preserve">Shiferaw, M.W. </w:t>
      </w:r>
      <w:r w:rsidRPr="00F63F1E">
        <w:rPr>
          <w:i/>
          <w:iCs/>
          <w:sz w:val="24"/>
          <w:szCs w:val="24"/>
        </w:rPr>
        <w:t>et al.</w:t>
      </w:r>
      <w:r w:rsidRPr="00F63F1E">
        <w:rPr>
          <w:sz w:val="24"/>
          <w:szCs w:val="24"/>
        </w:rPr>
        <w:t xml:space="preserve"> (2024) “Assessing the accuracy and quality of artificial intelligence (AI) chatbot-generated responses in making patient-specific drug-therapy and healthcare-related decisions,” </w:t>
      </w:r>
      <w:r w:rsidRPr="00F63F1E">
        <w:rPr>
          <w:i/>
          <w:iCs/>
          <w:sz w:val="24"/>
          <w:szCs w:val="24"/>
        </w:rPr>
        <w:t>BMC medical informatics and decision making</w:t>
      </w:r>
      <w:r w:rsidRPr="00F63F1E">
        <w:rPr>
          <w:sz w:val="24"/>
          <w:szCs w:val="24"/>
        </w:rPr>
        <w:t>, 24(1). Available at: https://doi.org/10.1186/s12911-024-02824-5.</w:t>
      </w:r>
    </w:p>
    <w:p w14:paraId="4553462A" w14:textId="77777777" w:rsidR="00F63F1E" w:rsidRPr="00F63F1E" w:rsidRDefault="00F63F1E" w:rsidP="00F63F1E">
      <w:pPr>
        <w:pStyle w:val="ListParagraph"/>
        <w:numPr>
          <w:ilvl w:val="0"/>
          <w:numId w:val="2"/>
        </w:numPr>
        <w:spacing w:after="160" w:line="278" w:lineRule="auto"/>
        <w:ind w:left="502"/>
        <w:rPr>
          <w:sz w:val="24"/>
          <w:szCs w:val="24"/>
          <w:u w:val="thick"/>
        </w:rPr>
      </w:pPr>
      <w:r w:rsidRPr="00F63F1E">
        <w:rPr>
          <w:sz w:val="24"/>
          <w:szCs w:val="24"/>
          <w:u w:val="thick"/>
        </w:rPr>
        <w:t xml:space="preserve">Lim, S. and Jun, S. (2026) “From </w:t>
      </w:r>
      <w:proofErr w:type="spellStart"/>
      <w:r w:rsidRPr="00F63F1E">
        <w:rPr>
          <w:sz w:val="24"/>
          <w:szCs w:val="24"/>
          <w:u w:val="thick"/>
        </w:rPr>
        <w:t>Workslop</w:t>
      </w:r>
      <w:proofErr w:type="spellEnd"/>
      <w:r w:rsidRPr="00F63F1E">
        <w:rPr>
          <w:sz w:val="24"/>
          <w:szCs w:val="24"/>
          <w:u w:val="thick"/>
        </w:rPr>
        <w:t xml:space="preserve"> to Work: How AI Explanations Reconfigure Human Judgment in Creative Tasks,” in X. Tong et al. (eds.) </w:t>
      </w:r>
      <w:r w:rsidRPr="00F63F1E">
        <w:rPr>
          <w:i/>
          <w:iCs/>
          <w:sz w:val="24"/>
          <w:szCs w:val="24"/>
          <w:u w:val="thick"/>
        </w:rPr>
        <w:t>Proceedings of the Extended Abstracts of the 2026 CHI Conference on Human Factors in Computing Systems</w:t>
      </w:r>
      <w:r w:rsidRPr="00F63F1E">
        <w:rPr>
          <w:sz w:val="24"/>
          <w:szCs w:val="24"/>
          <w:u w:val="thick"/>
        </w:rPr>
        <w:t>. New York, NY, USA: ACM, pp. 1–6. Available at: https://doi.org/10.1145/3772363.3798328.</w:t>
      </w:r>
    </w:p>
    <w:p w14:paraId="42A5AD8B" w14:textId="05975F35" w:rsidR="001F65D9" w:rsidRPr="00732D44" w:rsidRDefault="00F63F1E" w:rsidP="00732D44">
      <w:pPr>
        <w:pStyle w:val="ListParagraph"/>
        <w:numPr>
          <w:ilvl w:val="0"/>
          <w:numId w:val="2"/>
        </w:numPr>
        <w:rPr>
          <w:rFonts w:asciiTheme="minorHAnsi" w:hAnsiTheme="minorHAnsi"/>
          <w:sz w:val="24"/>
          <w:szCs w:val="24"/>
        </w:rPr>
      </w:pPr>
      <w:r w:rsidRPr="00732D44">
        <w:rPr>
          <w:sz w:val="24"/>
          <w:szCs w:val="24"/>
        </w:rPr>
        <w:t xml:space="preserve">Shah, S. </w:t>
      </w:r>
      <w:r w:rsidRPr="00732D44">
        <w:rPr>
          <w:i/>
          <w:iCs/>
          <w:sz w:val="24"/>
          <w:szCs w:val="24"/>
        </w:rPr>
        <w:t>et al.</w:t>
      </w:r>
      <w:r w:rsidRPr="00732D44">
        <w:rPr>
          <w:sz w:val="24"/>
          <w:szCs w:val="24"/>
        </w:rPr>
        <w:t xml:space="preserve"> (2026) “</w:t>
      </w:r>
      <w:proofErr w:type="spellStart"/>
      <w:r w:rsidRPr="00732D44">
        <w:rPr>
          <w:sz w:val="24"/>
          <w:szCs w:val="24"/>
        </w:rPr>
        <w:t>RankCut</w:t>
      </w:r>
      <w:proofErr w:type="spellEnd"/>
      <w:r w:rsidRPr="00732D44">
        <w:rPr>
          <w:sz w:val="24"/>
          <w:szCs w:val="24"/>
        </w:rPr>
        <w:t xml:space="preserve">: A Ranking-Based LLM Approach to Extractive Summarization for Transcript-Based Video Editing,” in T. </w:t>
      </w:r>
      <w:proofErr w:type="spellStart"/>
      <w:r w:rsidRPr="00732D44">
        <w:rPr>
          <w:sz w:val="24"/>
          <w:szCs w:val="24"/>
        </w:rPr>
        <w:t>Kuflik</w:t>
      </w:r>
      <w:proofErr w:type="spellEnd"/>
      <w:r w:rsidRPr="00732D44">
        <w:rPr>
          <w:sz w:val="24"/>
          <w:szCs w:val="24"/>
        </w:rPr>
        <w:t xml:space="preserve"> et al. (eds.) </w:t>
      </w:r>
      <w:r w:rsidRPr="00732D44">
        <w:rPr>
          <w:i/>
          <w:iCs/>
          <w:sz w:val="24"/>
          <w:szCs w:val="24"/>
        </w:rPr>
        <w:t>Proceedings of the 31st International Conference on Intelligent User Interfaces</w:t>
      </w:r>
      <w:r w:rsidRPr="00732D44">
        <w:rPr>
          <w:sz w:val="24"/>
          <w:szCs w:val="24"/>
        </w:rPr>
        <w:t xml:space="preserve">. New York, NY, USA: ACM, pp. 1476–1495. Available at: </w:t>
      </w:r>
      <w:hyperlink r:id="rId8" w:history="1">
        <w:r w:rsidR="00732D44" w:rsidRPr="00294A0A">
          <w:rPr>
            <w:rStyle w:val="Hyperlink"/>
            <w:sz w:val="24"/>
            <w:szCs w:val="24"/>
          </w:rPr>
          <w:t>https://doi.org/10.1145/3742413.3789115</w:t>
        </w:r>
      </w:hyperlink>
      <w:r w:rsidRPr="00732D44">
        <w:rPr>
          <w:sz w:val="24"/>
          <w:szCs w:val="24"/>
        </w:rPr>
        <w:t>.</w:t>
      </w:r>
      <w:r w:rsidR="00732D44">
        <w:rPr>
          <w:sz w:val="24"/>
          <w:szCs w:val="24"/>
        </w:rPr>
        <w:t xml:space="preserve"> </w:t>
      </w:r>
      <w:r w:rsidR="00732D44">
        <w:rPr>
          <w:sz w:val="24"/>
          <w:szCs w:val="24"/>
        </w:rPr>
        <w:br/>
      </w:r>
    </w:p>
    <w:p w14:paraId="434C6F7F" w14:textId="77777777" w:rsidR="00594237" w:rsidRPr="00594237" w:rsidRDefault="00594237" w:rsidP="00594237">
      <w:pPr>
        <w:pStyle w:val="ListParagraph"/>
        <w:numPr>
          <w:ilvl w:val="0"/>
          <w:numId w:val="2"/>
        </w:numPr>
        <w:rPr>
          <w:sz w:val="24"/>
          <w:szCs w:val="24"/>
        </w:rPr>
      </w:pPr>
      <w:r w:rsidRPr="00594237">
        <w:rPr>
          <w:sz w:val="24"/>
          <w:szCs w:val="24"/>
        </w:rPr>
        <w:t xml:space="preserve">RUMP, B. </w:t>
      </w:r>
      <w:r w:rsidRPr="00594237">
        <w:rPr>
          <w:i/>
          <w:iCs/>
          <w:sz w:val="24"/>
          <w:szCs w:val="24"/>
        </w:rPr>
        <w:t>et al.</w:t>
      </w:r>
      <w:r w:rsidRPr="00594237">
        <w:rPr>
          <w:sz w:val="24"/>
          <w:szCs w:val="24"/>
        </w:rPr>
        <w:t xml:space="preserve"> (2017) “Using typing techniques in a specific outbreak: the ethical reflection of public health professionals,” </w:t>
      </w:r>
      <w:r w:rsidRPr="00594237">
        <w:rPr>
          <w:i/>
          <w:iCs/>
          <w:sz w:val="24"/>
          <w:szCs w:val="24"/>
        </w:rPr>
        <w:t>Epidemiology and infection</w:t>
      </w:r>
      <w:r w:rsidRPr="00594237">
        <w:rPr>
          <w:sz w:val="24"/>
          <w:szCs w:val="24"/>
        </w:rPr>
        <w:t>, 145(7), pp. 1431–1436. Available at: https://doi.org/10.1017/S0950268817000127.</w:t>
      </w:r>
    </w:p>
    <w:p w14:paraId="0603195F" w14:textId="77777777" w:rsidR="00732D44" w:rsidRPr="00732D44" w:rsidRDefault="00732D44" w:rsidP="00594237">
      <w:pPr>
        <w:pStyle w:val="ListParagraph"/>
        <w:rPr>
          <w:rFonts w:asciiTheme="minorHAnsi" w:hAnsiTheme="minorHAnsi"/>
          <w:sz w:val="24"/>
          <w:szCs w:val="24"/>
        </w:rPr>
      </w:pPr>
    </w:p>
    <w:p w14:paraId="117084A3" w14:textId="77777777" w:rsidR="00E71122" w:rsidRDefault="00E71122" w:rsidP="001F65D9">
      <w:pPr>
        <w:rPr>
          <w:rFonts w:asciiTheme="minorHAnsi" w:hAnsiTheme="minorHAnsi"/>
          <w:sz w:val="24"/>
          <w:szCs w:val="24"/>
        </w:rPr>
      </w:pPr>
    </w:p>
    <w:p w14:paraId="17F57559" w14:textId="77777777" w:rsidR="00471914" w:rsidRPr="00471914" w:rsidRDefault="00471914" w:rsidP="00471914">
      <w:pPr>
        <w:rPr>
          <w:rFonts w:asciiTheme="minorHAnsi" w:hAnsiTheme="minorHAnsi"/>
        </w:rPr>
      </w:pPr>
    </w:p>
    <w:p w14:paraId="237B5417" w14:textId="77777777" w:rsidR="00471914" w:rsidRPr="00471914" w:rsidRDefault="00471914" w:rsidP="00471914">
      <w:pPr>
        <w:rPr>
          <w:rFonts w:asciiTheme="minorHAnsi" w:hAnsiTheme="minorHAnsi"/>
        </w:rPr>
      </w:pPr>
    </w:p>
    <w:p w14:paraId="1A0216B0" w14:textId="770D21D0" w:rsidR="00471914" w:rsidRPr="00471914" w:rsidRDefault="00471914" w:rsidP="00471914">
      <w:pPr>
        <w:rPr>
          <w:rFonts w:asciiTheme="minorHAnsi" w:hAnsiTheme="minorHAnsi"/>
        </w:rPr>
      </w:pPr>
    </w:p>
    <w:p w14:paraId="25D3B7BE" w14:textId="77777777" w:rsidR="00471914" w:rsidRPr="00471914" w:rsidRDefault="00471914" w:rsidP="00471914">
      <w:pPr>
        <w:rPr>
          <w:rFonts w:asciiTheme="minorHAnsi" w:hAnsiTheme="minorHAnsi"/>
        </w:rPr>
      </w:pPr>
    </w:p>
    <w:p w14:paraId="20CA417A" w14:textId="77777777" w:rsidR="00471914" w:rsidRPr="00471914" w:rsidRDefault="00471914" w:rsidP="00471914">
      <w:pPr>
        <w:rPr>
          <w:rFonts w:asciiTheme="minorHAnsi" w:hAnsiTheme="minorHAnsi"/>
        </w:rPr>
      </w:pPr>
    </w:p>
    <w:p w14:paraId="1E14004F" w14:textId="77777777" w:rsidR="00471914" w:rsidRPr="00471914" w:rsidRDefault="00471914" w:rsidP="00471914">
      <w:pPr>
        <w:rPr>
          <w:rFonts w:asciiTheme="minorHAnsi" w:hAnsiTheme="minorHAnsi"/>
        </w:rPr>
      </w:pPr>
    </w:p>
    <w:p w14:paraId="7D7AA07C" w14:textId="77777777" w:rsidR="00471914" w:rsidRDefault="00471914" w:rsidP="00471914">
      <w:pPr>
        <w:rPr>
          <w:rFonts w:asciiTheme="minorHAnsi" w:hAnsiTheme="minorHAnsi"/>
          <w:sz w:val="24"/>
          <w:szCs w:val="24"/>
        </w:rPr>
      </w:pPr>
    </w:p>
    <w:p w14:paraId="12322287" w14:textId="286355EF" w:rsidR="00471914" w:rsidRPr="00471914" w:rsidRDefault="00471914" w:rsidP="00471914">
      <w:pPr>
        <w:tabs>
          <w:tab w:val="left" w:pos="5796"/>
        </w:tabs>
        <w:rPr>
          <w:rFonts w:asciiTheme="minorHAnsi" w:hAnsiTheme="minorHAnsi"/>
        </w:rPr>
      </w:pPr>
      <w:r>
        <w:rPr>
          <w:rFonts w:asciiTheme="minorHAnsi" w:hAnsiTheme="minorHAnsi"/>
        </w:rPr>
        <w:tab/>
      </w:r>
    </w:p>
    <w:sectPr w:rsidR="00471914" w:rsidRPr="0047191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BD3FB" w14:textId="77777777" w:rsidR="008978BF" w:rsidRDefault="008978BF" w:rsidP="001F65D9">
      <w:r>
        <w:separator/>
      </w:r>
    </w:p>
  </w:endnote>
  <w:endnote w:type="continuationSeparator" w:id="0">
    <w:p w14:paraId="4450FF29" w14:textId="77777777" w:rsidR="008978BF" w:rsidRDefault="008978BF" w:rsidP="001F6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41728" w14:textId="77777777" w:rsidR="008978BF" w:rsidRDefault="008978BF" w:rsidP="001F65D9">
      <w:r>
        <w:separator/>
      </w:r>
    </w:p>
  </w:footnote>
  <w:footnote w:type="continuationSeparator" w:id="0">
    <w:p w14:paraId="6D06272C" w14:textId="77777777" w:rsidR="008978BF" w:rsidRDefault="008978BF" w:rsidP="001F65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F74EB" w14:textId="0BF71EBF" w:rsidR="001F65D9" w:rsidRPr="001F65D9" w:rsidRDefault="002B1996">
    <w:pPr>
      <w:pStyle w:val="Header"/>
      <w:rPr>
        <w:lang w:val="en-US"/>
      </w:rPr>
    </w:pPr>
    <w:r>
      <w:rPr>
        <w:lang w:val="en-US"/>
      </w:rPr>
      <w:t xml:space="preserve">28/05/2026 </w:t>
    </w:r>
    <w:r w:rsidR="001F65D9">
      <w:rPr>
        <w:lang w:val="en-US"/>
      </w:rPr>
      <w:t xml:space="preserve">2537018 Patricia Horvathova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E58D6"/>
    <w:multiLevelType w:val="hybridMultilevel"/>
    <w:tmpl w:val="F44E0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6F2D09"/>
    <w:multiLevelType w:val="multilevel"/>
    <w:tmpl w:val="E4A8A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9557937">
    <w:abstractNumId w:val="1"/>
  </w:num>
  <w:num w:numId="2" w16cid:durableId="2054577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5D9"/>
    <w:rsid w:val="001654E3"/>
    <w:rsid w:val="0017172B"/>
    <w:rsid w:val="001F65D9"/>
    <w:rsid w:val="002B1996"/>
    <w:rsid w:val="003B3AE1"/>
    <w:rsid w:val="00471914"/>
    <w:rsid w:val="004B2588"/>
    <w:rsid w:val="00571800"/>
    <w:rsid w:val="00594237"/>
    <w:rsid w:val="00732D44"/>
    <w:rsid w:val="00794772"/>
    <w:rsid w:val="008758FC"/>
    <w:rsid w:val="008978BF"/>
    <w:rsid w:val="008B08D1"/>
    <w:rsid w:val="008B7086"/>
    <w:rsid w:val="008D3FB3"/>
    <w:rsid w:val="00923F46"/>
    <w:rsid w:val="00926A5F"/>
    <w:rsid w:val="00AB48CB"/>
    <w:rsid w:val="00C130C5"/>
    <w:rsid w:val="00C14575"/>
    <w:rsid w:val="00C22FA0"/>
    <w:rsid w:val="00C24486"/>
    <w:rsid w:val="00C353F1"/>
    <w:rsid w:val="00C77017"/>
    <w:rsid w:val="00CF0453"/>
    <w:rsid w:val="00D06DC0"/>
    <w:rsid w:val="00DB1167"/>
    <w:rsid w:val="00DF3AAC"/>
    <w:rsid w:val="00E164F6"/>
    <w:rsid w:val="00E71122"/>
    <w:rsid w:val="00F63F1E"/>
    <w:rsid w:val="00F74B49"/>
    <w:rsid w:val="00F85024"/>
    <w:rsid w:val="00FC1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747D"/>
  <w15:chartTrackingRefBased/>
  <w15:docId w15:val="{97689614-D935-4C62-9F52-EFC1FA8E1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5D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F6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5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5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5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5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5D9"/>
    <w:rPr>
      <w:rFonts w:eastAsiaTheme="majorEastAsia" w:cstheme="majorBidi"/>
      <w:color w:val="272727" w:themeColor="text1" w:themeTint="D8"/>
    </w:rPr>
  </w:style>
  <w:style w:type="paragraph" w:styleId="Title">
    <w:name w:val="Title"/>
    <w:basedOn w:val="Normal"/>
    <w:next w:val="Normal"/>
    <w:link w:val="TitleChar"/>
    <w:uiPriority w:val="10"/>
    <w:qFormat/>
    <w:rsid w:val="001F65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5D9"/>
    <w:pPr>
      <w:spacing w:before="160"/>
      <w:jc w:val="center"/>
    </w:pPr>
    <w:rPr>
      <w:i/>
      <w:iCs/>
      <w:color w:val="404040" w:themeColor="text1" w:themeTint="BF"/>
    </w:rPr>
  </w:style>
  <w:style w:type="character" w:customStyle="1" w:styleId="QuoteChar">
    <w:name w:val="Quote Char"/>
    <w:basedOn w:val="DefaultParagraphFont"/>
    <w:link w:val="Quote"/>
    <w:uiPriority w:val="29"/>
    <w:rsid w:val="001F65D9"/>
    <w:rPr>
      <w:i/>
      <w:iCs/>
      <w:color w:val="404040" w:themeColor="text1" w:themeTint="BF"/>
    </w:rPr>
  </w:style>
  <w:style w:type="paragraph" w:styleId="ListParagraph">
    <w:name w:val="List Paragraph"/>
    <w:basedOn w:val="Normal"/>
    <w:uiPriority w:val="34"/>
    <w:qFormat/>
    <w:rsid w:val="001F65D9"/>
    <w:pPr>
      <w:ind w:left="720"/>
      <w:contextualSpacing/>
    </w:pPr>
  </w:style>
  <w:style w:type="character" w:styleId="IntenseEmphasis">
    <w:name w:val="Intense Emphasis"/>
    <w:basedOn w:val="DefaultParagraphFont"/>
    <w:uiPriority w:val="21"/>
    <w:qFormat/>
    <w:rsid w:val="001F65D9"/>
    <w:rPr>
      <w:i/>
      <w:iCs/>
      <w:color w:val="0F4761" w:themeColor="accent1" w:themeShade="BF"/>
    </w:rPr>
  </w:style>
  <w:style w:type="paragraph" w:styleId="IntenseQuote">
    <w:name w:val="Intense Quote"/>
    <w:basedOn w:val="Normal"/>
    <w:next w:val="Normal"/>
    <w:link w:val="IntenseQuoteChar"/>
    <w:uiPriority w:val="30"/>
    <w:qFormat/>
    <w:rsid w:val="001F6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5D9"/>
    <w:rPr>
      <w:i/>
      <w:iCs/>
      <w:color w:val="0F4761" w:themeColor="accent1" w:themeShade="BF"/>
    </w:rPr>
  </w:style>
  <w:style w:type="character" w:styleId="IntenseReference">
    <w:name w:val="Intense Reference"/>
    <w:basedOn w:val="DefaultParagraphFont"/>
    <w:uiPriority w:val="32"/>
    <w:qFormat/>
    <w:rsid w:val="001F65D9"/>
    <w:rPr>
      <w:b/>
      <w:bCs/>
      <w:smallCaps/>
      <w:color w:val="0F4761" w:themeColor="accent1" w:themeShade="BF"/>
      <w:spacing w:val="5"/>
    </w:rPr>
  </w:style>
  <w:style w:type="paragraph" w:styleId="Header">
    <w:name w:val="header"/>
    <w:basedOn w:val="Normal"/>
    <w:link w:val="HeaderChar"/>
    <w:uiPriority w:val="99"/>
    <w:unhideWhenUsed/>
    <w:rsid w:val="001F65D9"/>
    <w:pPr>
      <w:tabs>
        <w:tab w:val="center" w:pos="4513"/>
        <w:tab w:val="right" w:pos="9026"/>
      </w:tabs>
    </w:pPr>
  </w:style>
  <w:style w:type="character" w:customStyle="1" w:styleId="HeaderChar">
    <w:name w:val="Header Char"/>
    <w:basedOn w:val="DefaultParagraphFont"/>
    <w:link w:val="Header"/>
    <w:uiPriority w:val="99"/>
    <w:rsid w:val="001F65D9"/>
  </w:style>
  <w:style w:type="paragraph" w:styleId="Footer">
    <w:name w:val="footer"/>
    <w:basedOn w:val="Normal"/>
    <w:link w:val="FooterChar"/>
    <w:uiPriority w:val="99"/>
    <w:unhideWhenUsed/>
    <w:rsid w:val="001F65D9"/>
    <w:pPr>
      <w:tabs>
        <w:tab w:val="center" w:pos="4513"/>
        <w:tab w:val="right" w:pos="9026"/>
      </w:tabs>
    </w:pPr>
  </w:style>
  <w:style w:type="character" w:customStyle="1" w:styleId="FooterChar">
    <w:name w:val="Footer Char"/>
    <w:basedOn w:val="DefaultParagraphFont"/>
    <w:link w:val="Footer"/>
    <w:uiPriority w:val="99"/>
    <w:rsid w:val="001F65D9"/>
  </w:style>
  <w:style w:type="character" w:styleId="Hyperlink">
    <w:name w:val="Hyperlink"/>
    <w:basedOn w:val="DefaultParagraphFont"/>
    <w:uiPriority w:val="99"/>
    <w:unhideWhenUsed/>
    <w:rsid w:val="00C77017"/>
    <w:rPr>
      <w:color w:val="467886" w:themeColor="hyperlink"/>
      <w:u w:val="single"/>
    </w:rPr>
  </w:style>
  <w:style w:type="character" w:styleId="UnresolvedMention">
    <w:name w:val="Unresolved Mention"/>
    <w:basedOn w:val="DefaultParagraphFont"/>
    <w:uiPriority w:val="99"/>
    <w:semiHidden/>
    <w:unhideWhenUsed/>
    <w:rsid w:val="00732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5/3742413.3789115" TargetMode="External"/><Relationship Id="rId3" Type="http://schemas.openxmlformats.org/officeDocument/2006/relationships/settings" Target="settings.xml"/><Relationship Id="rId7" Type="http://schemas.openxmlformats.org/officeDocument/2006/relationships/hyperlink" Target="https://doi.org/10.1177/1524839923115246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3</Pages>
  <Words>1016</Words>
  <Characters>5797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Pata H</dc:creator>
  <cp:keywords/>
  <dc:description/>
  <cp:lastModifiedBy>Pata H</cp:lastModifiedBy>
  <cp:revision>34</cp:revision>
  <dcterms:created xsi:type="dcterms:W3CDTF">2026-05-28T12:10:00Z</dcterms:created>
  <dcterms:modified xsi:type="dcterms:W3CDTF">2026-05-28T13:34:00Z</dcterms:modified>
</cp:coreProperties>
</file>