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87" w:rsidRDefault="008A7287" w:rsidP="002E167E">
      <w:pPr>
        <w:jc w:val="both"/>
        <w:rPr>
          <w:b/>
          <w:sz w:val="24"/>
          <w:szCs w:val="24"/>
        </w:rPr>
      </w:pPr>
    </w:p>
    <w:p w:rsidR="002E167E" w:rsidRDefault="002E167E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TEFL MODULE</w:t>
      </w:r>
      <w:r>
        <w:rPr>
          <w:b/>
          <w:sz w:val="24"/>
          <w:szCs w:val="24"/>
        </w:rPr>
        <w:tab/>
        <w:t xml:space="preserve">CSTF </w:t>
      </w:r>
      <w:proofErr w:type="gramStart"/>
      <w:r>
        <w:rPr>
          <w:b/>
          <w:sz w:val="24"/>
          <w:szCs w:val="24"/>
        </w:rPr>
        <w:t>4010 :</w:t>
      </w:r>
      <w:proofErr w:type="gramEnd"/>
      <w:r>
        <w:rPr>
          <w:b/>
          <w:sz w:val="24"/>
          <w:szCs w:val="24"/>
        </w:rPr>
        <w:t xml:space="preserve"> The Theory and Methodology of TEFL</w:t>
      </w:r>
    </w:p>
    <w:p w:rsidR="002E167E" w:rsidRDefault="002E167E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Assignments:-</w:t>
      </w:r>
    </w:p>
    <w:p w:rsidR="001C2E3B" w:rsidRPr="001C2E3B" w:rsidRDefault="001C2E3B" w:rsidP="002E167E">
      <w:pPr>
        <w:jc w:val="both"/>
        <w:rPr>
          <w:sz w:val="24"/>
          <w:szCs w:val="24"/>
        </w:rPr>
      </w:pPr>
      <w:r w:rsidRPr="001C2E3B">
        <w:rPr>
          <w:sz w:val="24"/>
          <w:szCs w:val="24"/>
        </w:rPr>
        <w:t>Please write 2 essays (2,500 words each minimum) from the following three choices</w:t>
      </w:r>
      <w:r>
        <w:rPr>
          <w:sz w:val="24"/>
          <w:szCs w:val="24"/>
        </w:rPr>
        <w:t>, including referencing and full bibliographical detail. For details of acceptable referencing formats see the English Department Handbook</w:t>
      </w:r>
      <w:r w:rsidRPr="001C2E3B">
        <w:rPr>
          <w:sz w:val="24"/>
          <w:szCs w:val="24"/>
        </w:rPr>
        <w:t>:-</w:t>
      </w:r>
    </w:p>
    <w:p w:rsidR="00E41AB7" w:rsidRDefault="00E41AB7" w:rsidP="002E167E">
      <w:pPr>
        <w:jc w:val="both"/>
        <w:rPr>
          <w:b/>
          <w:sz w:val="24"/>
          <w:szCs w:val="24"/>
        </w:rPr>
      </w:pPr>
    </w:p>
    <w:p w:rsidR="001C2E3B" w:rsidRDefault="001C2E3B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(1) </w:t>
      </w:r>
      <w:r w:rsidR="00701A4A">
        <w:rPr>
          <w:b/>
          <w:sz w:val="24"/>
          <w:szCs w:val="24"/>
        </w:rPr>
        <w:t>“</w:t>
      </w:r>
      <w:r>
        <w:rPr>
          <w:b/>
          <w:sz w:val="24"/>
          <w:szCs w:val="24"/>
        </w:rPr>
        <w:t xml:space="preserve">The most ambitious theory of </w:t>
      </w:r>
      <w:r w:rsidR="0056246C">
        <w:rPr>
          <w:b/>
          <w:sz w:val="24"/>
          <w:szCs w:val="24"/>
        </w:rPr>
        <w:t xml:space="preserve">the second language learning process is Stephen </w:t>
      </w:r>
      <w:proofErr w:type="spellStart"/>
      <w:r w:rsidR="0056246C">
        <w:rPr>
          <w:b/>
          <w:sz w:val="24"/>
          <w:szCs w:val="24"/>
        </w:rPr>
        <w:t>Krashen’s</w:t>
      </w:r>
      <w:proofErr w:type="spellEnd"/>
      <w:r w:rsidR="0056246C">
        <w:rPr>
          <w:b/>
          <w:sz w:val="24"/>
          <w:szCs w:val="24"/>
        </w:rPr>
        <w:t xml:space="preserve"> Monitor model</w:t>
      </w:r>
      <w:r w:rsidR="00701A4A">
        <w:rPr>
          <w:b/>
          <w:sz w:val="24"/>
          <w:szCs w:val="24"/>
        </w:rPr>
        <w:t>”</w:t>
      </w:r>
      <w:r w:rsidR="0056246C">
        <w:rPr>
          <w:b/>
          <w:sz w:val="24"/>
          <w:szCs w:val="24"/>
        </w:rPr>
        <w:t>. (McLaughlin 1987: p19)</w:t>
      </w:r>
    </w:p>
    <w:p w:rsidR="0056246C" w:rsidRPr="00701FB4" w:rsidRDefault="00D93208" w:rsidP="002E167E">
      <w:pPr>
        <w:jc w:val="both"/>
      </w:pPr>
      <w:r w:rsidRPr="00701FB4">
        <w:t>Research</w:t>
      </w:r>
      <w:r w:rsidR="0056246C" w:rsidRPr="00701FB4">
        <w:t xml:space="preserve"> </w:t>
      </w:r>
      <w:proofErr w:type="spellStart"/>
      <w:r w:rsidR="0056246C" w:rsidRPr="00701FB4">
        <w:t>Krashen’s</w:t>
      </w:r>
      <w:proofErr w:type="spellEnd"/>
      <w:r w:rsidR="0056246C" w:rsidRPr="00701FB4">
        <w:t xml:space="preserve"> motions of language learning particularly focusing upon the idea of the </w:t>
      </w:r>
      <w:r w:rsidRPr="00701FB4">
        <w:t>Monitor</w:t>
      </w:r>
      <w:r w:rsidR="0056246C" w:rsidRPr="00701FB4">
        <w:t xml:space="preserve">. Discuss the critical assessments that you would make of </w:t>
      </w:r>
      <w:proofErr w:type="spellStart"/>
      <w:r w:rsidR="0056246C" w:rsidRPr="00701FB4">
        <w:t>Krashen’s</w:t>
      </w:r>
      <w:proofErr w:type="spellEnd"/>
      <w:r w:rsidR="0056246C" w:rsidRPr="00701FB4">
        <w:t xml:space="preserve"> thinking and that have been made by other workers in the field of Applied Linguistics since </w:t>
      </w:r>
      <w:proofErr w:type="spellStart"/>
      <w:r w:rsidRPr="00701FB4">
        <w:t>Krashen</w:t>
      </w:r>
      <w:proofErr w:type="spellEnd"/>
      <w:r w:rsidR="0056246C" w:rsidRPr="00701FB4">
        <w:t xml:space="preserve"> proposed his view in the late 1970s</w:t>
      </w:r>
    </w:p>
    <w:p w:rsidR="00DE4173" w:rsidRDefault="00DE4173" w:rsidP="002E167E">
      <w:pPr>
        <w:jc w:val="both"/>
        <w:rPr>
          <w:b/>
          <w:sz w:val="24"/>
          <w:szCs w:val="24"/>
        </w:rPr>
      </w:pPr>
    </w:p>
    <w:p w:rsidR="001C2E3B" w:rsidRDefault="001C2E3B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(2</w:t>
      </w:r>
      <w:proofErr w:type="gramStart"/>
      <w:r>
        <w:rPr>
          <w:b/>
          <w:sz w:val="24"/>
          <w:szCs w:val="24"/>
        </w:rPr>
        <w:t>)</w:t>
      </w:r>
      <w:r w:rsidR="00E41AB7">
        <w:rPr>
          <w:b/>
          <w:sz w:val="24"/>
          <w:szCs w:val="24"/>
        </w:rPr>
        <w:t xml:space="preserve"> ”</w:t>
      </w:r>
      <w:proofErr w:type="gramEnd"/>
      <w:r w:rsidR="00E41AB7">
        <w:rPr>
          <w:b/>
          <w:sz w:val="24"/>
          <w:szCs w:val="24"/>
        </w:rPr>
        <w:t xml:space="preserve">The Lexical Approach develops many of the fundamental principles advanced by proponents of Communicative Approaches. The most important difference is the increased understanding </w:t>
      </w:r>
      <w:r w:rsidR="001A108C">
        <w:rPr>
          <w:b/>
          <w:sz w:val="24"/>
          <w:szCs w:val="24"/>
        </w:rPr>
        <w:t xml:space="preserve">of the nature of lexis in naturally occurring language, and its potential contribution to language pedagogy”. (Lewis 1993: </w:t>
      </w:r>
      <w:proofErr w:type="spellStart"/>
      <w:r w:rsidR="001A108C">
        <w:rPr>
          <w:b/>
          <w:sz w:val="24"/>
          <w:szCs w:val="24"/>
        </w:rPr>
        <w:t>pvi</w:t>
      </w:r>
      <w:proofErr w:type="spellEnd"/>
      <w:r w:rsidR="001A108C">
        <w:rPr>
          <w:b/>
          <w:sz w:val="24"/>
          <w:szCs w:val="24"/>
        </w:rPr>
        <w:t xml:space="preserve">) </w:t>
      </w:r>
    </w:p>
    <w:p w:rsidR="00232E9C" w:rsidRPr="00701FB4" w:rsidRDefault="00232E9C" w:rsidP="002E167E">
      <w:pPr>
        <w:jc w:val="both"/>
      </w:pPr>
      <w:r w:rsidRPr="00701FB4">
        <w:t xml:space="preserve">Critically assess how the emphasis on the lexical features of language use and learning is changing the methodology of TEFL.  </w:t>
      </w:r>
      <w:r w:rsidR="005E711E" w:rsidRPr="00701FB4">
        <w:t>Provide examples to explain how the Lexical Approach is being applied within the classroom. Are such approaches obtaining their stated goal of extending the Communicative Approach</w:t>
      </w:r>
      <w:bookmarkStart w:id="0" w:name="_GoBack"/>
      <w:bookmarkEnd w:id="0"/>
      <w:r w:rsidR="005E711E" w:rsidRPr="00701FB4">
        <w:t>?</w:t>
      </w:r>
    </w:p>
    <w:p w:rsidR="00DE4173" w:rsidRDefault="00DE4173" w:rsidP="002E167E">
      <w:pPr>
        <w:jc w:val="both"/>
        <w:rPr>
          <w:b/>
          <w:sz w:val="24"/>
          <w:szCs w:val="24"/>
        </w:rPr>
      </w:pPr>
    </w:p>
    <w:p w:rsidR="00453DF1" w:rsidRDefault="001C2E3B" w:rsidP="002E16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(3)</w:t>
      </w:r>
      <w:r w:rsidR="005E711E">
        <w:rPr>
          <w:b/>
          <w:sz w:val="24"/>
          <w:szCs w:val="24"/>
        </w:rPr>
        <w:t xml:space="preserve"> </w:t>
      </w:r>
      <w:r w:rsidR="00136679">
        <w:rPr>
          <w:b/>
          <w:sz w:val="24"/>
          <w:szCs w:val="24"/>
        </w:rPr>
        <w:t xml:space="preserve">The basic idea behind the turn in the 1980s and 1990s towards Communicative Approaches was that communication </w:t>
      </w:r>
      <w:r w:rsidR="00EB5F84">
        <w:rPr>
          <w:b/>
          <w:sz w:val="24"/>
          <w:szCs w:val="24"/>
        </w:rPr>
        <w:t xml:space="preserve">was the central aim of human language and, therefore, must be the focus of the language class. </w:t>
      </w:r>
    </w:p>
    <w:p w:rsidR="001C2E3B" w:rsidRPr="00701FB4" w:rsidRDefault="00EB5F84" w:rsidP="002E167E">
      <w:pPr>
        <w:jc w:val="both"/>
      </w:pPr>
      <w:r w:rsidRPr="00701FB4">
        <w:t>Critically assess this idea and consider how a communicative emphasis can be seen to have had both positive and negative influences within the language classroom.</w:t>
      </w:r>
    </w:p>
    <w:p w:rsidR="001C2E3B" w:rsidRPr="008A7287" w:rsidRDefault="001F1631" w:rsidP="002E167E">
      <w:pPr>
        <w:jc w:val="both"/>
      </w:pPr>
      <w:r w:rsidRPr="008A7287">
        <w:t>------------------------------------------------------------------------------------------------------------------------</w:t>
      </w:r>
    </w:p>
    <w:p w:rsidR="002E167E" w:rsidRPr="00725F25" w:rsidRDefault="008A7287" w:rsidP="00725F25">
      <w:pPr>
        <w:pStyle w:val="NoSpacing"/>
        <w:rPr>
          <w:b/>
        </w:rPr>
      </w:pPr>
      <w:r>
        <w:rPr>
          <w:b/>
        </w:rPr>
        <w:tab/>
      </w:r>
      <w:r w:rsidR="00725F25">
        <w:rPr>
          <w:b/>
        </w:rPr>
        <w:t xml:space="preserve">-  </w:t>
      </w:r>
      <w:proofErr w:type="gramStart"/>
      <w:r w:rsidR="00725F25">
        <w:rPr>
          <w:b/>
        </w:rPr>
        <w:t>a</w:t>
      </w:r>
      <w:r w:rsidR="00DE4173" w:rsidRPr="00725F25">
        <w:rPr>
          <w:b/>
        </w:rPr>
        <w:t>ssignments</w:t>
      </w:r>
      <w:proofErr w:type="gramEnd"/>
      <w:r w:rsidR="00DE4173" w:rsidRPr="00725F25">
        <w:rPr>
          <w:b/>
        </w:rPr>
        <w:t xml:space="preserve"> to be downloaded onto Moodle </w:t>
      </w:r>
      <w:r w:rsidR="00701FB4" w:rsidRPr="00725F25">
        <w:rPr>
          <w:b/>
        </w:rPr>
        <w:t xml:space="preserve">by </w:t>
      </w:r>
      <w:r w:rsidR="00E8350F">
        <w:rPr>
          <w:b/>
        </w:rPr>
        <w:t xml:space="preserve">Monday </w:t>
      </w:r>
      <w:r w:rsidR="00DE4173" w:rsidRPr="00725F25">
        <w:rPr>
          <w:b/>
        </w:rPr>
        <w:t>2</w:t>
      </w:r>
      <w:r w:rsidR="00E8350F">
        <w:rPr>
          <w:b/>
        </w:rPr>
        <w:t>2</w:t>
      </w:r>
      <w:r w:rsidR="00DE4173" w:rsidRPr="00725F25">
        <w:rPr>
          <w:b/>
        </w:rPr>
        <w:t>/0</w:t>
      </w:r>
      <w:r w:rsidR="00E8350F">
        <w:rPr>
          <w:b/>
        </w:rPr>
        <w:t>5</w:t>
      </w:r>
      <w:r w:rsidR="00DE4173" w:rsidRPr="00725F25">
        <w:rPr>
          <w:b/>
        </w:rPr>
        <w:t>/201</w:t>
      </w:r>
      <w:r w:rsidR="00E8350F">
        <w:rPr>
          <w:b/>
        </w:rPr>
        <w:t>7</w:t>
      </w:r>
      <w:r w:rsidR="00DE4173" w:rsidRPr="00725F25">
        <w:rPr>
          <w:b/>
        </w:rPr>
        <w:t>, i.e. Good Friday.</w:t>
      </w:r>
    </w:p>
    <w:p w:rsidR="00725F25" w:rsidRPr="00725F25" w:rsidRDefault="008A7287" w:rsidP="00725F25">
      <w:pPr>
        <w:pStyle w:val="NoSpacing"/>
        <w:rPr>
          <w:b/>
        </w:rPr>
      </w:pPr>
      <w:r>
        <w:rPr>
          <w:b/>
        </w:rPr>
        <w:tab/>
      </w:r>
      <w:r w:rsidR="00725F25">
        <w:rPr>
          <w:b/>
        </w:rPr>
        <w:t xml:space="preserve">- </w:t>
      </w:r>
      <w:proofErr w:type="gramStart"/>
      <w:r w:rsidR="00725F25">
        <w:rPr>
          <w:b/>
        </w:rPr>
        <w:t>f</w:t>
      </w:r>
      <w:r w:rsidR="00725F25" w:rsidRPr="00725F25">
        <w:rPr>
          <w:b/>
        </w:rPr>
        <w:t>or</w:t>
      </w:r>
      <w:proofErr w:type="gramEnd"/>
      <w:r w:rsidR="00725F25" w:rsidRPr="00725F25">
        <w:rPr>
          <w:b/>
        </w:rPr>
        <w:t xml:space="preserve"> details regarding referencing and bibliographies please refer to your TEFL Readers</w:t>
      </w:r>
    </w:p>
    <w:sectPr w:rsidR="00725F25" w:rsidRPr="00725F25" w:rsidSect="005A6A3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86A" w:rsidRDefault="004E686A" w:rsidP="00701FB4">
      <w:pPr>
        <w:spacing w:after="0" w:line="240" w:lineRule="auto"/>
      </w:pPr>
      <w:r>
        <w:separator/>
      </w:r>
    </w:p>
  </w:endnote>
  <w:endnote w:type="continuationSeparator" w:id="0">
    <w:p w:rsidR="004E686A" w:rsidRDefault="004E686A" w:rsidP="00701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672" w:rsidRPr="00117672" w:rsidRDefault="00117672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117672">
      <w:rPr>
        <w:sz w:val="20"/>
        <w:szCs w:val="20"/>
      </w:rPr>
      <w:t>David C. Williams, Lecturer EAP, Swansea Metropolitan University</w:t>
    </w:r>
  </w:p>
  <w:p w:rsidR="00117672" w:rsidRDefault="001176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86A" w:rsidRDefault="004E686A" w:rsidP="00701FB4">
      <w:pPr>
        <w:spacing w:after="0" w:line="240" w:lineRule="auto"/>
      </w:pPr>
      <w:r>
        <w:separator/>
      </w:r>
    </w:p>
  </w:footnote>
  <w:footnote w:type="continuationSeparator" w:id="0">
    <w:p w:rsidR="004E686A" w:rsidRDefault="004E686A" w:rsidP="00701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FB4" w:rsidRDefault="00701FB4">
    <w:pPr>
      <w:pStyle w:val="Header"/>
    </w:pPr>
    <w:r>
      <w:rPr>
        <w:noProof/>
        <w:lang w:eastAsia="en-GB"/>
      </w:rPr>
      <w:drawing>
        <wp:inline distT="0" distB="0" distL="0" distR="0">
          <wp:extent cx="2857500" cy="1181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167E"/>
    <w:rsid w:val="00117672"/>
    <w:rsid w:val="00136679"/>
    <w:rsid w:val="001A108C"/>
    <w:rsid w:val="001C2E3B"/>
    <w:rsid w:val="001F1631"/>
    <w:rsid w:val="00232E9C"/>
    <w:rsid w:val="002E167E"/>
    <w:rsid w:val="003B4ADE"/>
    <w:rsid w:val="00453DF1"/>
    <w:rsid w:val="0049450E"/>
    <w:rsid w:val="004E686A"/>
    <w:rsid w:val="0056246C"/>
    <w:rsid w:val="005A6A33"/>
    <w:rsid w:val="005E711E"/>
    <w:rsid w:val="006918D6"/>
    <w:rsid w:val="00701A4A"/>
    <w:rsid w:val="00701FB4"/>
    <w:rsid w:val="00725F25"/>
    <w:rsid w:val="008A7287"/>
    <w:rsid w:val="009D1151"/>
    <w:rsid w:val="00A66B01"/>
    <w:rsid w:val="00B40608"/>
    <w:rsid w:val="00D93208"/>
    <w:rsid w:val="00DE4173"/>
    <w:rsid w:val="00DF55B1"/>
    <w:rsid w:val="00E41AB7"/>
    <w:rsid w:val="00E8350F"/>
    <w:rsid w:val="00EB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DBFE07-3801-4996-A7A0-4F59C8D1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6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F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FB4"/>
  </w:style>
  <w:style w:type="paragraph" w:styleId="Footer">
    <w:name w:val="footer"/>
    <w:basedOn w:val="Normal"/>
    <w:link w:val="FooterChar"/>
    <w:uiPriority w:val="99"/>
    <w:unhideWhenUsed/>
    <w:rsid w:val="00701F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FB4"/>
  </w:style>
  <w:style w:type="paragraph" w:styleId="BalloonText">
    <w:name w:val="Balloon Text"/>
    <w:basedOn w:val="Normal"/>
    <w:link w:val="BalloonTextChar"/>
    <w:uiPriority w:val="99"/>
    <w:semiHidden/>
    <w:unhideWhenUsed/>
    <w:rsid w:val="00701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FB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25F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4</cp:revision>
  <cp:lastPrinted>2017-03-20T15:07:00Z</cp:lastPrinted>
  <dcterms:created xsi:type="dcterms:W3CDTF">2013-03-21T16:23:00Z</dcterms:created>
  <dcterms:modified xsi:type="dcterms:W3CDTF">2017-03-20T15:08:00Z</dcterms:modified>
</cp:coreProperties>
</file>