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D7C87" w14:textId="0E7C13FB" w:rsidR="00236009" w:rsidRPr="00236009" w:rsidRDefault="00236009" w:rsidP="00236009">
      <w:pPr>
        <w:spacing w:line="360" w:lineRule="auto"/>
        <w:rPr>
          <w:rFonts w:ascii="Arial" w:hAnsi="Arial" w:cs="Arial"/>
          <w:b/>
          <w:bCs/>
          <w:sz w:val="24"/>
          <w:szCs w:val="24"/>
        </w:rPr>
      </w:pPr>
      <w:r w:rsidRPr="00236009">
        <w:rPr>
          <w:rFonts w:ascii="Arial" w:hAnsi="Arial" w:cs="Arial"/>
          <w:noProof/>
        </w:rPr>
        <w:drawing>
          <wp:inline distT="0" distB="0" distL="0" distR="0" wp14:anchorId="0C5DA265" wp14:editId="7F2BA1C7">
            <wp:extent cx="1809750" cy="723900"/>
            <wp:effectExtent l="0" t="0" r="0" b="0"/>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7"/>
                    <a:stretch>
                      <a:fillRect/>
                    </a:stretch>
                  </pic:blipFill>
                  <pic:spPr>
                    <a:xfrm>
                      <a:off x="0" y="0"/>
                      <a:ext cx="1809750" cy="723900"/>
                    </a:xfrm>
                    <a:prstGeom prst="rect">
                      <a:avLst/>
                    </a:prstGeom>
                  </pic:spPr>
                </pic:pic>
              </a:graphicData>
            </a:graphic>
          </wp:inline>
        </w:drawing>
      </w:r>
    </w:p>
    <w:p w14:paraId="18E1F58A" w14:textId="77777777" w:rsidR="00236009" w:rsidRPr="00236009" w:rsidRDefault="00236009" w:rsidP="00236009">
      <w:pPr>
        <w:spacing w:line="360" w:lineRule="auto"/>
        <w:rPr>
          <w:rFonts w:ascii="Arial" w:hAnsi="Arial" w:cs="Arial"/>
          <w:b/>
          <w:bCs/>
          <w:sz w:val="24"/>
          <w:szCs w:val="24"/>
        </w:rPr>
      </w:pPr>
    </w:p>
    <w:p w14:paraId="0FEC583F" w14:textId="77777777" w:rsidR="00236009" w:rsidRPr="00236009" w:rsidRDefault="00236009" w:rsidP="00236009">
      <w:pPr>
        <w:spacing w:line="360" w:lineRule="auto"/>
        <w:rPr>
          <w:rFonts w:ascii="Arial" w:hAnsi="Arial" w:cs="Arial"/>
          <w:b/>
          <w:bCs/>
          <w:sz w:val="24"/>
          <w:szCs w:val="24"/>
        </w:rPr>
      </w:pPr>
    </w:p>
    <w:p w14:paraId="35D2CA68" w14:textId="77777777" w:rsidR="00236009" w:rsidRPr="00236009" w:rsidRDefault="00236009" w:rsidP="00236009">
      <w:pPr>
        <w:spacing w:line="360" w:lineRule="auto"/>
        <w:rPr>
          <w:rFonts w:ascii="Arial" w:hAnsi="Arial" w:cs="Arial"/>
          <w:b/>
          <w:bCs/>
          <w:sz w:val="24"/>
          <w:szCs w:val="24"/>
        </w:rPr>
      </w:pPr>
    </w:p>
    <w:p w14:paraId="06B6C478" w14:textId="77777777" w:rsidR="00236009" w:rsidRPr="00236009" w:rsidRDefault="00236009" w:rsidP="00236009">
      <w:pPr>
        <w:spacing w:line="360" w:lineRule="auto"/>
        <w:rPr>
          <w:rFonts w:ascii="Arial" w:hAnsi="Arial" w:cs="Arial"/>
          <w:b/>
          <w:bCs/>
          <w:sz w:val="32"/>
          <w:szCs w:val="32"/>
        </w:rPr>
      </w:pPr>
      <w:r w:rsidRPr="00236009">
        <w:rPr>
          <w:rFonts w:ascii="Arial" w:hAnsi="Arial" w:cs="Arial"/>
          <w:b/>
          <w:bCs/>
          <w:sz w:val="32"/>
          <w:szCs w:val="32"/>
        </w:rPr>
        <w:t>“The Importance of Communication, Administrative Skills, and Collaborative Working in Health and Social Care: A Case Study of Mr Ahmed”</w:t>
      </w:r>
    </w:p>
    <w:p w14:paraId="32A6E3F2" w14:textId="77777777" w:rsidR="00236009" w:rsidRDefault="00236009" w:rsidP="00236009">
      <w:pPr>
        <w:spacing w:line="360" w:lineRule="auto"/>
        <w:rPr>
          <w:rFonts w:ascii="Arial" w:hAnsi="Arial" w:cs="Arial"/>
          <w:b/>
          <w:bCs/>
          <w:sz w:val="32"/>
          <w:szCs w:val="32"/>
        </w:rPr>
      </w:pPr>
    </w:p>
    <w:p w14:paraId="05158194" w14:textId="77777777" w:rsidR="00236009" w:rsidRPr="00236009" w:rsidRDefault="00236009" w:rsidP="00236009">
      <w:pPr>
        <w:spacing w:line="360" w:lineRule="auto"/>
        <w:rPr>
          <w:rFonts w:ascii="Arial" w:hAnsi="Arial" w:cs="Arial"/>
          <w:b/>
          <w:bCs/>
          <w:sz w:val="32"/>
          <w:szCs w:val="32"/>
        </w:rPr>
      </w:pPr>
    </w:p>
    <w:p w14:paraId="43ED0B90" w14:textId="77777777" w:rsidR="00236009" w:rsidRPr="00236009" w:rsidRDefault="00236009" w:rsidP="00236009">
      <w:pPr>
        <w:spacing w:line="360" w:lineRule="auto"/>
        <w:rPr>
          <w:rFonts w:ascii="Arial" w:hAnsi="Arial" w:cs="Arial"/>
          <w:sz w:val="28"/>
          <w:szCs w:val="28"/>
        </w:rPr>
      </w:pPr>
      <w:r w:rsidRPr="00236009">
        <w:rPr>
          <w:rFonts w:ascii="Arial" w:hAnsi="Arial" w:cs="Arial"/>
          <w:b/>
          <w:bCs/>
          <w:sz w:val="28"/>
          <w:szCs w:val="28"/>
        </w:rPr>
        <w:t>Module Name:</w:t>
      </w:r>
      <w:r w:rsidRPr="00236009">
        <w:rPr>
          <w:rFonts w:ascii="Arial" w:hAnsi="Arial" w:cs="Arial"/>
          <w:sz w:val="28"/>
          <w:szCs w:val="28"/>
        </w:rPr>
        <w:t xml:space="preserve"> Introduction to Health and Social Care</w:t>
      </w:r>
    </w:p>
    <w:p w14:paraId="77E15DDD" w14:textId="77777777" w:rsidR="00236009" w:rsidRPr="00236009" w:rsidRDefault="00236009" w:rsidP="00236009">
      <w:pPr>
        <w:spacing w:line="360" w:lineRule="auto"/>
        <w:rPr>
          <w:rFonts w:ascii="Arial" w:hAnsi="Arial" w:cs="Arial"/>
          <w:sz w:val="28"/>
          <w:szCs w:val="28"/>
        </w:rPr>
      </w:pPr>
      <w:r w:rsidRPr="00236009">
        <w:rPr>
          <w:rFonts w:ascii="Arial" w:hAnsi="Arial" w:cs="Arial"/>
          <w:b/>
          <w:bCs/>
          <w:sz w:val="28"/>
          <w:szCs w:val="28"/>
        </w:rPr>
        <w:t>Module Code:</w:t>
      </w:r>
      <w:r w:rsidRPr="00236009">
        <w:rPr>
          <w:rFonts w:ascii="Arial" w:hAnsi="Arial" w:cs="Arial"/>
          <w:sz w:val="28"/>
          <w:szCs w:val="28"/>
        </w:rPr>
        <w:t xml:space="preserve"> LCHS4003</w:t>
      </w:r>
    </w:p>
    <w:p w14:paraId="1BDADD3A" w14:textId="2386771E" w:rsidR="00236009" w:rsidRPr="00236009" w:rsidRDefault="00236009" w:rsidP="00236009">
      <w:pPr>
        <w:spacing w:line="360" w:lineRule="auto"/>
        <w:rPr>
          <w:rFonts w:ascii="Arial" w:hAnsi="Arial" w:cs="Arial"/>
          <w:sz w:val="28"/>
          <w:szCs w:val="28"/>
        </w:rPr>
      </w:pPr>
      <w:r w:rsidRPr="00236009">
        <w:rPr>
          <w:rFonts w:ascii="Arial" w:hAnsi="Arial" w:cs="Arial"/>
          <w:b/>
          <w:bCs/>
          <w:sz w:val="28"/>
          <w:szCs w:val="28"/>
        </w:rPr>
        <w:t>Student Name:</w:t>
      </w:r>
      <w:r w:rsidRPr="00236009">
        <w:rPr>
          <w:rFonts w:ascii="Arial" w:hAnsi="Arial" w:cs="Arial"/>
          <w:sz w:val="28"/>
          <w:szCs w:val="28"/>
        </w:rPr>
        <w:t xml:space="preserve"> Rajneesh Sinha</w:t>
      </w:r>
    </w:p>
    <w:p w14:paraId="3665A9F3" w14:textId="42756C21" w:rsidR="00236009" w:rsidRPr="00236009" w:rsidRDefault="00236009" w:rsidP="00236009">
      <w:pPr>
        <w:spacing w:line="360" w:lineRule="auto"/>
        <w:rPr>
          <w:rFonts w:ascii="Arial" w:hAnsi="Arial" w:cs="Arial"/>
          <w:sz w:val="28"/>
          <w:szCs w:val="28"/>
        </w:rPr>
      </w:pPr>
      <w:r w:rsidRPr="00236009">
        <w:rPr>
          <w:rFonts w:ascii="Arial" w:hAnsi="Arial" w:cs="Arial"/>
          <w:b/>
          <w:bCs/>
          <w:sz w:val="28"/>
          <w:szCs w:val="28"/>
        </w:rPr>
        <w:t>Student ID:</w:t>
      </w:r>
      <w:r w:rsidRPr="00236009">
        <w:rPr>
          <w:rFonts w:ascii="Arial" w:hAnsi="Arial" w:cs="Arial"/>
          <w:sz w:val="28"/>
          <w:szCs w:val="28"/>
        </w:rPr>
        <w:t xml:space="preserve"> 2514106</w:t>
      </w:r>
    </w:p>
    <w:p w14:paraId="064AEDF7" w14:textId="6F6F8AE2" w:rsidR="003126D9" w:rsidRPr="003126D9" w:rsidRDefault="00236009" w:rsidP="003126D9">
      <w:pPr>
        <w:spacing w:line="360" w:lineRule="auto"/>
        <w:rPr>
          <w:rFonts w:ascii="Arial" w:hAnsi="Arial" w:cs="Arial"/>
          <w:sz w:val="28"/>
          <w:szCs w:val="28"/>
        </w:rPr>
      </w:pPr>
      <w:r w:rsidRPr="00236009">
        <w:rPr>
          <w:rFonts w:ascii="Arial" w:hAnsi="Arial" w:cs="Arial"/>
          <w:b/>
          <w:bCs/>
          <w:sz w:val="28"/>
          <w:szCs w:val="28"/>
        </w:rPr>
        <w:t>Lecturer’s Name:</w:t>
      </w:r>
      <w:r w:rsidRPr="00236009">
        <w:rPr>
          <w:rFonts w:ascii="Arial" w:hAnsi="Arial" w:cs="Arial"/>
          <w:sz w:val="28"/>
          <w:szCs w:val="28"/>
        </w:rPr>
        <w:t xml:space="preserve"> </w:t>
      </w:r>
      <w:r w:rsidR="003126D9">
        <w:rPr>
          <w:rFonts w:ascii="Arial" w:hAnsi="Arial" w:cs="Arial"/>
          <w:sz w:val="28"/>
          <w:szCs w:val="28"/>
        </w:rPr>
        <w:t>Dr Eleni</w:t>
      </w:r>
      <w:r w:rsidR="00D84FE1">
        <w:rPr>
          <w:rFonts w:ascii="Arial" w:hAnsi="Arial" w:cs="Arial"/>
          <w:sz w:val="28"/>
          <w:szCs w:val="28"/>
        </w:rPr>
        <w:t xml:space="preserve"> Koutsogeorgou</w:t>
      </w:r>
      <w:r w:rsidR="00C8541A">
        <w:rPr>
          <w:rFonts w:ascii="Arial" w:hAnsi="Arial" w:cs="Arial"/>
          <w:sz w:val="28"/>
          <w:szCs w:val="28"/>
        </w:rPr>
        <w:t>-Andreou</w:t>
      </w:r>
    </w:p>
    <w:tbl>
      <w:tblPr>
        <w:tblW w:w="9000" w:type="dxa"/>
        <w:shd w:val="clear" w:color="auto" w:fill="FFFFFF"/>
        <w:tblCellMar>
          <w:top w:w="15" w:type="dxa"/>
          <w:left w:w="15" w:type="dxa"/>
          <w:bottom w:w="15" w:type="dxa"/>
          <w:right w:w="15" w:type="dxa"/>
        </w:tblCellMar>
        <w:tblLook w:val="04A0" w:firstRow="1" w:lastRow="0" w:firstColumn="1" w:lastColumn="0" w:noHBand="0" w:noVBand="1"/>
      </w:tblPr>
      <w:tblGrid>
        <w:gridCol w:w="9015"/>
      </w:tblGrid>
      <w:tr w:rsidR="003126D9" w:rsidRPr="003126D9" w14:paraId="644C08FC" w14:textId="77777777">
        <w:tc>
          <w:tcPr>
            <w:tcW w:w="0" w:type="auto"/>
            <w:shd w:val="clear" w:color="auto" w:fill="FFFFFF"/>
            <w:tcMar>
              <w:top w:w="180" w:type="dxa"/>
              <w:left w:w="15" w:type="dxa"/>
              <w:bottom w:w="15" w:type="dxa"/>
              <w:right w:w="300" w:type="dxa"/>
            </w:tcMar>
            <w:vAlign w:val="center"/>
            <w:hideMark/>
          </w:tcPr>
          <w:tbl>
            <w:tblPr>
              <w:tblW w:w="8700" w:type="dxa"/>
              <w:tblCellMar>
                <w:top w:w="15" w:type="dxa"/>
                <w:left w:w="15" w:type="dxa"/>
                <w:bottom w:w="15" w:type="dxa"/>
                <w:right w:w="15" w:type="dxa"/>
              </w:tblCellMar>
              <w:tblLook w:val="04A0" w:firstRow="1" w:lastRow="0" w:firstColumn="1" w:lastColumn="0" w:noHBand="0" w:noVBand="1"/>
            </w:tblPr>
            <w:tblGrid>
              <w:gridCol w:w="8700"/>
            </w:tblGrid>
            <w:tr w:rsidR="003126D9" w:rsidRPr="003126D9" w14:paraId="733AC5FE" w14:textId="77777777">
              <w:tc>
                <w:tcPr>
                  <w:tcW w:w="0" w:type="auto"/>
                  <w:tcMar>
                    <w:top w:w="15" w:type="dxa"/>
                    <w:left w:w="15" w:type="dxa"/>
                    <w:bottom w:w="180" w:type="dxa"/>
                    <w:right w:w="15" w:type="dxa"/>
                  </w:tcMar>
                  <w:vAlign w:val="center"/>
                  <w:hideMark/>
                </w:tcPr>
                <w:p w14:paraId="0397D7B4" w14:textId="252FEA21" w:rsidR="003126D9" w:rsidRPr="003126D9" w:rsidRDefault="003126D9" w:rsidP="003126D9">
                  <w:pPr>
                    <w:spacing w:line="360" w:lineRule="auto"/>
                    <w:rPr>
                      <w:rFonts w:ascii="Arial" w:hAnsi="Arial" w:cs="Arial"/>
                      <w:sz w:val="28"/>
                      <w:szCs w:val="28"/>
                    </w:rPr>
                  </w:pPr>
                </w:p>
              </w:tc>
            </w:tr>
          </w:tbl>
          <w:p w14:paraId="30CA848E" w14:textId="77777777" w:rsidR="003126D9" w:rsidRPr="003126D9" w:rsidRDefault="003126D9" w:rsidP="003126D9">
            <w:pPr>
              <w:spacing w:line="360" w:lineRule="auto"/>
              <w:rPr>
                <w:rFonts w:ascii="Arial" w:hAnsi="Arial" w:cs="Arial"/>
                <w:sz w:val="28"/>
                <w:szCs w:val="28"/>
              </w:rPr>
            </w:pPr>
          </w:p>
        </w:tc>
      </w:tr>
    </w:tbl>
    <w:p w14:paraId="0A1F12F7" w14:textId="54019DBD" w:rsidR="001A1E36" w:rsidRPr="001A1E36" w:rsidRDefault="001A1E36" w:rsidP="001A1E36">
      <w:pPr>
        <w:spacing w:line="360" w:lineRule="auto"/>
        <w:rPr>
          <w:rFonts w:ascii="Arial" w:hAnsi="Arial" w:cs="Arial"/>
          <w:sz w:val="28"/>
          <w:szCs w:val="28"/>
        </w:rPr>
      </w:pPr>
    </w:p>
    <w:tbl>
      <w:tblPr>
        <w:tblW w:w="9000" w:type="dxa"/>
        <w:shd w:val="clear" w:color="auto" w:fill="FFFFFF"/>
        <w:tblCellMar>
          <w:top w:w="15" w:type="dxa"/>
          <w:left w:w="15" w:type="dxa"/>
          <w:bottom w:w="15" w:type="dxa"/>
          <w:right w:w="15" w:type="dxa"/>
        </w:tblCellMar>
        <w:tblLook w:val="04A0" w:firstRow="1" w:lastRow="0" w:firstColumn="1" w:lastColumn="0" w:noHBand="0" w:noVBand="1"/>
      </w:tblPr>
      <w:tblGrid>
        <w:gridCol w:w="9000"/>
      </w:tblGrid>
      <w:tr w:rsidR="001A1E36" w:rsidRPr="001A1E36" w14:paraId="383E01EE" w14:textId="77777777">
        <w:tc>
          <w:tcPr>
            <w:tcW w:w="0" w:type="auto"/>
            <w:shd w:val="clear" w:color="auto" w:fill="FFFFFF"/>
            <w:tcMar>
              <w:top w:w="180" w:type="dxa"/>
              <w:left w:w="15" w:type="dxa"/>
              <w:bottom w:w="15" w:type="dxa"/>
              <w:right w:w="300" w:type="dxa"/>
            </w:tcMar>
            <w:vAlign w:val="center"/>
            <w:hideMark/>
          </w:tcPr>
          <w:p w14:paraId="0DE228A5" w14:textId="77777777" w:rsidR="001A1E36" w:rsidRPr="001A1E36" w:rsidRDefault="001A1E36" w:rsidP="001A1E36">
            <w:pPr>
              <w:spacing w:line="360" w:lineRule="auto"/>
              <w:rPr>
                <w:rFonts w:ascii="Arial" w:hAnsi="Arial" w:cs="Arial"/>
                <w:sz w:val="28"/>
                <w:szCs w:val="28"/>
              </w:rPr>
            </w:pPr>
          </w:p>
        </w:tc>
      </w:tr>
    </w:tbl>
    <w:p w14:paraId="7535ABBC" w14:textId="3DDCE5F2" w:rsidR="00236009" w:rsidRPr="00236009" w:rsidRDefault="00236009" w:rsidP="00236009">
      <w:pPr>
        <w:spacing w:line="360" w:lineRule="auto"/>
        <w:rPr>
          <w:rFonts w:ascii="Arial" w:hAnsi="Arial" w:cs="Arial"/>
          <w:sz w:val="28"/>
          <w:szCs w:val="28"/>
        </w:rPr>
      </w:pPr>
    </w:p>
    <w:p w14:paraId="1DA3C526" w14:textId="77777777" w:rsidR="00236009" w:rsidRPr="00236009" w:rsidRDefault="00236009" w:rsidP="00236009">
      <w:pPr>
        <w:spacing w:line="360" w:lineRule="auto"/>
        <w:rPr>
          <w:rFonts w:ascii="Arial" w:hAnsi="Arial" w:cs="Arial"/>
          <w:sz w:val="28"/>
          <w:szCs w:val="28"/>
        </w:rPr>
      </w:pPr>
    </w:p>
    <w:p w14:paraId="44F74E09" w14:textId="77777777" w:rsidR="00236009" w:rsidRPr="00236009" w:rsidRDefault="00236009" w:rsidP="00236009">
      <w:pPr>
        <w:spacing w:line="360" w:lineRule="auto"/>
        <w:rPr>
          <w:rFonts w:ascii="Arial" w:hAnsi="Arial" w:cs="Arial"/>
          <w:sz w:val="24"/>
          <w:szCs w:val="24"/>
        </w:rPr>
      </w:pPr>
    </w:p>
    <w:p w14:paraId="604935FE" w14:textId="77777777" w:rsidR="00236009" w:rsidRPr="00236009" w:rsidRDefault="00236009" w:rsidP="00236009">
      <w:pPr>
        <w:spacing w:line="360" w:lineRule="auto"/>
        <w:rPr>
          <w:rFonts w:ascii="Arial" w:hAnsi="Arial" w:cs="Arial"/>
          <w:b/>
          <w:bCs/>
          <w:sz w:val="24"/>
          <w:szCs w:val="24"/>
        </w:rPr>
      </w:pPr>
    </w:p>
    <w:p w14:paraId="3C5AC409" w14:textId="77777777" w:rsidR="00236009" w:rsidRPr="00236009" w:rsidRDefault="00236009" w:rsidP="00236009">
      <w:pPr>
        <w:spacing w:line="360" w:lineRule="auto"/>
        <w:rPr>
          <w:rFonts w:ascii="Arial" w:hAnsi="Arial" w:cs="Arial"/>
          <w:b/>
          <w:bCs/>
          <w:sz w:val="24"/>
          <w:szCs w:val="24"/>
        </w:rPr>
      </w:pPr>
    </w:p>
    <w:p w14:paraId="2B030305" w14:textId="77777777" w:rsidR="00236009" w:rsidRPr="00236009" w:rsidRDefault="00236009" w:rsidP="00236009">
      <w:pPr>
        <w:spacing w:line="360" w:lineRule="auto"/>
        <w:rPr>
          <w:rFonts w:ascii="Arial" w:hAnsi="Arial" w:cs="Arial"/>
          <w:b/>
          <w:bCs/>
          <w:sz w:val="24"/>
          <w:szCs w:val="24"/>
        </w:rPr>
      </w:pPr>
    </w:p>
    <w:p w14:paraId="683799E7" w14:textId="77777777" w:rsidR="00236009" w:rsidRPr="00236009" w:rsidRDefault="00236009" w:rsidP="00236009">
      <w:pPr>
        <w:spacing w:line="360" w:lineRule="auto"/>
        <w:rPr>
          <w:rFonts w:ascii="Arial" w:hAnsi="Arial" w:cs="Arial"/>
          <w:b/>
          <w:bCs/>
          <w:sz w:val="24"/>
          <w:szCs w:val="24"/>
        </w:rPr>
      </w:pPr>
    </w:p>
    <w:p w14:paraId="103AC2CB" w14:textId="77777777" w:rsidR="00236009" w:rsidRPr="00236009" w:rsidRDefault="00236009" w:rsidP="00236009">
      <w:pPr>
        <w:spacing w:line="360" w:lineRule="auto"/>
        <w:rPr>
          <w:rFonts w:ascii="Arial" w:hAnsi="Arial" w:cs="Arial"/>
          <w:b/>
          <w:bCs/>
          <w:sz w:val="24"/>
          <w:szCs w:val="24"/>
        </w:rPr>
      </w:pPr>
    </w:p>
    <w:sdt>
      <w:sdtPr>
        <w:rPr>
          <w:rFonts w:ascii="Arial" w:eastAsiaTheme="minorHAnsi" w:hAnsi="Arial" w:cs="Arial"/>
          <w:color w:val="auto"/>
          <w:kern w:val="2"/>
          <w:sz w:val="22"/>
          <w:szCs w:val="22"/>
          <w:lang w:val="en-GB"/>
          <w14:ligatures w14:val="standardContextual"/>
        </w:rPr>
        <w:id w:val="-608054651"/>
        <w:docPartObj>
          <w:docPartGallery w:val="Table of Contents"/>
          <w:docPartUnique/>
        </w:docPartObj>
      </w:sdtPr>
      <w:sdtEndPr>
        <w:rPr>
          <w:b/>
          <w:bCs/>
          <w:noProof/>
        </w:rPr>
      </w:sdtEndPr>
      <w:sdtContent>
        <w:p w14:paraId="793C8B28" w14:textId="677F4BCB" w:rsidR="00236009" w:rsidRPr="00236009" w:rsidRDefault="00236009" w:rsidP="00236009">
          <w:pPr>
            <w:pStyle w:val="TOCHeading"/>
            <w:spacing w:line="360" w:lineRule="auto"/>
            <w:rPr>
              <w:rFonts w:ascii="Arial" w:hAnsi="Arial" w:cs="Arial"/>
            </w:rPr>
          </w:pPr>
          <w:r w:rsidRPr="00236009">
            <w:rPr>
              <w:rFonts w:ascii="Arial" w:hAnsi="Arial" w:cs="Arial"/>
            </w:rPr>
            <w:t xml:space="preserve">                               </w:t>
          </w:r>
          <w:r>
            <w:rPr>
              <w:rFonts w:ascii="Arial" w:hAnsi="Arial" w:cs="Arial"/>
            </w:rPr>
            <w:t xml:space="preserve"> </w:t>
          </w:r>
          <w:r w:rsidRPr="00236009">
            <w:rPr>
              <w:rFonts w:ascii="Arial" w:hAnsi="Arial" w:cs="Arial"/>
            </w:rPr>
            <w:t xml:space="preserve"> </w:t>
          </w:r>
          <w:r w:rsidRPr="00236009">
            <w:rPr>
              <w:rFonts w:ascii="Arial" w:hAnsi="Arial" w:cs="Arial"/>
              <w:u w:val="single"/>
            </w:rPr>
            <w:t>Table of Contents</w:t>
          </w:r>
        </w:p>
        <w:p w14:paraId="6CE8F9B0" w14:textId="28D7F322" w:rsidR="00236009" w:rsidRPr="00236009" w:rsidRDefault="00236009" w:rsidP="00236009">
          <w:pPr>
            <w:pStyle w:val="TOC1"/>
            <w:tabs>
              <w:tab w:val="right" w:leader="dot" w:pos="9016"/>
            </w:tabs>
            <w:spacing w:line="360" w:lineRule="auto"/>
            <w:rPr>
              <w:rFonts w:ascii="Arial" w:hAnsi="Arial" w:cs="Arial"/>
              <w:noProof/>
            </w:rPr>
          </w:pPr>
          <w:r w:rsidRPr="00236009">
            <w:rPr>
              <w:rFonts w:ascii="Arial" w:hAnsi="Arial" w:cs="Arial"/>
            </w:rPr>
            <w:fldChar w:fldCharType="begin"/>
          </w:r>
          <w:r w:rsidRPr="00236009">
            <w:rPr>
              <w:rFonts w:ascii="Arial" w:hAnsi="Arial" w:cs="Arial"/>
            </w:rPr>
            <w:instrText xml:space="preserve"> TOC \o "1-3" \h \z \u </w:instrText>
          </w:r>
          <w:r w:rsidRPr="00236009">
            <w:rPr>
              <w:rFonts w:ascii="Arial" w:hAnsi="Arial" w:cs="Arial"/>
            </w:rPr>
            <w:fldChar w:fldCharType="separate"/>
          </w:r>
          <w:hyperlink w:anchor="_Toc226117811" w:history="1">
            <w:r w:rsidRPr="00236009">
              <w:rPr>
                <w:rStyle w:val="Hyperlink"/>
                <w:rFonts w:ascii="Arial" w:hAnsi="Arial" w:cs="Arial"/>
                <w:noProof/>
              </w:rPr>
              <w:t>1. Introduction</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_Toc226117811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3</w:t>
            </w:r>
            <w:r w:rsidRPr="00236009">
              <w:rPr>
                <w:rFonts w:ascii="Arial" w:hAnsi="Arial" w:cs="Arial"/>
                <w:noProof/>
                <w:webHidden/>
              </w:rPr>
              <w:fldChar w:fldCharType="end"/>
            </w:r>
          </w:hyperlink>
        </w:p>
        <w:p w14:paraId="40BFCFBF" w14:textId="620A9D11" w:rsidR="00236009" w:rsidRPr="00236009" w:rsidRDefault="00236009" w:rsidP="00236009">
          <w:pPr>
            <w:pStyle w:val="TOC1"/>
            <w:tabs>
              <w:tab w:val="right" w:leader="dot" w:pos="9016"/>
            </w:tabs>
            <w:spacing w:line="360" w:lineRule="auto"/>
            <w:rPr>
              <w:rFonts w:ascii="Arial" w:hAnsi="Arial" w:cs="Arial"/>
              <w:noProof/>
            </w:rPr>
          </w:pPr>
          <w:hyperlink w:anchor="_Toc226117812" w:history="1">
            <w:r w:rsidRPr="00236009">
              <w:rPr>
                <w:rStyle w:val="Hyperlink"/>
                <w:rFonts w:ascii="Arial" w:hAnsi="Arial" w:cs="Arial"/>
                <w:noProof/>
              </w:rPr>
              <w:t>2. Importance of Effective Communication</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_Toc226117812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3</w:t>
            </w:r>
            <w:r w:rsidRPr="00236009">
              <w:rPr>
                <w:rFonts w:ascii="Arial" w:hAnsi="Arial" w:cs="Arial"/>
                <w:noProof/>
                <w:webHidden/>
              </w:rPr>
              <w:fldChar w:fldCharType="end"/>
            </w:r>
          </w:hyperlink>
        </w:p>
        <w:p w14:paraId="1991A124" w14:textId="2BF0BF29" w:rsidR="00236009" w:rsidRPr="00236009" w:rsidRDefault="00236009" w:rsidP="00236009">
          <w:pPr>
            <w:pStyle w:val="TOC1"/>
            <w:tabs>
              <w:tab w:val="right" w:leader="dot" w:pos="9016"/>
            </w:tabs>
            <w:spacing w:line="360" w:lineRule="auto"/>
            <w:rPr>
              <w:rFonts w:ascii="Arial" w:hAnsi="Arial" w:cs="Arial"/>
              <w:noProof/>
            </w:rPr>
          </w:pPr>
          <w:hyperlink w:anchor="_Toc226117813" w:history="1">
            <w:r w:rsidRPr="00236009">
              <w:rPr>
                <w:rStyle w:val="Hyperlink"/>
                <w:rFonts w:ascii="Arial" w:hAnsi="Arial" w:cs="Arial"/>
                <w:noProof/>
              </w:rPr>
              <w:t>3. Importance of Administrative Skills</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_Toc226117813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4</w:t>
            </w:r>
            <w:r w:rsidRPr="00236009">
              <w:rPr>
                <w:rFonts w:ascii="Arial" w:hAnsi="Arial" w:cs="Arial"/>
                <w:noProof/>
                <w:webHidden/>
              </w:rPr>
              <w:fldChar w:fldCharType="end"/>
            </w:r>
          </w:hyperlink>
        </w:p>
        <w:p w14:paraId="02DF91E3" w14:textId="7FEC050D" w:rsidR="00236009" w:rsidRPr="00236009" w:rsidRDefault="00236009" w:rsidP="00236009">
          <w:pPr>
            <w:pStyle w:val="TOC1"/>
            <w:tabs>
              <w:tab w:val="right" w:leader="dot" w:pos="9016"/>
            </w:tabs>
            <w:spacing w:line="360" w:lineRule="auto"/>
            <w:rPr>
              <w:rFonts w:ascii="Arial" w:hAnsi="Arial" w:cs="Arial"/>
              <w:noProof/>
            </w:rPr>
          </w:pPr>
          <w:hyperlink w:anchor="_Toc226117814" w:history="1">
            <w:r w:rsidRPr="00236009">
              <w:rPr>
                <w:rStyle w:val="Hyperlink"/>
                <w:rFonts w:ascii="Arial" w:hAnsi="Arial" w:cs="Arial"/>
                <w:noProof/>
              </w:rPr>
              <w:t>4. Importance of Collaborative Working</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_Toc226117814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5</w:t>
            </w:r>
            <w:r w:rsidRPr="00236009">
              <w:rPr>
                <w:rFonts w:ascii="Arial" w:hAnsi="Arial" w:cs="Arial"/>
                <w:noProof/>
                <w:webHidden/>
              </w:rPr>
              <w:fldChar w:fldCharType="end"/>
            </w:r>
          </w:hyperlink>
        </w:p>
        <w:p w14:paraId="55EC6098" w14:textId="14A79489" w:rsidR="00236009" w:rsidRPr="00236009" w:rsidRDefault="00236009" w:rsidP="00236009">
          <w:pPr>
            <w:pStyle w:val="TOC1"/>
            <w:tabs>
              <w:tab w:val="right" w:leader="dot" w:pos="9016"/>
            </w:tabs>
            <w:spacing w:line="360" w:lineRule="auto"/>
            <w:rPr>
              <w:rFonts w:ascii="Arial" w:hAnsi="Arial" w:cs="Arial"/>
              <w:noProof/>
            </w:rPr>
          </w:pPr>
          <w:hyperlink w:anchor="_Toc226117815" w:history="1">
            <w:r w:rsidRPr="00236009">
              <w:rPr>
                <w:rStyle w:val="Hyperlink"/>
                <w:rFonts w:ascii="Arial" w:hAnsi="Arial" w:cs="Arial"/>
                <w:noProof/>
              </w:rPr>
              <w:t>5. Conclusion</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_Toc226117815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6</w:t>
            </w:r>
            <w:r w:rsidRPr="00236009">
              <w:rPr>
                <w:rFonts w:ascii="Arial" w:hAnsi="Arial" w:cs="Arial"/>
                <w:noProof/>
                <w:webHidden/>
              </w:rPr>
              <w:fldChar w:fldCharType="end"/>
            </w:r>
          </w:hyperlink>
        </w:p>
        <w:p w14:paraId="68428AB9" w14:textId="409C873D" w:rsidR="00236009" w:rsidRPr="00236009" w:rsidRDefault="00236009" w:rsidP="00236009">
          <w:pPr>
            <w:pStyle w:val="TOC1"/>
            <w:tabs>
              <w:tab w:val="right" w:leader="dot" w:pos="9016"/>
            </w:tabs>
            <w:spacing w:line="360" w:lineRule="auto"/>
            <w:rPr>
              <w:rFonts w:ascii="Arial" w:hAnsi="Arial" w:cs="Arial"/>
              <w:noProof/>
            </w:rPr>
          </w:pPr>
          <w:hyperlink w:anchor="_Toc226117816" w:history="1">
            <w:r w:rsidRPr="00236009">
              <w:rPr>
                <w:rStyle w:val="Hyperlink"/>
                <w:rFonts w:ascii="Arial" w:hAnsi="Arial" w:cs="Arial"/>
                <w:noProof/>
              </w:rPr>
              <w:t>6. References</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_Toc226117816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7</w:t>
            </w:r>
            <w:r w:rsidRPr="00236009">
              <w:rPr>
                <w:rFonts w:ascii="Arial" w:hAnsi="Arial" w:cs="Arial"/>
                <w:noProof/>
                <w:webHidden/>
              </w:rPr>
              <w:fldChar w:fldCharType="end"/>
            </w:r>
          </w:hyperlink>
        </w:p>
        <w:p w14:paraId="22B37FE9" w14:textId="35D8F3B3" w:rsidR="00236009" w:rsidRPr="00236009" w:rsidRDefault="00236009" w:rsidP="00236009">
          <w:pPr>
            <w:spacing w:line="360" w:lineRule="auto"/>
            <w:rPr>
              <w:rFonts w:ascii="Arial" w:hAnsi="Arial" w:cs="Arial"/>
            </w:rPr>
          </w:pPr>
          <w:r w:rsidRPr="00236009">
            <w:rPr>
              <w:rFonts w:ascii="Arial" w:hAnsi="Arial" w:cs="Arial"/>
              <w:b/>
              <w:bCs/>
              <w:noProof/>
            </w:rPr>
            <w:fldChar w:fldCharType="end"/>
          </w:r>
        </w:p>
      </w:sdtContent>
    </w:sdt>
    <w:p w14:paraId="412E296B" w14:textId="77777777" w:rsidR="00236009" w:rsidRPr="00236009" w:rsidRDefault="00236009" w:rsidP="00236009">
      <w:pPr>
        <w:spacing w:line="360" w:lineRule="auto"/>
        <w:rPr>
          <w:rFonts w:ascii="Arial" w:hAnsi="Arial" w:cs="Arial"/>
          <w:b/>
          <w:bCs/>
          <w:sz w:val="24"/>
          <w:szCs w:val="24"/>
        </w:rPr>
      </w:pPr>
    </w:p>
    <w:p w14:paraId="1587905F" w14:textId="77777777" w:rsidR="00236009" w:rsidRPr="00236009" w:rsidRDefault="00236009" w:rsidP="00236009">
      <w:pPr>
        <w:spacing w:line="360" w:lineRule="auto"/>
        <w:rPr>
          <w:rFonts w:ascii="Arial" w:hAnsi="Arial" w:cs="Arial"/>
          <w:b/>
          <w:bCs/>
          <w:sz w:val="24"/>
          <w:szCs w:val="24"/>
        </w:rPr>
      </w:pPr>
    </w:p>
    <w:p w14:paraId="61BF6CDD" w14:textId="77777777" w:rsidR="00236009" w:rsidRPr="00236009" w:rsidRDefault="00236009" w:rsidP="00236009">
      <w:pPr>
        <w:spacing w:line="360" w:lineRule="auto"/>
        <w:rPr>
          <w:rFonts w:ascii="Arial" w:hAnsi="Arial" w:cs="Arial"/>
          <w:b/>
          <w:bCs/>
          <w:sz w:val="24"/>
          <w:szCs w:val="24"/>
        </w:rPr>
      </w:pPr>
    </w:p>
    <w:p w14:paraId="752C0F51" w14:textId="77777777" w:rsidR="00236009" w:rsidRPr="00236009" w:rsidRDefault="00236009" w:rsidP="00236009">
      <w:pPr>
        <w:spacing w:line="360" w:lineRule="auto"/>
        <w:rPr>
          <w:rFonts w:ascii="Arial" w:hAnsi="Arial" w:cs="Arial"/>
          <w:b/>
          <w:bCs/>
          <w:sz w:val="24"/>
          <w:szCs w:val="24"/>
        </w:rPr>
      </w:pPr>
    </w:p>
    <w:p w14:paraId="6676CC68" w14:textId="77777777" w:rsidR="00236009" w:rsidRPr="00236009" w:rsidRDefault="00236009" w:rsidP="00236009">
      <w:pPr>
        <w:spacing w:line="360" w:lineRule="auto"/>
        <w:rPr>
          <w:rFonts w:ascii="Arial" w:hAnsi="Arial" w:cs="Arial"/>
          <w:b/>
          <w:bCs/>
          <w:sz w:val="24"/>
          <w:szCs w:val="24"/>
        </w:rPr>
      </w:pPr>
    </w:p>
    <w:p w14:paraId="548C4676" w14:textId="77777777" w:rsidR="00236009" w:rsidRPr="00236009" w:rsidRDefault="00236009" w:rsidP="00236009">
      <w:pPr>
        <w:spacing w:line="360" w:lineRule="auto"/>
        <w:rPr>
          <w:rFonts w:ascii="Arial" w:hAnsi="Arial" w:cs="Arial"/>
          <w:b/>
          <w:bCs/>
          <w:sz w:val="24"/>
          <w:szCs w:val="24"/>
        </w:rPr>
      </w:pPr>
    </w:p>
    <w:p w14:paraId="2AB5FE9D" w14:textId="77777777" w:rsidR="00236009" w:rsidRPr="00236009" w:rsidRDefault="00236009" w:rsidP="00236009">
      <w:pPr>
        <w:spacing w:line="360" w:lineRule="auto"/>
        <w:rPr>
          <w:rFonts w:ascii="Arial" w:hAnsi="Arial" w:cs="Arial"/>
          <w:b/>
          <w:bCs/>
          <w:sz w:val="24"/>
          <w:szCs w:val="24"/>
        </w:rPr>
      </w:pPr>
    </w:p>
    <w:p w14:paraId="45322F7F" w14:textId="77777777" w:rsidR="00236009" w:rsidRPr="00236009" w:rsidRDefault="00236009" w:rsidP="00236009">
      <w:pPr>
        <w:spacing w:line="360" w:lineRule="auto"/>
        <w:rPr>
          <w:rFonts w:ascii="Arial" w:hAnsi="Arial" w:cs="Arial"/>
          <w:b/>
          <w:bCs/>
          <w:sz w:val="24"/>
          <w:szCs w:val="24"/>
        </w:rPr>
      </w:pPr>
    </w:p>
    <w:p w14:paraId="218C4069" w14:textId="77777777" w:rsidR="00236009" w:rsidRPr="00236009" w:rsidRDefault="00236009" w:rsidP="00236009">
      <w:pPr>
        <w:spacing w:line="360" w:lineRule="auto"/>
        <w:rPr>
          <w:rFonts w:ascii="Arial" w:hAnsi="Arial" w:cs="Arial"/>
          <w:b/>
          <w:bCs/>
          <w:sz w:val="24"/>
          <w:szCs w:val="24"/>
        </w:rPr>
      </w:pPr>
    </w:p>
    <w:p w14:paraId="525F1542" w14:textId="77777777" w:rsidR="00236009" w:rsidRPr="00236009" w:rsidRDefault="00236009" w:rsidP="00236009">
      <w:pPr>
        <w:spacing w:line="360" w:lineRule="auto"/>
        <w:rPr>
          <w:rFonts w:ascii="Arial" w:hAnsi="Arial" w:cs="Arial"/>
          <w:b/>
          <w:bCs/>
          <w:sz w:val="24"/>
          <w:szCs w:val="24"/>
        </w:rPr>
      </w:pPr>
    </w:p>
    <w:p w14:paraId="5B5218DB" w14:textId="77777777" w:rsidR="00236009" w:rsidRPr="00236009" w:rsidRDefault="00236009" w:rsidP="00236009">
      <w:pPr>
        <w:spacing w:line="360" w:lineRule="auto"/>
        <w:rPr>
          <w:rFonts w:ascii="Arial" w:hAnsi="Arial" w:cs="Arial"/>
          <w:b/>
          <w:bCs/>
          <w:sz w:val="24"/>
          <w:szCs w:val="24"/>
        </w:rPr>
      </w:pPr>
    </w:p>
    <w:p w14:paraId="7D1365C1" w14:textId="77777777" w:rsidR="00236009" w:rsidRPr="00236009" w:rsidRDefault="00236009" w:rsidP="00236009">
      <w:pPr>
        <w:spacing w:line="360" w:lineRule="auto"/>
        <w:rPr>
          <w:rFonts w:ascii="Arial" w:hAnsi="Arial" w:cs="Arial"/>
          <w:b/>
          <w:bCs/>
          <w:sz w:val="24"/>
          <w:szCs w:val="24"/>
        </w:rPr>
      </w:pPr>
    </w:p>
    <w:p w14:paraId="1019215A" w14:textId="77777777" w:rsidR="00236009" w:rsidRPr="00236009" w:rsidRDefault="00236009" w:rsidP="00236009">
      <w:pPr>
        <w:spacing w:line="360" w:lineRule="auto"/>
        <w:rPr>
          <w:rFonts w:ascii="Arial" w:hAnsi="Arial" w:cs="Arial"/>
          <w:b/>
          <w:bCs/>
          <w:sz w:val="24"/>
          <w:szCs w:val="24"/>
        </w:rPr>
      </w:pPr>
    </w:p>
    <w:p w14:paraId="05B83D81" w14:textId="77777777" w:rsidR="00236009" w:rsidRPr="00236009" w:rsidRDefault="00236009" w:rsidP="00236009">
      <w:pPr>
        <w:spacing w:line="360" w:lineRule="auto"/>
        <w:rPr>
          <w:rFonts w:ascii="Arial" w:hAnsi="Arial" w:cs="Arial"/>
          <w:b/>
          <w:bCs/>
          <w:sz w:val="24"/>
          <w:szCs w:val="24"/>
        </w:rPr>
      </w:pPr>
    </w:p>
    <w:p w14:paraId="3EAE907B" w14:textId="77777777" w:rsidR="00236009" w:rsidRPr="00236009" w:rsidRDefault="00236009" w:rsidP="00236009">
      <w:pPr>
        <w:spacing w:line="360" w:lineRule="auto"/>
        <w:rPr>
          <w:rFonts w:ascii="Arial" w:hAnsi="Arial" w:cs="Arial"/>
          <w:b/>
          <w:bCs/>
          <w:sz w:val="24"/>
          <w:szCs w:val="24"/>
        </w:rPr>
      </w:pPr>
    </w:p>
    <w:p w14:paraId="26260BA2" w14:textId="77777777" w:rsidR="00236009" w:rsidRPr="00236009" w:rsidRDefault="00236009" w:rsidP="00236009">
      <w:pPr>
        <w:spacing w:line="360" w:lineRule="auto"/>
        <w:rPr>
          <w:rFonts w:ascii="Arial" w:hAnsi="Arial" w:cs="Arial"/>
          <w:b/>
          <w:bCs/>
          <w:sz w:val="24"/>
          <w:szCs w:val="24"/>
        </w:rPr>
      </w:pPr>
    </w:p>
    <w:p w14:paraId="5A92E23A" w14:textId="77777777" w:rsidR="00236009" w:rsidRPr="00236009" w:rsidRDefault="00236009" w:rsidP="00236009">
      <w:pPr>
        <w:spacing w:line="360" w:lineRule="auto"/>
        <w:rPr>
          <w:rFonts w:ascii="Arial" w:hAnsi="Arial" w:cs="Arial"/>
          <w:b/>
          <w:bCs/>
          <w:sz w:val="24"/>
          <w:szCs w:val="24"/>
        </w:rPr>
      </w:pPr>
    </w:p>
    <w:p w14:paraId="64C7B85C" w14:textId="198E310A" w:rsidR="00236009" w:rsidRPr="00236009" w:rsidRDefault="00236009" w:rsidP="00236009">
      <w:pPr>
        <w:pStyle w:val="Heading1"/>
        <w:spacing w:line="360" w:lineRule="auto"/>
        <w:rPr>
          <w:rFonts w:ascii="Arial" w:hAnsi="Arial" w:cs="Arial"/>
        </w:rPr>
      </w:pPr>
      <w:bookmarkStart w:id="0" w:name="_Toc226117811"/>
      <w:r w:rsidRPr="00236009">
        <w:rPr>
          <w:rFonts w:ascii="Arial" w:hAnsi="Arial" w:cs="Arial"/>
        </w:rPr>
        <w:t>1. Introduction</w:t>
      </w:r>
      <w:bookmarkEnd w:id="0"/>
      <w:r w:rsidRPr="00236009">
        <w:rPr>
          <w:rFonts w:ascii="Arial" w:hAnsi="Arial" w:cs="Arial"/>
        </w:rPr>
        <w:t xml:space="preserve"> </w:t>
      </w:r>
    </w:p>
    <w:p w14:paraId="2660C537" w14:textId="3D38A24A" w:rsidR="00236009" w:rsidRPr="00F86D80" w:rsidRDefault="00BD376B" w:rsidP="00236009">
      <w:pPr>
        <w:spacing w:line="360" w:lineRule="auto"/>
        <w:rPr>
          <w:rFonts w:ascii="Arial" w:hAnsi="Arial" w:cs="Arial"/>
        </w:rPr>
      </w:pPr>
      <w:r w:rsidRPr="00BD376B">
        <w:rPr>
          <w:rFonts w:ascii="Arial" w:hAnsi="Arial" w:cs="Arial"/>
        </w:rPr>
        <w:t>In addition to the Equality Act 2010 and Data Protection Act 2018, the Care Act 2014 (UK Government, 2014) emphasises safeguarding</w:t>
      </w:r>
      <w:r>
        <w:rPr>
          <w:rFonts w:ascii="Arial" w:hAnsi="Arial" w:cs="Arial"/>
          <w:i/>
          <w:iCs/>
        </w:rPr>
        <w:t xml:space="preserve"> </w:t>
      </w:r>
      <w:r w:rsidR="00F86D80" w:rsidRPr="00F86D80">
        <w:rPr>
          <w:rFonts w:ascii="Arial" w:hAnsi="Arial" w:cs="Arial"/>
        </w:rPr>
        <w:t xml:space="preserve">and promoting wellbeing for vulnerable individuals like Mr Ahmed. Failures in communication and coordination, such as the missed domiciliary visit, highlight risks to patient safety and continuity of </w:t>
      </w:r>
      <w:r w:rsidR="00382326" w:rsidRPr="00F86D80">
        <w:rPr>
          <w:rFonts w:ascii="Arial" w:hAnsi="Arial" w:cs="Arial"/>
        </w:rPr>
        <w:t>care. The</w:t>
      </w:r>
      <w:r w:rsidR="00236009" w:rsidRPr="00F86D80">
        <w:rPr>
          <w:rFonts w:ascii="Arial" w:hAnsi="Arial" w:cs="Arial"/>
        </w:rPr>
        <w:t xml:space="preserve"> case of Mr</w:t>
      </w:r>
      <w:r w:rsidR="00382326">
        <w:rPr>
          <w:rFonts w:ascii="Arial" w:hAnsi="Arial" w:cs="Arial"/>
        </w:rPr>
        <w:t>.</w:t>
      </w:r>
      <w:r w:rsidR="00236009" w:rsidRPr="00F86D80">
        <w:rPr>
          <w:rFonts w:ascii="Arial" w:hAnsi="Arial" w:cs="Arial"/>
        </w:rPr>
        <w:t xml:space="preserve"> Ahmed is a 68-year-old stroke patient with complex care needs, both in terms of language barriers and the use of a multidisciplinary team to assist him. All these aspects make effective communication, proper records management and coordinated care delivery more significant. The existence of failures in any of these areas can cause serious risks as the example of missed domiciliary care visit has demonstrated, causing medication delays. This report discusses how the communication models and legal frameworks including the Equality Act 2010 can be used to facilitate inclusive care and how the administration practice based on the Data Protection Act 2018 can be used to maintain confidentiality and safety. It also appraises how collaborative working is useful in enhancing patient outcomes. The discussion will be based on the recent scholarly literature to examine the obstacles and suggest effective measures to improve the quality of care and patient safety.</w:t>
      </w:r>
    </w:p>
    <w:p w14:paraId="6DA9D5DA" w14:textId="143227B2" w:rsidR="00236009" w:rsidRPr="00236009" w:rsidRDefault="00236009" w:rsidP="00236009">
      <w:pPr>
        <w:pStyle w:val="Heading1"/>
        <w:spacing w:line="360" w:lineRule="auto"/>
        <w:rPr>
          <w:rFonts w:ascii="Arial" w:hAnsi="Arial" w:cs="Arial"/>
        </w:rPr>
      </w:pPr>
      <w:bookmarkStart w:id="1" w:name="_Toc226117812"/>
      <w:r w:rsidRPr="00236009">
        <w:rPr>
          <w:rFonts w:ascii="Arial" w:hAnsi="Arial" w:cs="Arial"/>
        </w:rPr>
        <w:t>2. Importance of Effective Communication</w:t>
      </w:r>
      <w:bookmarkEnd w:id="1"/>
      <w:r w:rsidRPr="00236009">
        <w:rPr>
          <w:rFonts w:ascii="Arial" w:hAnsi="Arial" w:cs="Arial"/>
        </w:rPr>
        <w:t xml:space="preserve"> </w:t>
      </w:r>
    </w:p>
    <w:p w14:paraId="0844E761" w14:textId="4D0E1D02" w:rsidR="00236009" w:rsidRPr="00F86D80" w:rsidRDefault="00236009" w:rsidP="00236009">
      <w:pPr>
        <w:spacing w:line="360" w:lineRule="auto"/>
        <w:rPr>
          <w:rFonts w:ascii="Arial" w:hAnsi="Arial" w:cs="Arial"/>
        </w:rPr>
      </w:pPr>
      <w:r w:rsidRPr="00F86D80">
        <w:rPr>
          <w:rFonts w:ascii="Arial" w:hAnsi="Arial" w:cs="Arial"/>
        </w:rPr>
        <w:t xml:space="preserve">Communication is also vital in terms of the provision of safe and person-centred care especially in cases that are complex like the one of Mr Ahmed. </w:t>
      </w:r>
      <w:r w:rsidR="00F86D80" w:rsidRPr="00F86D80">
        <w:rPr>
          <w:rFonts w:ascii="Arial" w:hAnsi="Arial" w:cs="Arial"/>
        </w:rPr>
        <w:t xml:space="preserve">In the UK, </w:t>
      </w:r>
      <w:r w:rsidR="00F86D80" w:rsidRPr="00F86D80">
        <w:rPr>
          <w:rFonts w:ascii="Arial" w:hAnsi="Arial" w:cs="Arial"/>
          <w:b/>
          <w:bCs/>
        </w:rPr>
        <w:t>NHS interpreter services</w:t>
      </w:r>
      <w:r w:rsidR="00F86D80" w:rsidRPr="00F86D80">
        <w:rPr>
          <w:rFonts w:ascii="Arial" w:hAnsi="Arial" w:cs="Arial"/>
        </w:rPr>
        <w:t xml:space="preserve"> can be used to support patients with language barriers like Mr Ahmed.</w:t>
      </w:r>
      <w:r w:rsidRPr="00F86D80">
        <w:rPr>
          <w:rFonts w:ascii="Arial" w:hAnsi="Arial" w:cs="Arial"/>
        </w:rPr>
        <w:t xml:space="preserve"> Ineffective communication within the healthcare has been associated with more risks of making errors and lower patient satisfaction (Karim et al., 2022). </w:t>
      </w:r>
    </w:p>
    <w:p w14:paraId="3573DF53" w14:textId="77777777" w:rsidR="00236009" w:rsidRPr="00F86D80" w:rsidRDefault="00236009" w:rsidP="00236009">
      <w:pPr>
        <w:spacing w:line="360" w:lineRule="auto"/>
        <w:rPr>
          <w:rFonts w:ascii="Arial" w:hAnsi="Arial" w:cs="Arial"/>
        </w:rPr>
      </w:pPr>
      <w:r w:rsidRPr="00F86D80">
        <w:rPr>
          <w:rFonts w:ascii="Arial" w:hAnsi="Arial" w:cs="Arial"/>
        </w:rPr>
        <w:t xml:space="preserve">The Shannon and Weaver model brings out the fact that communication is done with a sender, message, channel, and receiver, and that noise may interfere with the process. Language differences and cognitive impairment are the barriers in Mr Ahmed case which contribute to the lack of clarity in the exchanged information. This enhances the chances of a breakdown in communication especially on medication prescriptions and the care regimen. </w:t>
      </w:r>
    </w:p>
    <w:p w14:paraId="17D2C996" w14:textId="70AC46B9" w:rsidR="00236009" w:rsidRPr="00F86D80" w:rsidRDefault="00BD376B" w:rsidP="00236009">
      <w:pPr>
        <w:spacing w:line="360" w:lineRule="auto"/>
        <w:rPr>
          <w:rFonts w:ascii="Arial" w:hAnsi="Arial" w:cs="Arial"/>
        </w:rPr>
      </w:pPr>
      <w:r w:rsidRPr="003474E3">
        <w:rPr>
          <w:rFonts w:ascii="Arial" w:hAnsi="Arial" w:cs="Arial"/>
        </w:rPr>
        <w:lastRenderedPageBreak/>
        <w:t>The NHS Accessible Information Standard (2016) legally requires healthcare providers to identify and meet the communication needs of patients with disabilities or language barriers. This implies that reasonable accommodation should be done like availing professional interpreters or means of communication</w:t>
      </w:r>
      <w:r w:rsidR="00236009" w:rsidRPr="00F86D80">
        <w:rPr>
          <w:rFonts w:ascii="Arial" w:hAnsi="Arial" w:cs="Arial"/>
        </w:rPr>
        <w:t xml:space="preserve">. It has been found that culturally competent communication enhances health outcomes and patient engagement (Galea et al., 2024). </w:t>
      </w:r>
    </w:p>
    <w:p w14:paraId="02ABFF00" w14:textId="77777777" w:rsidR="00BD376B" w:rsidRDefault="00236009" w:rsidP="00236009">
      <w:pPr>
        <w:spacing w:line="360" w:lineRule="auto"/>
        <w:rPr>
          <w:rFonts w:ascii="Arial" w:hAnsi="Arial" w:cs="Arial"/>
          <w:i/>
          <w:iCs/>
        </w:rPr>
      </w:pPr>
      <w:r w:rsidRPr="00F86D80">
        <w:rPr>
          <w:rFonts w:ascii="Arial" w:hAnsi="Arial" w:cs="Arial"/>
        </w:rPr>
        <w:t xml:space="preserve">Practically, it is possible to enhance comprehension with the help of such strategies as simple language, visual communication, and non-verbal communication. In spite of the fact that the wife of Mr Ahmed encourages communication, the dependency on the family members may lead to risks, such as confidentiality violation and incorrect translation. </w:t>
      </w:r>
      <w:r w:rsidR="00BD376B" w:rsidRPr="00BD376B">
        <w:rPr>
          <w:rFonts w:ascii="Arial" w:hAnsi="Arial" w:cs="Arial"/>
          <w:i/>
          <w:iCs/>
        </w:rPr>
        <w:t xml:space="preserve">In the </w:t>
      </w:r>
      <w:r w:rsidR="00BD376B" w:rsidRPr="003474E3">
        <w:rPr>
          <w:rFonts w:ascii="Arial" w:hAnsi="Arial" w:cs="Arial"/>
        </w:rPr>
        <w:t>UK, NHS professional interpreters and Speech and Language Therapy services minimize clinical risks for stroke patients like Mr Ahmed (Vandemeulebroucke and Bolte, 2025; NHS England, 2016).</w:t>
      </w:r>
    </w:p>
    <w:p w14:paraId="1D5D6C31" w14:textId="126D358C" w:rsidR="00236009" w:rsidRPr="00F86D80" w:rsidRDefault="00236009" w:rsidP="00236009">
      <w:pPr>
        <w:spacing w:line="360" w:lineRule="auto"/>
        <w:rPr>
          <w:rFonts w:ascii="Arial" w:hAnsi="Arial" w:cs="Arial"/>
        </w:rPr>
      </w:pPr>
      <w:r w:rsidRPr="00F86D80">
        <w:rPr>
          <w:rFonts w:ascii="Arial" w:hAnsi="Arial" w:cs="Arial"/>
        </w:rPr>
        <w:t>More importantly, poor communication may have a direct effect on patient safety. The missed medication incidence can partially be attributed to the lapses in communication between the care providers and the patient. As such, it is necessary to implement the person-centred approach which takes into account the cultural and linguistic requirements. To reduce risks and enhance the quality of care, healthcare professionals should make sure that communication is effective, inclusive, and tailored to the needs of the person to make it clear and understandable.</w:t>
      </w:r>
    </w:p>
    <w:p w14:paraId="71BD40FC" w14:textId="4E41396D" w:rsidR="00236009" w:rsidRPr="00236009" w:rsidRDefault="00236009" w:rsidP="00236009">
      <w:pPr>
        <w:pStyle w:val="Heading1"/>
        <w:spacing w:line="360" w:lineRule="auto"/>
        <w:rPr>
          <w:rFonts w:ascii="Arial" w:hAnsi="Arial" w:cs="Arial"/>
        </w:rPr>
      </w:pPr>
      <w:bookmarkStart w:id="2" w:name="_Toc226117813"/>
      <w:r w:rsidRPr="00236009">
        <w:rPr>
          <w:rFonts w:ascii="Arial" w:hAnsi="Arial" w:cs="Arial"/>
        </w:rPr>
        <w:t>3. Importance of Administrative Skills</w:t>
      </w:r>
      <w:bookmarkEnd w:id="2"/>
      <w:r w:rsidRPr="00236009">
        <w:rPr>
          <w:rFonts w:ascii="Arial" w:hAnsi="Arial" w:cs="Arial"/>
        </w:rPr>
        <w:t xml:space="preserve"> </w:t>
      </w:r>
    </w:p>
    <w:p w14:paraId="64BE4C5E" w14:textId="77777777" w:rsidR="00236009" w:rsidRPr="00F86D80" w:rsidRDefault="00236009" w:rsidP="00236009">
      <w:pPr>
        <w:spacing w:line="360" w:lineRule="auto"/>
        <w:rPr>
          <w:rFonts w:ascii="Arial" w:hAnsi="Arial" w:cs="Arial"/>
        </w:rPr>
      </w:pPr>
      <w:r w:rsidRPr="00F86D80">
        <w:rPr>
          <w:rFonts w:ascii="Arial" w:hAnsi="Arial" w:cs="Arial"/>
        </w:rPr>
        <w:t xml:space="preserve">The skills of the administrator are important to ensure the safety of patients, their accountability and continuity of care. The case of Mr Ahmed is characterized by the failure to visit domiciliary care, which marks a failure in the administrative procedures, thus, leading to the late provision of medication and possible injuries. This shows that bad record keeping and coordination may have a direct impact on patient outcomes. </w:t>
      </w:r>
    </w:p>
    <w:p w14:paraId="3FF4EE85" w14:textId="326F29A0" w:rsidR="00BD376B" w:rsidRPr="00BD376B" w:rsidRDefault="00236009" w:rsidP="00236009">
      <w:pPr>
        <w:spacing w:line="360" w:lineRule="auto"/>
        <w:rPr>
          <w:rFonts w:ascii="Arial" w:hAnsi="Arial" w:cs="Arial"/>
        </w:rPr>
      </w:pPr>
      <w:r w:rsidRPr="00F86D80">
        <w:rPr>
          <w:rFonts w:ascii="Arial" w:hAnsi="Arial" w:cs="Arial"/>
        </w:rPr>
        <w:t xml:space="preserve">Proper record keeping would mean all medical practitioners would be able to have the latest information so that they would make informed decisions. </w:t>
      </w:r>
      <w:r w:rsidR="00BD376B" w:rsidRPr="003474E3">
        <w:rPr>
          <w:rFonts w:ascii="Arial" w:hAnsi="Arial" w:cs="Arial"/>
        </w:rPr>
        <w:t xml:space="preserve">The Caldicott Principles (2013) regulate the sharing of patient information, ensuring that data is used only for intended care purposes and shared lawfully. These principles must be adhered to </w:t>
      </w:r>
      <w:proofErr w:type="gramStart"/>
      <w:r w:rsidR="00BD376B" w:rsidRPr="003474E3">
        <w:rPr>
          <w:rFonts w:ascii="Arial" w:hAnsi="Arial" w:cs="Arial"/>
        </w:rPr>
        <w:t>in order to</w:t>
      </w:r>
      <w:proofErr w:type="gramEnd"/>
      <w:r w:rsidR="00BD376B" w:rsidRPr="003474E3">
        <w:rPr>
          <w:rFonts w:ascii="Arial" w:hAnsi="Arial" w:cs="Arial"/>
        </w:rPr>
        <w:t xml:space="preserve"> ensure confidentiality and trust in healthcare facilities.</w:t>
      </w:r>
    </w:p>
    <w:p w14:paraId="4EB94567" w14:textId="279F4B50" w:rsidR="00236009" w:rsidRPr="00F86D80" w:rsidRDefault="00236009" w:rsidP="00236009">
      <w:pPr>
        <w:spacing w:line="360" w:lineRule="auto"/>
        <w:rPr>
          <w:rFonts w:ascii="Arial" w:hAnsi="Arial" w:cs="Arial"/>
        </w:rPr>
      </w:pPr>
      <w:r w:rsidRPr="00F86D80">
        <w:rPr>
          <w:rFonts w:ascii="Arial" w:hAnsi="Arial" w:cs="Arial"/>
        </w:rPr>
        <w:t xml:space="preserve">Recent research notes that poor data management schemes and administrative mistakes are the major cause of patient safety incidents (Khanna and Kotwal, 2025). Moreover, poor practices in the protection of data may be used to compromise sensitive information, which </w:t>
      </w:r>
      <w:r w:rsidRPr="00F86D80">
        <w:rPr>
          <w:rFonts w:ascii="Arial" w:hAnsi="Arial" w:cs="Arial"/>
        </w:rPr>
        <w:lastRenderedPageBreak/>
        <w:t xml:space="preserve">will destroy patient trust </w:t>
      </w:r>
      <w:r w:rsidR="00FE27DF" w:rsidRPr="00F86D80">
        <w:rPr>
          <w:rFonts w:ascii="Arial" w:hAnsi="Arial" w:cs="Arial"/>
        </w:rPr>
        <w:t>(Data</w:t>
      </w:r>
      <w:r w:rsidRPr="00F86D80">
        <w:rPr>
          <w:rFonts w:ascii="Arial" w:hAnsi="Arial" w:cs="Arial"/>
        </w:rPr>
        <w:t xml:space="preserve"> Privacy in Healthcare, 2025). This supports the aspect of strong administrative systems. </w:t>
      </w:r>
    </w:p>
    <w:p w14:paraId="3A871D0B" w14:textId="4BC0CF3D" w:rsidR="00236009" w:rsidRPr="00F86D80" w:rsidRDefault="00236009" w:rsidP="00236009">
      <w:pPr>
        <w:spacing w:line="360" w:lineRule="auto"/>
        <w:rPr>
          <w:rFonts w:ascii="Arial" w:hAnsi="Arial" w:cs="Arial"/>
        </w:rPr>
      </w:pPr>
      <w:r w:rsidRPr="00F86D80">
        <w:rPr>
          <w:rFonts w:ascii="Arial" w:hAnsi="Arial" w:cs="Arial"/>
        </w:rPr>
        <w:t xml:space="preserve">The Health and Care Act 2022 </w:t>
      </w:r>
      <w:r w:rsidR="00FE27DF" w:rsidRPr="00F86D80">
        <w:rPr>
          <w:rFonts w:ascii="Arial" w:hAnsi="Arial" w:cs="Arial"/>
        </w:rPr>
        <w:t>facilitate</w:t>
      </w:r>
      <w:r w:rsidRPr="00F86D80">
        <w:rPr>
          <w:rFonts w:ascii="Arial" w:hAnsi="Arial" w:cs="Arial"/>
        </w:rPr>
        <w:t xml:space="preserve"> the orientation of health services to enhance improved data sharing and coordination between organisations. In the case of Mr Ahmed, the lack of communication and responsibility between care providers would have been replaced by the overall better integration, which would have avoided the missed visit. Regarding practicality, such administrative practices as keeping proper care plans, recording every intervention, and the digital system that allows tracking visits and medication schedules are effective. Nevertheless, obstacles like shortage of staff, insufficient training and inefficiencies in the system may be a hindrance to efficient implementation. </w:t>
      </w:r>
    </w:p>
    <w:p w14:paraId="5BD5BD80" w14:textId="34A86067" w:rsidR="00236009" w:rsidRPr="00F86D80" w:rsidRDefault="00236009" w:rsidP="00236009">
      <w:pPr>
        <w:spacing w:line="360" w:lineRule="auto"/>
        <w:rPr>
          <w:rFonts w:ascii="Arial" w:hAnsi="Arial" w:cs="Arial"/>
        </w:rPr>
      </w:pPr>
      <w:r w:rsidRPr="00F86D80">
        <w:rPr>
          <w:rFonts w:ascii="Arial" w:hAnsi="Arial" w:cs="Arial"/>
        </w:rPr>
        <w:t>Most importantly, there are grave repercussions of administrative failures. The medication error case explains the importance of a single error in jeopardizing patient safety. Thus, effective administrative systems, frequent audits, and training of the staff should be among the priorities of healthcare organisations to reduce risks and provide high-quality care.</w:t>
      </w:r>
    </w:p>
    <w:p w14:paraId="1323AEC4" w14:textId="6BA5AFB5" w:rsidR="00236009" w:rsidRPr="00236009" w:rsidRDefault="00236009" w:rsidP="00236009">
      <w:pPr>
        <w:pStyle w:val="Heading1"/>
        <w:spacing w:line="360" w:lineRule="auto"/>
        <w:rPr>
          <w:rFonts w:ascii="Arial" w:hAnsi="Arial" w:cs="Arial"/>
        </w:rPr>
      </w:pPr>
      <w:bookmarkStart w:id="3" w:name="_Toc226117814"/>
      <w:r w:rsidRPr="00236009">
        <w:rPr>
          <w:rFonts w:ascii="Arial" w:hAnsi="Arial" w:cs="Arial"/>
        </w:rPr>
        <w:t>4. Importance of Collaborative Working</w:t>
      </w:r>
      <w:bookmarkEnd w:id="3"/>
      <w:r w:rsidRPr="00236009">
        <w:rPr>
          <w:rFonts w:ascii="Arial" w:hAnsi="Arial" w:cs="Arial"/>
        </w:rPr>
        <w:t xml:space="preserve"> </w:t>
      </w:r>
    </w:p>
    <w:p w14:paraId="3D52FF8B" w14:textId="77777777" w:rsidR="00BD376B" w:rsidRDefault="00236009" w:rsidP="00236009">
      <w:pPr>
        <w:spacing w:line="360" w:lineRule="auto"/>
        <w:rPr>
          <w:rFonts w:ascii="Arial" w:hAnsi="Arial" w:cs="Arial"/>
          <w:i/>
          <w:iCs/>
        </w:rPr>
      </w:pPr>
      <w:r w:rsidRPr="00F86D80">
        <w:rPr>
          <w:rFonts w:ascii="Arial" w:hAnsi="Arial" w:cs="Arial"/>
        </w:rPr>
        <w:t xml:space="preserve">To provide a patient with a complex need like Mr Ahmed, collaborative working is a necessity to provide a coordinated and holistic care. His care includes various professionals such as a GP, district nurse, workers of domiciliary care and a speech and language therapist. Proper teamwork will make these professionals cooperate to deliver the same and detailed care. </w:t>
      </w:r>
      <w:r w:rsidR="00BD376B" w:rsidRPr="003474E3">
        <w:rPr>
          <w:rFonts w:ascii="Arial" w:hAnsi="Arial" w:cs="Arial"/>
        </w:rPr>
        <w:t>The Care Act 2014 legally mandates cooperation between health and social care providers, emphasizing integrated working. The working of multidisciplinary teams (MDT) allows professionals to exchange experiences and make better decisions and patient outcomes</w:t>
      </w:r>
      <w:r w:rsidRPr="003474E3">
        <w:rPr>
          <w:rFonts w:ascii="Arial" w:hAnsi="Arial" w:cs="Arial"/>
        </w:rPr>
        <w:t xml:space="preserve">. </w:t>
      </w:r>
      <w:r w:rsidR="00BD376B" w:rsidRPr="003474E3">
        <w:rPr>
          <w:rFonts w:ascii="Arial" w:hAnsi="Arial" w:cs="Arial"/>
          <w:i/>
          <w:iCs/>
        </w:rPr>
        <w:t xml:space="preserve">In </w:t>
      </w:r>
      <w:r w:rsidR="00BD376B" w:rsidRPr="003474E3">
        <w:rPr>
          <w:rFonts w:ascii="Arial" w:hAnsi="Arial" w:cs="Arial"/>
        </w:rPr>
        <w:t>the UK, Integrated Care Systems (ICSs) such as local NHS trusts coordinate teams to prevent errors and enhance patient safety (Karim et al., 2022; NHS England, 2023).</w:t>
      </w:r>
    </w:p>
    <w:p w14:paraId="5FDAFED4" w14:textId="2E0CD4F8" w:rsidR="00236009" w:rsidRPr="00F86D80" w:rsidRDefault="00236009" w:rsidP="00236009">
      <w:pPr>
        <w:spacing w:line="360" w:lineRule="auto"/>
        <w:rPr>
          <w:rFonts w:ascii="Arial" w:hAnsi="Arial" w:cs="Arial"/>
        </w:rPr>
      </w:pPr>
      <w:r w:rsidRPr="00F86D80">
        <w:rPr>
          <w:rFonts w:ascii="Arial" w:hAnsi="Arial" w:cs="Arial"/>
        </w:rPr>
        <w:t xml:space="preserve">Nevertheless, some of the issues in collaborative working are communication failure, role confusion and information inter-organizational sharing problems. Such problems may result in fractured care such as the missed domiciliary visit. It has been argued that effective collaboration can also be restricted by legal and organisational barriers </w:t>
      </w:r>
      <w:proofErr w:type="gramStart"/>
      <w:r w:rsidRPr="00F86D80">
        <w:rPr>
          <w:rFonts w:ascii="Arial" w:hAnsi="Arial" w:cs="Arial"/>
        </w:rPr>
        <w:t>( Edge</w:t>
      </w:r>
      <w:proofErr w:type="gramEnd"/>
      <w:r w:rsidRPr="00F86D80">
        <w:rPr>
          <w:rFonts w:ascii="Arial" w:hAnsi="Arial" w:cs="Arial"/>
        </w:rPr>
        <w:t xml:space="preserve"> and Kirby, 2025). To address all these obstacles, it is necessary to use such strategies as regular MDT meetings, shared care plans, and the application of digital health records. Effective communication channels and clear definition of roles also help in enhancing the coordination. </w:t>
      </w:r>
    </w:p>
    <w:p w14:paraId="738BE1B7" w14:textId="7FA108C9" w:rsidR="00236009" w:rsidRPr="00F86D80" w:rsidRDefault="00236009" w:rsidP="00236009">
      <w:pPr>
        <w:spacing w:line="360" w:lineRule="auto"/>
        <w:rPr>
          <w:rFonts w:ascii="Arial" w:hAnsi="Arial" w:cs="Arial"/>
        </w:rPr>
      </w:pPr>
      <w:r w:rsidRPr="00F86D80">
        <w:rPr>
          <w:rFonts w:ascii="Arial" w:hAnsi="Arial" w:cs="Arial"/>
        </w:rPr>
        <w:lastRenderedPageBreak/>
        <w:t>Most importantly, ineffective teamwork may cause severe threats to patient safety. Conversely, teamwork is an effective way of making sure that care is coordinated, timely, and responsive to the needs of the patient. Thus, one of the major determinants in providing quality health and social care is collaborative working.</w:t>
      </w:r>
    </w:p>
    <w:p w14:paraId="2A34E3AF" w14:textId="60690054" w:rsidR="00236009" w:rsidRPr="00236009" w:rsidRDefault="00236009" w:rsidP="00236009">
      <w:pPr>
        <w:pStyle w:val="Heading1"/>
        <w:spacing w:line="360" w:lineRule="auto"/>
        <w:rPr>
          <w:rFonts w:ascii="Arial" w:hAnsi="Arial" w:cs="Arial"/>
        </w:rPr>
      </w:pPr>
      <w:bookmarkStart w:id="4" w:name="_Toc226117815"/>
      <w:r w:rsidRPr="00236009">
        <w:rPr>
          <w:rFonts w:ascii="Arial" w:hAnsi="Arial" w:cs="Arial"/>
        </w:rPr>
        <w:t>5. Conclusion</w:t>
      </w:r>
      <w:bookmarkEnd w:id="4"/>
      <w:r w:rsidRPr="00236009">
        <w:rPr>
          <w:rFonts w:ascii="Arial" w:hAnsi="Arial" w:cs="Arial"/>
        </w:rPr>
        <w:t xml:space="preserve"> </w:t>
      </w:r>
    </w:p>
    <w:p w14:paraId="07BBC206" w14:textId="3933E593" w:rsidR="00236009" w:rsidRPr="00F86D80" w:rsidRDefault="00236009" w:rsidP="00236009">
      <w:pPr>
        <w:spacing w:line="360" w:lineRule="auto"/>
        <w:rPr>
          <w:rFonts w:ascii="Arial" w:hAnsi="Arial" w:cs="Arial"/>
        </w:rPr>
      </w:pPr>
      <w:r w:rsidRPr="00F86D80">
        <w:rPr>
          <w:rFonts w:ascii="Arial" w:hAnsi="Arial" w:cs="Arial"/>
        </w:rPr>
        <w:t>To sum up, safe and high-quality healthcare should be accompanied by effective communication, strong administrative skills, and collaborative working. The example of Mr Ahmed shows that communication barriers, administrative lapses and coordination deficiency can adversely affect patient outcomes. Inclusive and safe care has been guided by legal frameworks like the Equality Act 2010 and Data Protection Act 2018 and recent studies indicate the necessity of person-centred communication and integrated working. These challenges can be resolved by effective strategies such as, but not limited to, hiring interpreters, proper record keeping, and collaborating with other professionals to ensure patient safety and high-quality care. Finally, healthcare workers should embrace holistic and evidence-based approach in addressing the needs and demands of service users, which is critical in delivering services.</w:t>
      </w:r>
    </w:p>
    <w:p w14:paraId="6132D40E" w14:textId="77777777" w:rsidR="00236009" w:rsidRDefault="00236009" w:rsidP="00236009">
      <w:pPr>
        <w:spacing w:line="360" w:lineRule="auto"/>
        <w:rPr>
          <w:rFonts w:ascii="Arial" w:hAnsi="Arial" w:cs="Arial"/>
          <w:sz w:val="24"/>
          <w:szCs w:val="24"/>
        </w:rPr>
      </w:pPr>
    </w:p>
    <w:p w14:paraId="1037865E" w14:textId="77777777" w:rsidR="00F86D80" w:rsidRDefault="00F86D80" w:rsidP="00236009">
      <w:pPr>
        <w:spacing w:line="360" w:lineRule="auto"/>
        <w:rPr>
          <w:rFonts w:ascii="Arial" w:hAnsi="Arial" w:cs="Arial"/>
          <w:sz w:val="24"/>
          <w:szCs w:val="24"/>
        </w:rPr>
      </w:pPr>
    </w:p>
    <w:p w14:paraId="1F6A5BC0" w14:textId="77777777" w:rsidR="00F86D80" w:rsidRDefault="00F86D80" w:rsidP="00236009">
      <w:pPr>
        <w:spacing w:line="360" w:lineRule="auto"/>
        <w:rPr>
          <w:rFonts w:ascii="Arial" w:hAnsi="Arial" w:cs="Arial"/>
          <w:sz w:val="24"/>
          <w:szCs w:val="24"/>
        </w:rPr>
      </w:pPr>
    </w:p>
    <w:p w14:paraId="380BD0E1" w14:textId="77777777" w:rsidR="00F86D80" w:rsidRDefault="00F86D80" w:rsidP="00236009">
      <w:pPr>
        <w:spacing w:line="360" w:lineRule="auto"/>
        <w:rPr>
          <w:rFonts w:ascii="Arial" w:hAnsi="Arial" w:cs="Arial"/>
          <w:sz w:val="24"/>
          <w:szCs w:val="24"/>
        </w:rPr>
      </w:pPr>
    </w:p>
    <w:p w14:paraId="4B8FDD49" w14:textId="77777777" w:rsidR="00F86D80" w:rsidRDefault="00F86D80" w:rsidP="00236009">
      <w:pPr>
        <w:spacing w:line="360" w:lineRule="auto"/>
        <w:rPr>
          <w:rFonts w:ascii="Arial" w:hAnsi="Arial" w:cs="Arial"/>
          <w:sz w:val="24"/>
          <w:szCs w:val="24"/>
        </w:rPr>
      </w:pPr>
    </w:p>
    <w:p w14:paraId="696AEFFC" w14:textId="77777777" w:rsidR="00F86D80" w:rsidRDefault="00F86D80" w:rsidP="00236009">
      <w:pPr>
        <w:spacing w:line="360" w:lineRule="auto"/>
        <w:rPr>
          <w:rFonts w:ascii="Arial" w:hAnsi="Arial" w:cs="Arial"/>
          <w:sz w:val="24"/>
          <w:szCs w:val="24"/>
        </w:rPr>
      </w:pPr>
    </w:p>
    <w:p w14:paraId="0DAA58CA" w14:textId="77777777" w:rsidR="00F86D80" w:rsidRDefault="00F86D80" w:rsidP="00236009">
      <w:pPr>
        <w:spacing w:line="360" w:lineRule="auto"/>
        <w:rPr>
          <w:rFonts w:ascii="Arial" w:hAnsi="Arial" w:cs="Arial"/>
          <w:sz w:val="24"/>
          <w:szCs w:val="24"/>
        </w:rPr>
      </w:pPr>
    </w:p>
    <w:p w14:paraId="7F0F0813" w14:textId="77777777" w:rsidR="00F86D80" w:rsidRDefault="00F86D80" w:rsidP="00236009">
      <w:pPr>
        <w:spacing w:line="360" w:lineRule="auto"/>
        <w:rPr>
          <w:rFonts w:ascii="Arial" w:hAnsi="Arial" w:cs="Arial"/>
          <w:sz w:val="24"/>
          <w:szCs w:val="24"/>
        </w:rPr>
      </w:pPr>
    </w:p>
    <w:p w14:paraId="1DDAB944" w14:textId="77777777" w:rsidR="00F86D80" w:rsidRDefault="00F86D80" w:rsidP="00236009">
      <w:pPr>
        <w:spacing w:line="360" w:lineRule="auto"/>
        <w:rPr>
          <w:rFonts w:ascii="Arial" w:hAnsi="Arial" w:cs="Arial"/>
          <w:sz w:val="24"/>
          <w:szCs w:val="24"/>
        </w:rPr>
      </w:pPr>
    </w:p>
    <w:p w14:paraId="4B1C84EB" w14:textId="77777777" w:rsidR="00F86D80" w:rsidRDefault="00F86D80" w:rsidP="00236009">
      <w:pPr>
        <w:spacing w:line="360" w:lineRule="auto"/>
        <w:rPr>
          <w:rFonts w:ascii="Arial" w:hAnsi="Arial" w:cs="Arial"/>
          <w:sz w:val="24"/>
          <w:szCs w:val="24"/>
        </w:rPr>
      </w:pPr>
    </w:p>
    <w:p w14:paraId="1EB553A4" w14:textId="77777777" w:rsidR="00F86D80" w:rsidRDefault="00F86D80" w:rsidP="00236009">
      <w:pPr>
        <w:spacing w:line="360" w:lineRule="auto"/>
        <w:rPr>
          <w:rFonts w:ascii="Arial" w:hAnsi="Arial" w:cs="Arial"/>
          <w:sz w:val="24"/>
          <w:szCs w:val="24"/>
        </w:rPr>
      </w:pPr>
    </w:p>
    <w:p w14:paraId="68081DE9" w14:textId="77777777" w:rsidR="00F86D80" w:rsidRDefault="00F86D80" w:rsidP="00236009">
      <w:pPr>
        <w:spacing w:line="360" w:lineRule="auto"/>
        <w:rPr>
          <w:rFonts w:ascii="Arial" w:hAnsi="Arial" w:cs="Arial"/>
          <w:sz w:val="24"/>
          <w:szCs w:val="24"/>
        </w:rPr>
      </w:pPr>
    </w:p>
    <w:p w14:paraId="64F13655" w14:textId="77777777" w:rsidR="00F86D80" w:rsidRPr="00236009" w:rsidRDefault="00F86D80" w:rsidP="00236009">
      <w:pPr>
        <w:spacing w:line="360" w:lineRule="auto"/>
        <w:rPr>
          <w:rFonts w:ascii="Arial" w:hAnsi="Arial" w:cs="Arial"/>
          <w:sz w:val="24"/>
          <w:szCs w:val="24"/>
        </w:rPr>
      </w:pPr>
    </w:p>
    <w:p w14:paraId="1E827252" w14:textId="77777777" w:rsidR="00236009" w:rsidRPr="00236009" w:rsidRDefault="00236009" w:rsidP="00236009">
      <w:pPr>
        <w:spacing w:line="360" w:lineRule="auto"/>
        <w:rPr>
          <w:rFonts w:ascii="Arial" w:hAnsi="Arial" w:cs="Arial"/>
          <w:sz w:val="24"/>
          <w:szCs w:val="24"/>
        </w:rPr>
      </w:pPr>
    </w:p>
    <w:p w14:paraId="2D93F1B2" w14:textId="57DA401B" w:rsidR="00236009" w:rsidRPr="00236009" w:rsidRDefault="00236009" w:rsidP="00236009">
      <w:pPr>
        <w:pStyle w:val="Heading1"/>
        <w:spacing w:line="360" w:lineRule="auto"/>
        <w:rPr>
          <w:rFonts w:ascii="Arial" w:hAnsi="Arial" w:cs="Arial"/>
        </w:rPr>
      </w:pPr>
      <w:bookmarkStart w:id="5" w:name="_Toc226117816"/>
      <w:r w:rsidRPr="00236009">
        <w:rPr>
          <w:rFonts w:ascii="Arial" w:hAnsi="Arial" w:cs="Arial"/>
        </w:rPr>
        <w:t>6. References</w:t>
      </w:r>
      <w:bookmarkEnd w:id="5"/>
      <w:r w:rsidRPr="00236009">
        <w:rPr>
          <w:rFonts w:ascii="Arial" w:hAnsi="Arial" w:cs="Arial"/>
        </w:rPr>
        <w:t xml:space="preserve"> </w:t>
      </w:r>
    </w:p>
    <w:p w14:paraId="04A8CF98"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Care Quality Commission (2023) </w:t>
      </w:r>
      <w:r w:rsidRPr="003474E3">
        <w:rPr>
          <w:rFonts w:ascii="Arial" w:hAnsi="Arial" w:cs="Arial"/>
          <w:i/>
          <w:iCs/>
          <w:sz w:val="24"/>
          <w:szCs w:val="24"/>
        </w:rPr>
        <w:t>Regulation 12: Safe care and treatment</w:t>
      </w:r>
      <w:r w:rsidRPr="003474E3">
        <w:rPr>
          <w:rFonts w:ascii="Arial" w:hAnsi="Arial" w:cs="Arial"/>
          <w:sz w:val="24"/>
          <w:szCs w:val="24"/>
        </w:rPr>
        <w:t>. Available at: </w:t>
      </w:r>
      <w:hyperlink r:id="rId8" w:tgtFrame="_blank" w:history="1">
        <w:r w:rsidRPr="003474E3">
          <w:rPr>
            <w:rStyle w:val="Hyperlink"/>
            <w:rFonts w:ascii="Arial" w:hAnsi="Arial" w:cs="Arial"/>
            <w:sz w:val="24"/>
            <w:szCs w:val="24"/>
          </w:rPr>
          <w:t>https://www.cqc.org.uk/guidance-providers/regulations-enforcement/regulation-12-safe-care-treatment</w:t>
        </w:r>
      </w:hyperlink>
      <w:r w:rsidRPr="003474E3">
        <w:rPr>
          <w:rFonts w:ascii="Arial" w:hAnsi="Arial" w:cs="Arial"/>
          <w:sz w:val="24"/>
          <w:szCs w:val="24"/>
        </w:rPr>
        <w:t> (Accessed: 18 April 2026).</w:t>
      </w:r>
    </w:p>
    <w:p w14:paraId="5B30B663"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Data Privacy in Healthcare (2025) 'Global challenges and solutions', </w:t>
      </w:r>
      <w:r w:rsidRPr="003474E3">
        <w:rPr>
          <w:rFonts w:ascii="Arial" w:hAnsi="Arial" w:cs="Arial"/>
          <w:i/>
          <w:iCs/>
          <w:sz w:val="24"/>
          <w:szCs w:val="24"/>
        </w:rPr>
        <w:t>PMC</w:t>
      </w:r>
      <w:r w:rsidRPr="003474E3">
        <w:rPr>
          <w:rFonts w:ascii="Arial" w:hAnsi="Arial" w:cs="Arial"/>
          <w:sz w:val="24"/>
          <w:szCs w:val="24"/>
        </w:rPr>
        <w:t>. Available at: </w:t>
      </w:r>
      <w:hyperlink r:id="rId9" w:tgtFrame="_blank" w:history="1">
        <w:r w:rsidRPr="003474E3">
          <w:rPr>
            <w:rStyle w:val="Hyperlink"/>
            <w:rFonts w:ascii="Arial" w:hAnsi="Arial" w:cs="Arial"/>
            <w:sz w:val="24"/>
            <w:szCs w:val="24"/>
          </w:rPr>
          <w:t>https://pmc.ncbi.nlm.nih.gov/articles/PMC12138216/</w:t>
        </w:r>
      </w:hyperlink>
      <w:r w:rsidRPr="003474E3">
        <w:rPr>
          <w:rFonts w:ascii="Arial" w:hAnsi="Arial" w:cs="Arial"/>
          <w:sz w:val="24"/>
          <w:szCs w:val="24"/>
        </w:rPr>
        <w:t> (Accessed: 18 April 2026).</w:t>
      </w:r>
    </w:p>
    <w:p w14:paraId="76D1C855"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Edge, P. and Kirby, S. (2025) 'Data protection and information sharing in healthcare', </w:t>
      </w:r>
      <w:r w:rsidRPr="003474E3">
        <w:rPr>
          <w:rFonts w:ascii="Arial" w:hAnsi="Arial" w:cs="Arial"/>
          <w:i/>
          <w:iCs/>
          <w:sz w:val="24"/>
          <w:szCs w:val="24"/>
        </w:rPr>
        <w:t>Information &amp; Communications Technology Law</w:t>
      </w:r>
      <w:r w:rsidRPr="003474E3">
        <w:rPr>
          <w:rFonts w:ascii="Arial" w:hAnsi="Arial" w:cs="Arial"/>
          <w:sz w:val="24"/>
          <w:szCs w:val="24"/>
        </w:rPr>
        <w:t>. Available at: </w:t>
      </w:r>
      <w:hyperlink r:id="rId10" w:tgtFrame="_blank" w:history="1">
        <w:r w:rsidRPr="003474E3">
          <w:rPr>
            <w:rStyle w:val="Hyperlink"/>
            <w:rFonts w:ascii="Arial" w:hAnsi="Arial" w:cs="Arial"/>
            <w:sz w:val="24"/>
            <w:szCs w:val="24"/>
          </w:rPr>
          <w:t>https://www.tandfonline.com/doi/full/10.1080/15614263.2025.2465262</w:t>
        </w:r>
      </w:hyperlink>
      <w:r w:rsidRPr="003474E3">
        <w:rPr>
          <w:rFonts w:ascii="Arial" w:hAnsi="Arial" w:cs="Arial"/>
          <w:sz w:val="24"/>
          <w:szCs w:val="24"/>
        </w:rPr>
        <w:t> (Accessed: 18 April 2026).</w:t>
      </w:r>
    </w:p>
    <w:p w14:paraId="68FF52F2"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Galea, G., Chugh, R. and Luck, J. (2024) 'Social media codes of conduct in healthcare organisations', </w:t>
      </w:r>
      <w:r w:rsidRPr="003474E3">
        <w:rPr>
          <w:rFonts w:ascii="Arial" w:hAnsi="Arial" w:cs="Arial"/>
          <w:i/>
          <w:iCs/>
          <w:sz w:val="24"/>
          <w:szCs w:val="24"/>
        </w:rPr>
        <w:t>Journal of Public Health</w:t>
      </w:r>
      <w:r w:rsidRPr="003474E3">
        <w:rPr>
          <w:rFonts w:ascii="Arial" w:hAnsi="Arial" w:cs="Arial"/>
          <w:sz w:val="24"/>
          <w:szCs w:val="24"/>
        </w:rPr>
        <w:t>. Available at: </w:t>
      </w:r>
      <w:hyperlink r:id="rId11" w:tgtFrame="_blank" w:history="1">
        <w:r w:rsidRPr="003474E3">
          <w:rPr>
            <w:rStyle w:val="Hyperlink"/>
            <w:rFonts w:ascii="Arial" w:hAnsi="Arial" w:cs="Arial"/>
            <w:sz w:val="24"/>
            <w:szCs w:val="24"/>
          </w:rPr>
          <w:t>https://link.springer.com/article/10.1007/s10389-023-01894-5</w:t>
        </w:r>
      </w:hyperlink>
      <w:r w:rsidRPr="003474E3">
        <w:rPr>
          <w:rFonts w:ascii="Arial" w:hAnsi="Arial" w:cs="Arial"/>
          <w:sz w:val="24"/>
          <w:szCs w:val="24"/>
        </w:rPr>
        <w:t> (Accessed: 18 April 2026).</w:t>
      </w:r>
    </w:p>
    <w:p w14:paraId="261E07AD"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Karim, M.A. et al. (2022) 'Legal data-sharing barriers in healthcare', </w:t>
      </w:r>
      <w:r w:rsidRPr="003474E3">
        <w:rPr>
          <w:rFonts w:ascii="Arial" w:hAnsi="Arial" w:cs="Arial"/>
          <w:i/>
          <w:iCs/>
          <w:sz w:val="24"/>
          <w:szCs w:val="24"/>
        </w:rPr>
        <w:t>Journal of Medical Internet Research</w:t>
      </w:r>
      <w:r w:rsidRPr="003474E3">
        <w:rPr>
          <w:rFonts w:ascii="Arial" w:hAnsi="Arial" w:cs="Arial"/>
          <w:sz w:val="24"/>
          <w:szCs w:val="24"/>
        </w:rPr>
        <w:t>, 24(9). Available at: </w:t>
      </w:r>
      <w:hyperlink r:id="rId12" w:tgtFrame="_blank" w:history="1">
        <w:r w:rsidRPr="003474E3">
          <w:rPr>
            <w:rStyle w:val="Hyperlink"/>
            <w:rFonts w:ascii="Arial" w:hAnsi="Arial" w:cs="Arial"/>
            <w:sz w:val="24"/>
            <w:szCs w:val="24"/>
          </w:rPr>
          <w:t>https://www.jmir.org/2022/9/e39333</w:t>
        </w:r>
      </w:hyperlink>
      <w:r w:rsidRPr="003474E3">
        <w:rPr>
          <w:rFonts w:ascii="Arial" w:hAnsi="Arial" w:cs="Arial"/>
          <w:sz w:val="24"/>
          <w:szCs w:val="24"/>
        </w:rPr>
        <w:t> (Accessed: 18 April 2026).</w:t>
      </w:r>
    </w:p>
    <w:p w14:paraId="691931B1"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Khanna, V. and Kotwal, A. (2025) 'Digital data protection in healthcare systems', </w:t>
      </w:r>
      <w:r w:rsidRPr="003474E3">
        <w:rPr>
          <w:rFonts w:ascii="Arial" w:hAnsi="Arial" w:cs="Arial"/>
          <w:i/>
          <w:iCs/>
          <w:sz w:val="24"/>
          <w:szCs w:val="24"/>
        </w:rPr>
        <w:t>BMC Medical Informatics and Decision Making</w:t>
      </w:r>
      <w:r w:rsidRPr="003474E3">
        <w:rPr>
          <w:rFonts w:ascii="Arial" w:hAnsi="Arial" w:cs="Arial"/>
          <w:sz w:val="24"/>
          <w:szCs w:val="24"/>
        </w:rPr>
        <w:t>. Available at: </w:t>
      </w:r>
      <w:hyperlink r:id="rId13" w:tgtFrame="_blank" w:history="1">
        <w:r w:rsidRPr="003474E3">
          <w:rPr>
            <w:rStyle w:val="Hyperlink"/>
            <w:rFonts w:ascii="Arial" w:hAnsi="Arial" w:cs="Arial"/>
            <w:sz w:val="24"/>
            <w:szCs w:val="24"/>
          </w:rPr>
          <w:t>https://link.springer.com/article/10.1186/s12982-025-00757-6</w:t>
        </w:r>
      </w:hyperlink>
      <w:r w:rsidRPr="003474E3">
        <w:rPr>
          <w:rFonts w:ascii="Arial" w:hAnsi="Arial" w:cs="Arial"/>
          <w:sz w:val="24"/>
          <w:szCs w:val="24"/>
        </w:rPr>
        <w:t> (Accessed: 18 April 2026).</w:t>
      </w:r>
    </w:p>
    <w:p w14:paraId="069435D6"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NHS England (2016) </w:t>
      </w:r>
      <w:r w:rsidRPr="003474E3">
        <w:rPr>
          <w:rFonts w:ascii="Arial" w:hAnsi="Arial" w:cs="Arial"/>
          <w:i/>
          <w:iCs/>
          <w:sz w:val="24"/>
          <w:szCs w:val="24"/>
        </w:rPr>
        <w:t>Accessible Information Standard</w:t>
      </w:r>
      <w:r w:rsidRPr="003474E3">
        <w:rPr>
          <w:rFonts w:ascii="Arial" w:hAnsi="Arial" w:cs="Arial"/>
          <w:sz w:val="24"/>
          <w:szCs w:val="24"/>
        </w:rPr>
        <w:t>. Available at: </w:t>
      </w:r>
      <w:hyperlink r:id="rId14" w:tgtFrame="_blank" w:history="1">
        <w:r w:rsidRPr="003474E3">
          <w:rPr>
            <w:rStyle w:val="Hyperlink"/>
            <w:rFonts w:ascii="Arial" w:hAnsi="Arial" w:cs="Arial"/>
            <w:sz w:val="24"/>
            <w:szCs w:val="24"/>
          </w:rPr>
          <w:t>https://www.england.nhs.uk/ourwork/accessibleinfo/</w:t>
        </w:r>
      </w:hyperlink>
      <w:r w:rsidRPr="003474E3">
        <w:rPr>
          <w:rFonts w:ascii="Arial" w:hAnsi="Arial" w:cs="Arial"/>
          <w:sz w:val="24"/>
          <w:szCs w:val="24"/>
        </w:rPr>
        <w:t> (Accessed: 18 April 2026).</w:t>
      </w:r>
    </w:p>
    <w:p w14:paraId="7EE200BF"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NHS England (2023) </w:t>
      </w:r>
      <w:r w:rsidRPr="003474E3">
        <w:rPr>
          <w:rFonts w:ascii="Arial" w:hAnsi="Arial" w:cs="Arial"/>
          <w:i/>
          <w:iCs/>
          <w:sz w:val="24"/>
          <w:szCs w:val="24"/>
        </w:rPr>
        <w:t>Records management code of practice for health and social care</w:t>
      </w:r>
      <w:r w:rsidRPr="003474E3">
        <w:rPr>
          <w:rFonts w:ascii="Arial" w:hAnsi="Arial" w:cs="Arial"/>
          <w:sz w:val="24"/>
          <w:szCs w:val="24"/>
        </w:rPr>
        <w:t>. Available at: </w:t>
      </w:r>
      <w:hyperlink r:id="rId15" w:tgtFrame="_blank" w:history="1">
        <w:r w:rsidRPr="003474E3">
          <w:rPr>
            <w:rStyle w:val="Hyperlink"/>
            <w:rFonts w:ascii="Arial" w:hAnsi="Arial" w:cs="Arial"/>
            <w:sz w:val="24"/>
            <w:szCs w:val="24"/>
          </w:rPr>
          <w:t>https://www.england.nhs.uk/records-management/</w:t>
        </w:r>
      </w:hyperlink>
      <w:r w:rsidRPr="003474E3">
        <w:rPr>
          <w:rFonts w:ascii="Arial" w:hAnsi="Arial" w:cs="Arial"/>
          <w:sz w:val="24"/>
          <w:szCs w:val="24"/>
        </w:rPr>
        <w:t> (Accessed: 18 April 2026).</w:t>
      </w:r>
    </w:p>
    <w:p w14:paraId="3F438D75"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lastRenderedPageBreak/>
        <w:t>UK Government (2010) </w:t>
      </w:r>
      <w:r w:rsidRPr="003474E3">
        <w:rPr>
          <w:rFonts w:ascii="Arial" w:hAnsi="Arial" w:cs="Arial"/>
          <w:i/>
          <w:iCs/>
          <w:sz w:val="24"/>
          <w:szCs w:val="24"/>
        </w:rPr>
        <w:t>Equality Act 2010</w:t>
      </w:r>
      <w:r w:rsidRPr="003474E3">
        <w:rPr>
          <w:rFonts w:ascii="Arial" w:hAnsi="Arial" w:cs="Arial"/>
          <w:sz w:val="24"/>
          <w:szCs w:val="24"/>
        </w:rPr>
        <w:t>. Available at: </w:t>
      </w:r>
      <w:hyperlink r:id="rId16" w:tgtFrame="_blank" w:history="1">
        <w:r w:rsidRPr="003474E3">
          <w:rPr>
            <w:rStyle w:val="Hyperlink"/>
            <w:rFonts w:ascii="Arial" w:hAnsi="Arial" w:cs="Arial"/>
            <w:sz w:val="24"/>
            <w:szCs w:val="24"/>
          </w:rPr>
          <w:t>https://www.legislation.gov.uk/ukpga/2010/15/contents</w:t>
        </w:r>
      </w:hyperlink>
      <w:r w:rsidRPr="003474E3">
        <w:rPr>
          <w:rFonts w:ascii="Arial" w:hAnsi="Arial" w:cs="Arial"/>
          <w:sz w:val="24"/>
          <w:szCs w:val="24"/>
        </w:rPr>
        <w:t> (Accessed: 18 April 2026).</w:t>
      </w:r>
    </w:p>
    <w:p w14:paraId="1D9694E7"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UK Government (2013) </w:t>
      </w:r>
      <w:r w:rsidRPr="003474E3">
        <w:rPr>
          <w:rFonts w:ascii="Arial" w:hAnsi="Arial" w:cs="Arial"/>
          <w:i/>
          <w:iCs/>
          <w:sz w:val="24"/>
          <w:szCs w:val="24"/>
        </w:rPr>
        <w:t>Caldicott Principles</w:t>
      </w:r>
      <w:r w:rsidRPr="003474E3">
        <w:rPr>
          <w:rFonts w:ascii="Arial" w:hAnsi="Arial" w:cs="Arial"/>
          <w:sz w:val="24"/>
          <w:szCs w:val="24"/>
        </w:rPr>
        <w:t>. Available at: </w:t>
      </w:r>
      <w:hyperlink r:id="rId17" w:tgtFrame="_blank" w:history="1">
        <w:r w:rsidRPr="003474E3">
          <w:rPr>
            <w:rStyle w:val="Hyperlink"/>
            <w:rFonts w:ascii="Arial" w:hAnsi="Arial" w:cs="Arial"/>
            <w:sz w:val="24"/>
            <w:szCs w:val="24"/>
          </w:rPr>
          <w:t>https://www.gov.uk/government/publications/the-caldicott-principles</w:t>
        </w:r>
      </w:hyperlink>
      <w:r w:rsidRPr="003474E3">
        <w:rPr>
          <w:rFonts w:ascii="Arial" w:hAnsi="Arial" w:cs="Arial"/>
          <w:sz w:val="24"/>
          <w:szCs w:val="24"/>
        </w:rPr>
        <w:t> (Accessed: 18 April 2026).</w:t>
      </w:r>
    </w:p>
    <w:p w14:paraId="34DB1BC3"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UK Government (2014) </w:t>
      </w:r>
      <w:r w:rsidRPr="003474E3">
        <w:rPr>
          <w:rFonts w:ascii="Arial" w:hAnsi="Arial" w:cs="Arial"/>
          <w:i/>
          <w:iCs/>
          <w:sz w:val="24"/>
          <w:szCs w:val="24"/>
        </w:rPr>
        <w:t>Care Act 2014</w:t>
      </w:r>
      <w:r w:rsidRPr="003474E3">
        <w:rPr>
          <w:rFonts w:ascii="Arial" w:hAnsi="Arial" w:cs="Arial"/>
          <w:sz w:val="24"/>
          <w:szCs w:val="24"/>
        </w:rPr>
        <w:t>. Available at: </w:t>
      </w:r>
      <w:hyperlink r:id="rId18" w:tgtFrame="_blank" w:history="1">
        <w:r w:rsidRPr="003474E3">
          <w:rPr>
            <w:rStyle w:val="Hyperlink"/>
            <w:rFonts w:ascii="Arial" w:hAnsi="Arial" w:cs="Arial"/>
            <w:sz w:val="24"/>
            <w:szCs w:val="24"/>
          </w:rPr>
          <w:t>https://www.legislation.gov.uk/ukpga/2014/23/contents</w:t>
        </w:r>
      </w:hyperlink>
      <w:r w:rsidRPr="003474E3">
        <w:rPr>
          <w:rFonts w:ascii="Arial" w:hAnsi="Arial" w:cs="Arial"/>
          <w:sz w:val="24"/>
          <w:szCs w:val="24"/>
        </w:rPr>
        <w:t> (Accessed: 18 April 2026).</w:t>
      </w:r>
    </w:p>
    <w:p w14:paraId="54C4EA5F"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UK Government (2018) </w:t>
      </w:r>
      <w:r w:rsidRPr="003474E3">
        <w:rPr>
          <w:rFonts w:ascii="Arial" w:hAnsi="Arial" w:cs="Arial"/>
          <w:i/>
          <w:iCs/>
          <w:sz w:val="24"/>
          <w:szCs w:val="24"/>
        </w:rPr>
        <w:t>Data Protection Act 2018</w:t>
      </w:r>
      <w:r w:rsidRPr="003474E3">
        <w:rPr>
          <w:rFonts w:ascii="Arial" w:hAnsi="Arial" w:cs="Arial"/>
          <w:sz w:val="24"/>
          <w:szCs w:val="24"/>
        </w:rPr>
        <w:t>. Available at: </w:t>
      </w:r>
      <w:hyperlink r:id="rId19" w:tgtFrame="_blank" w:history="1">
        <w:r w:rsidRPr="003474E3">
          <w:rPr>
            <w:rStyle w:val="Hyperlink"/>
            <w:rFonts w:ascii="Arial" w:hAnsi="Arial" w:cs="Arial"/>
            <w:sz w:val="24"/>
            <w:szCs w:val="24"/>
          </w:rPr>
          <w:t>https://www.legislation.gov.uk/ukpga/2018/12/contents</w:t>
        </w:r>
      </w:hyperlink>
      <w:r w:rsidRPr="003474E3">
        <w:rPr>
          <w:rFonts w:ascii="Arial" w:hAnsi="Arial" w:cs="Arial"/>
          <w:sz w:val="24"/>
          <w:szCs w:val="24"/>
        </w:rPr>
        <w:t> (Accessed: 18 April 2026).</w:t>
      </w:r>
    </w:p>
    <w:p w14:paraId="216012E2"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UK Government (2022) </w:t>
      </w:r>
      <w:r w:rsidRPr="003474E3">
        <w:rPr>
          <w:rFonts w:ascii="Arial" w:hAnsi="Arial" w:cs="Arial"/>
          <w:i/>
          <w:iCs/>
          <w:sz w:val="24"/>
          <w:szCs w:val="24"/>
        </w:rPr>
        <w:t>Health and Care Act 2022</w:t>
      </w:r>
      <w:r w:rsidRPr="003474E3">
        <w:rPr>
          <w:rFonts w:ascii="Arial" w:hAnsi="Arial" w:cs="Arial"/>
          <w:sz w:val="24"/>
          <w:szCs w:val="24"/>
        </w:rPr>
        <w:t>. Available at: </w:t>
      </w:r>
      <w:hyperlink r:id="rId20" w:tgtFrame="_blank" w:history="1">
        <w:r w:rsidRPr="003474E3">
          <w:rPr>
            <w:rStyle w:val="Hyperlink"/>
            <w:rFonts w:ascii="Arial" w:hAnsi="Arial" w:cs="Arial"/>
            <w:sz w:val="24"/>
            <w:szCs w:val="24"/>
          </w:rPr>
          <w:t>https://www.legislation.gov.uk/ukpga/2022/31/contents</w:t>
        </w:r>
      </w:hyperlink>
      <w:r w:rsidRPr="003474E3">
        <w:rPr>
          <w:rFonts w:ascii="Arial" w:hAnsi="Arial" w:cs="Arial"/>
          <w:sz w:val="24"/>
          <w:szCs w:val="24"/>
        </w:rPr>
        <w:t> (Accessed: 18 April 2026).</w:t>
      </w:r>
    </w:p>
    <w:p w14:paraId="7DC12FCE"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Vandemeulebroucke, T. and Bolte, L. (2025) 'Ethics of communication in social care', </w:t>
      </w:r>
      <w:r w:rsidRPr="003474E3">
        <w:rPr>
          <w:rFonts w:ascii="Arial" w:hAnsi="Arial" w:cs="Arial"/>
          <w:i/>
          <w:iCs/>
          <w:sz w:val="24"/>
          <w:szCs w:val="24"/>
        </w:rPr>
        <w:t>Medicine, Health Care and Philosophy</w:t>
      </w:r>
      <w:r w:rsidRPr="003474E3">
        <w:rPr>
          <w:rFonts w:ascii="Arial" w:hAnsi="Arial" w:cs="Arial"/>
          <w:sz w:val="24"/>
          <w:szCs w:val="24"/>
        </w:rPr>
        <w:t>. Available at: </w:t>
      </w:r>
      <w:hyperlink r:id="rId21" w:tgtFrame="_blank" w:history="1">
        <w:r w:rsidRPr="003474E3">
          <w:rPr>
            <w:rStyle w:val="Hyperlink"/>
            <w:rFonts w:ascii="Arial" w:hAnsi="Arial" w:cs="Arial"/>
            <w:sz w:val="24"/>
            <w:szCs w:val="24"/>
          </w:rPr>
          <w:t>https://link.springer.com/article/10.1007/s11019-025-10269-4</w:t>
        </w:r>
      </w:hyperlink>
      <w:r w:rsidRPr="003474E3">
        <w:rPr>
          <w:rFonts w:ascii="Arial" w:hAnsi="Arial" w:cs="Arial"/>
          <w:sz w:val="24"/>
          <w:szCs w:val="24"/>
        </w:rPr>
        <w:t> (Accessed: 18 April 2026).</w:t>
      </w:r>
    </w:p>
    <w:p w14:paraId="7753EB84" w14:textId="77777777" w:rsidR="003474E3" w:rsidRPr="003474E3" w:rsidRDefault="003474E3" w:rsidP="003474E3">
      <w:pPr>
        <w:spacing w:line="360" w:lineRule="auto"/>
        <w:rPr>
          <w:rFonts w:ascii="Arial" w:hAnsi="Arial" w:cs="Arial"/>
          <w:sz w:val="24"/>
          <w:szCs w:val="24"/>
        </w:rPr>
      </w:pPr>
      <w:r w:rsidRPr="003474E3">
        <w:rPr>
          <w:rFonts w:ascii="Arial" w:hAnsi="Arial" w:cs="Arial"/>
          <w:sz w:val="24"/>
          <w:szCs w:val="24"/>
        </w:rPr>
        <w:t>World Health Organization (2022) </w:t>
      </w:r>
      <w:r w:rsidRPr="003474E3">
        <w:rPr>
          <w:rFonts w:ascii="Arial" w:hAnsi="Arial" w:cs="Arial"/>
          <w:i/>
          <w:iCs/>
          <w:sz w:val="24"/>
          <w:szCs w:val="24"/>
        </w:rPr>
        <w:t>Patient safety: Communication during patient care</w:t>
      </w:r>
      <w:r w:rsidRPr="003474E3">
        <w:rPr>
          <w:rFonts w:ascii="Arial" w:hAnsi="Arial" w:cs="Arial"/>
          <w:sz w:val="24"/>
          <w:szCs w:val="24"/>
        </w:rPr>
        <w:t>. Available at: </w:t>
      </w:r>
      <w:hyperlink r:id="rId22" w:tgtFrame="_blank" w:history="1">
        <w:r w:rsidRPr="003474E3">
          <w:rPr>
            <w:rStyle w:val="Hyperlink"/>
            <w:rFonts w:ascii="Arial" w:hAnsi="Arial" w:cs="Arial"/>
            <w:sz w:val="24"/>
            <w:szCs w:val="24"/>
          </w:rPr>
          <w:t>https://www.who.int/publications/i/item/9789240032705</w:t>
        </w:r>
      </w:hyperlink>
      <w:r w:rsidRPr="003474E3">
        <w:rPr>
          <w:rFonts w:ascii="Arial" w:hAnsi="Arial" w:cs="Arial"/>
          <w:sz w:val="24"/>
          <w:szCs w:val="24"/>
        </w:rPr>
        <w:t> (Accessed: 18 April 2026).</w:t>
      </w:r>
    </w:p>
    <w:p w14:paraId="49986C89" w14:textId="77777777" w:rsidR="00236009" w:rsidRPr="00236009" w:rsidRDefault="00236009" w:rsidP="003474E3">
      <w:pPr>
        <w:spacing w:line="360" w:lineRule="auto"/>
        <w:rPr>
          <w:rFonts w:ascii="Arial" w:hAnsi="Arial" w:cs="Arial"/>
          <w:sz w:val="24"/>
          <w:szCs w:val="24"/>
        </w:rPr>
      </w:pPr>
    </w:p>
    <w:sectPr w:rsidR="00236009" w:rsidRPr="00236009" w:rsidSect="00236009">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62D00" w14:textId="77777777" w:rsidR="005970E4" w:rsidRDefault="005970E4" w:rsidP="00236009">
      <w:pPr>
        <w:spacing w:after="0" w:line="240" w:lineRule="auto"/>
      </w:pPr>
      <w:r>
        <w:separator/>
      </w:r>
    </w:p>
  </w:endnote>
  <w:endnote w:type="continuationSeparator" w:id="0">
    <w:p w14:paraId="266DE6FE" w14:textId="77777777" w:rsidR="005970E4" w:rsidRDefault="005970E4" w:rsidP="00236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9028165"/>
      <w:docPartObj>
        <w:docPartGallery w:val="Page Numbers (Bottom of Page)"/>
        <w:docPartUnique/>
      </w:docPartObj>
    </w:sdtPr>
    <w:sdtEndPr>
      <w:rPr>
        <w:color w:val="7F7F7F" w:themeColor="background1" w:themeShade="7F"/>
        <w:spacing w:val="60"/>
      </w:rPr>
    </w:sdtEndPr>
    <w:sdtContent>
      <w:p w14:paraId="7C15D6AB" w14:textId="06DFFC62" w:rsidR="00236009" w:rsidRDefault="0023600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F14682" w14:textId="77777777" w:rsidR="00236009" w:rsidRDefault="00236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E0BC7" w14:textId="77777777" w:rsidR="005970E4" w:rsidRDefault="005970E4" w:rsidP="00236009">
      <w:pPr>
        <w:spacing w:after="0" w:line="240" w:lineRule="auto"/>
      </w:pPr>
      <w:r>
        <w:separator/>
      </w:r>
    </w:p>
  </w:footnote>
  <w:footnote w:type="continuationSeparator" w:id="0">
    <w:p w14:paraId="2F5A02D1" w14:textId="77777777" w:rsidR="005970E4" w:rsidRDefault="005970E4" w:rsidP="00236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64497"/>
    <w:multiLevelType w:val="hybridMultilevel"/>
    <w:tmpl w:val="2CDC6182"/>
    <w:lvl w:ilvl="0" w:tplc="040C7B4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343A3B"/>
    <w:multiLevelType w:val="hybridMultilevel"/>
    <w:tmpl w:val="7792B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9B332B"/>
    <w:multiLevelType w:val="multilevel"/>
    <w:tmpl w:val="7846B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4446938">
    <w:abstractNumId w:val="2"/>
  </w:num>
  <w:num w:numId="2" w16cid:durableId="983393465">
    <w:abstractNumId w:val="1"/>
  </w:num>
  <w:num w:numId="3" w16cid:durableId="1711223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009"/>
    <w:rsid w:val="0013341E"/>
    <w:rsid w:val="001A1E36"/>
    <w:rsid w:val="00236009"/>
    <w:rsid w:val="0025622A"/>
    <w:rsid w:val="002E7422"/>
    <w:rsid w:val="002F60D9"/>
    <w:rsid w:val="003126D9"/>
    <w:rsid w:val="0032083F"/>
    <w:rsid w:val="003474E3"/>
    <w:rsid w:val="00353728"/>
    <w:rsid w:val="00382326"/>
    <w:rsid w:val="00592660"/>
    <w:rsid w:val="005970E4"/>
    <w:rsid w:val="006A37A2"/>
    <w:rsid w:val="006E3891"/>
    <w:rsid w:val="007F3922"/>
    <w:rsid w:val="008E13A4"/>
    <w:rsid w:val="008E67ED"/>
    <w:rsid w:val="00BD376B"/>
    <w:rsid w:val="00C01A21"/>
    <w:rsid w:val="00C07750"/>
    <w:rsid w:val="00C8541A"/>
    <w:rsid w:val="00D84FE1"/>
    <w:rsid w:val="00EC4C32"/>
    <w:rsid w:val="00F86D80"/>
    <w:rsid w:val="00FD12F4"/>
    <w:rsid w:val="00FE2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3AF9F"/>
  <w15:chartTrackingRefBased/>
  <w15:docId w15:val="{432C39CC-8950-4A0B-8BA8-944556B74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0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360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360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60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60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60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60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60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60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0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360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360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60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60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60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60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60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6009"/>
    <w:rPr>
      <w:rFonts w:eastAsiaTheme="majorEastAsia" w:cstheme="majorBidi"/>
      <w:color w:val="272727" w:themeColor="text1" w:themeTint="D8"/>
    </w:rPr>
  </w:style>
  <w:style w:type="paragraph" w:styleId="Title">
    <w:name w:val="Title"/>
    <w:basedOn w:val="Normal"/>
    <w:next w:val="Normal"/>
    <w:link w:val="TitleChar"/>
    <w:uiPriority w:val="10"/>
    <w:qFormat/>
    <w:rsid w:val="002360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0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60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60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6009"/>
    <w:pPr>
      <w:spacing w:before="160"/>
      <w:jc w:val="center"/>
    </w:pPr>
    <w:rPr>
      <w:i/>
      <w:iCs/>
      <w:color w:val="404040" w:themeColor="text1" w:themeTint="BF"/>
    </w:rPr>
  </w:style>
  <w:style w:type="character" w:customStyle="1" w:styleId="QuoteChar">
    <w:name w:val="Quote Char"/>
    <w:basedOn w:val="DefaultParagraphFont"/>
    <w:link w:val="Quote"/>
    <w:uiPriority w:val="29"/>
    <w:rsid w:val="00236009"/>
    <w:rPr>
      <w:i/>
      <w:iCs/>
      <w:color w:val="404040" w:themeColor="text1" w:themeTint="BF"/>
    </w:rPr>
  </w:style>
  <w:style w:type="paragraph" w:styleId="ListParagraph">
    <w:name w:val="List Paragraph"/>
    <w:basedOn w:val="Normal"/>
    <w:uiPriority w:val="34"/>
    <w:qFormat/>
    <w:rsid w:val="00236009"/>
    <w:pPr>
      <w:ind w:left="720"/>
      <w:contextualSpacing/>
    </w:pPr>
  </w:style>
  <w:style w:type="character" w:styleId="IntenseEmphasis">
    <w:name w:val="Intense Emphasis"/>
    <w:basedOn w:val="DefaultParagraphFont"/>
    <w:uiPriority w:val="21"/>
    <w:qFormat/>
    <w:rsid w:val="00236009"/>
    <w:rPr>
      <w:i/>
      <w:iCs/>
      <w:color w:val="2F5496" w:themeColor="accent1" w:themeShade="BF"/>
    </w:rPr>
  </w:style>
  <w:style w:type="paragraph" w:styleId="IntenseQuote">
    <w:name w:val="Intense Quote"/>
    <w:basedOn w:val="Normal"/>
    <w:next w:val="Normal"/>
    <w:link w:val="IntenseQuoteChar"/>
    <w:uiPriority w:val="30"/>
    <w:qFormat/>
    <w:rsid w:val="002360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6009"/>
    <w:rPr>
      <w:i/>
      <w:iCs/>
      <w:color w:val="2F5496" w:themeColor="accent1" w:themeShade="BF"/>
    </w:rPr>
  </w:style>
  <w:style w:type="character" w:styleId="IntenseReference">
    <w:name w:val="Intense Reference"/>
    <w:basedOn w:val="DefaultParagraphFont"/>
    <w:uiPriority w:val="32"/>
    <w:qFormat/>
    <w:rsid w:val="00236009"/>
    <w:rPr>
      <w:b/>
      <w:bCs/>
      <w:smallCaps/>
      <w:color w:val="2F5496" w:themeColor="accent1" w:themeShade="BF"/>
      <w:spacing w:val="5"/>
    </w:rPr>
  </w:style>
  <w:style w:type="character" w:styleId="Hyperlink">
    <w:name w:val="Hyperlink"/>
    <w:basedOn w:val="DefaultParagraphFont"/>
    <w:uiPriority w:val="99"/>
    <w:unhideWhenUsed/>
    <w:rsid w:val="00236009"/>
    <w:rPr>
      <w:color w:val="0563C1" w:themeColor="hyperlink"/>
      <w:u w:val="single"/>
    </w:rPr>
  </w:style>
  <w:style w:type="character" w:styleId="UnresolvedMention">
    <w:name w:val="Unresolved Mention"/>
    <w:basedOn w:val="DefaultParagraphFont"/>
    <w:uiPriority w:val="99"/>
    <w:semiHidden/>
    <w:unhideWhenUsed/>
    <w:rsid w:val="00236009"/>
    <w:rPr>
      <w:color w:val="605E5C"/>
      <w:shd w:val="clear" w:color="auto" w:fill="E1DFDD"/>
    </w:rPr>
  </w:style>
  <w:style w:type="character" w:styleId="FollowedHyperlink">
    <w:name w:val="FollowedHyperlink"/>
    <w:basedOn w:val="DefaultParagraphFont"/>
    <w:uiPriority w:val="99"/>
    <w:semiHidden/>
    <w:unhideWhenUsed/>
    <w:rsid w:val="00236009"/>
    <w:rPr>
      <w:color w:val="954F72" w:themeColor="followedHyperlink"/>
      <w:u w:val="single"/>
    </w:rPr>
  </w:style>
  <w:style w:type="paragraph" w:styleId="TOCHeading">
    <w:name w:val="TOC Heading"/>
    <w:basedOn w:val="Heading1"/>
    <w:next w:val="Normal"/>
    <w:uiPriority w:val="39"/>
    <w:unhideWhenUsed/>
    <w:qFormat/>
    <w:rsid w:val="0023600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36009"/>
    <w:pPr>
      <w:spacing w:after="100"/>
    </w:pPr>
  </w:style>
  <w:style w:type="paragraph" w:styleId="Header">
    <w:name w:val="header"/>
    <w:basedOn w:val="Normal"/>
    <w:link w:val="HeaderChar"/>
    <w:uiPriority w:val="99"/>
    <w:unhideWhenUsed/>
    <w:rsid w:val="00236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009"/>
  </w:style>
  <w:style w:type="paragraph" w:styleId="Footer">
    <w:name w:val="footer"/>
    <w:basedOn w:val="Normal"/>
    <w:link w:val="FooterChar"/>
    <w:uiPriority w:val="99"/>
    <w:unhideWhenUsed/>
    <w:rsid w:val="00236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regulations-enforcement/regulation-12-safe-care-treatment" TargetMode="External"/><Relationship Id="rId13" Type="http://schemas.openxmlformats.org/officeDocument/2006/relationships/hyperlink" Target="https://link.springer.com/article/10.1186/s12982-025-00757-6" TargetMode="External"/><Relationship Id="rId18" Type="http://schemas.openxmlformats.org/officeDocument/2006/relationships/hyperlink" Target="https://www.legislation.gov.uk/ukpga/2014/23/contents" TargetMode="External"/><Relationship Id="rId3" Type="http://schemas.openxmlformats.org/officeDocument/2006/relationships/settings" Target="settings.xml"/><Relationship Id="rId21" Type="http://schemas.openxmlformats.org/officeDocument/2006/relationships/hyperlink" Target="https://link.springer.com/article/10.1007/s11019-025-10269-4" TargetMode="External"/><Relationship Id="rId7" Type="http://schemas.openxmlformats.org/officeDocument/2006/relationships/image" Target="media/image1.png"/><Relationship Id="rId12" Type="http://schemas.openxmlformats.org/officeDocument/2006/relationships/hyperlink" Target="https://www.jmir.org/2022/9/e39333" TargetMode="External"/><Relationship Id="rId17" Type="http://schemas.openxmlformats.org/officeDocument/2006/relationships/hyperlink" Target="https://www.gov.uk/government/publications/the-caldicott-principl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ukpga/2010/15/contents" TargetMode="External"/><Relationship Id="rId20" Type="http://schemas.openxmlformats.org/officeDocument/2006/relationships/hyperlink" Target="https://www.legislation.gov.uk/ukpga/2022/31/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0389-023-01894-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ngland.nhs.uk/records-management/" TargetMode="External"/><Relationship Id="rId23" Type="http://schemas.openxmlformats.org/officeDocument/2006/relationships/footer" Target="footer1.xml"/><Relationship Id="rId10" Type="http://schemas.openxmlformats.org/officeDocument/2006/relationships/hyperlink" Target="https://www.tandfonline.com/doi/full/10.1080/15614263.2025.2465262" TargetMode="External"/><Relationship Id="rId19"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pmc.ncbi.nlm.nih.gov/articles/PMC12138216/" TargetMode="External"/><Relationship Id="rId14" Type="http://schemas.openxmlformats.org/officeDocument/2006/relationships/hyperlink" Target="https://www.england.nhs.uk/ourwork/accessibleinfo/" TargetMode="External"/><Relationship Id="rId22" Type="http://schemas.openxmlformats.org/officeDocument/2006/relationships/hyperlink" Target="https://www.who.int/publications/i/item/97892400327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2059</Words>
  <Characters>11740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2514106@student.uwtsd.ac.uk</dc:creator>
  <cp:keywords/>
  <dc:description/>
  <cp:lastModifiedBy>Rajneesh Sinha</cp:lastModifiedBy>
  <cp:revision>11</cp:revision>
  <dcterms:created xsi:type="dcterms:W3CDTF">2026-04-19T08:20:00Z</dcterms:created>
  <dcterms:modified xsi:type="dcterms:W3CDTF">2026-04-20T09:00:00Z</dcterms:modified>
</cp:coreProperties>
</file>