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6E08891D"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4334EBB0"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00B2180A">
            <w:rPr>
              <w:rFonts w:ascii="Tahoma" w:hAnsi="Tahoma" w:cs="Tahoma"/>
              <w:color w:val="000000"/>
              <w:sz w:val="40"/>
              <w:szCs w:val="40"/>
            </w:rPr>
            <w:t>2q2</w:t>
          </w:r>
          <w:r w:rsidR="00B2180A">
            <w:rPr>
              <w:rFonts w:ascii="Tahoma" w:hAnsi="Tahoma" w:cs="Tahoma"/>
              <w:color w:val="000000"/>
              <w:sz w:val="40"/>
              <w:szCs w:val="40"/>
            </w:rPr>
            <w:tab/>
            <w:t>`</w:t>
          </w:r>
          <w:r w:rsidR="00B2180A">
            <w:rPr>
              <w:rFonts w:ascii="Tahoma" w:hAnsi="Tahoma" w:cs="Tahoma"/>
              <w:color w:val="000000"/>
              <w:sz w:val="40"/>
              <w:szCs w:val="40"/>
            </w:rPr>
            <w:tab/>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6A9EAB5" w:rsidR="00A930CB" w:rsidRPr="00A930CB" w:rsidRDefault="00F30280" w:rsidP="00A930CB">
                <w:pPr>
                  <w:spacing w:before="120" w:after="120" w:line="360" w:lineRule="auto"/>
                  <w:rPr>
                    <w:rFonts w:ascii="Tahoma" w:hAnsi="Tahoma" w:cs="Tahoma"/>
                    <w:sz w:val="32"/>
                    <w:szCs w:val="32"/>
                  </w:rPr>
                </w:pPr>
                <w:r w:rsidRPr="00F30280">
                  <w:rPr>
                    <w:rFonts w:ascii="Tahoma" w:hAnsi="Tahoma" w:cs="Tahoma"/>
                    <w:color w:val="FF0000"/>
                    <w:sz w:val="32"/>
                    <w:szCs w:val="32"/>
                  </w:rPr>
                  <w:t>Rhiannon Lewis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A5088E7" w:rsidR="00A930CB" w:rsidRPr="00A930CB" w:rsidRDefault="006C661A" w:rsidP="00A930CB">
                <w:pPr>
                  <w:spacing w:before="120" w:after="120" w:line="360" w:lineRule="auto"/>
                  <w:rPr>
                    <w:rFonts w:ascii="Tahoma" w:hAnsi="Tahoma" w:cs="Tahoma"/>
                    <w:sz w:val="32"/>
                    <w:szCs w:val="32"/>
                  </w:rPr>
                </w:pPr>
                <w:r w:rsidRPr="00B05FCD">
                  <w:rPr>
                    <w:rFonts w:ascii="Tahoma" w:hAnsi="Tahoma" w:cs="Tahoma"/>
                    <w:color w:val="FF0000"/>
                    <w:sz w:val="32"/>
                    <w:szCs w:val="32"/>
                  </w:rPr>
                  <w:t>22</w:t>
                </w:r>
                <w:r w:rsidR="00B05FCD" w:rsidRPr="00B05FCD">
                  <w:rPr>
                    <w:rFonts w:ascii="Tahoma" w:hAnsi="Tahoma" w:cs="Tahoma"/>
                    <w:color w:val="FF0000"/>
                    <w:sz w:val="32"/>
                    <w:szCs w:val="32"/>
                  </w:rPr>
                  <w:t>37642</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B0BF736" w:rsidR="00A930CB" w:rsidRPr="00A930CB" w:rsidRDefault="00AB2338" w:rsidP="00A930CB">
                <w:pPr>
                  <w:spacing w:before="120" w:after="120" w:line="360" w:lineRule="auto"/>
                  <w:rPr>
                    <w:rFonts w:ascii="Tahoma" w:hAnsi="Tahoma" w:cs="Tahoma"/>
                    <w:color w:val="FF0000"/>
                    <w:sz w:val="32"/>
                    <w:szCs w:val="32"/>
                  </w:rPr>
                </w:pPr>
                <w:r>
                  <w:rPr>
                    <w:rFonts w:ascii="Tahoma" w:hAnsi="Tahoma" w:cs="Tahoma"/>
                    <w:color w:val="FF0000"/>
                    <w:sz w:val="32"/>
                    <w:szCs w:val="32"/>
                  </w:rPr>
                  <w:t>ABCD</w:t>
                </w:r>
                <w:r w:rsidR="002049FE">
                  <w:rPr>
                    <w:rFonts w:ascii="Tahoma" w:hAnsi="Tahoma" w:cs="Tahoma"/>
                    <w:color w:val="FF0000"/>
                    <w:sz w:val="32"/>
                    <w:szCs w:val="32"/>
                  </w:rPr>
                  <w:t>****</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0B2B082" w:rsidR="00A930CB" w:rsidRPr="00A930CB" w:rsidRDefault="00F30280" w:rsidP="00A930CB">
                <w:pPr>
                  <w:spacing w:before="120" w:after="120" w:line="360" w:lineRule="auto"/>
                  <w:rPr>
                    <w:rFonts w:ascii="Tahoma" w:hAnsi="Tahoma" w:cs="Tahoma"/>
                    <w:color w:val="FF0000"/>
                    <w:sz w:val="32"/>
                    <w:szCs w:val="32"/>
                  </w:rPr>
                </w:pPr>
                <w:r>
                  <w:rPr>
                    <w:rFonts w:ascii="Tahoma" w:hAnsi="Tahoma" w:cs="Tahoma"/>
                    <w:color w:val="FF0000"/>
                    <w:sz w:val="32"/>
                    <w:szCs w:val="32"/>
                  </w:rPr>
                  <w:t>Contemporary challenges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271E12EC" w:rsidR="00B220CB"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667FB879" w14:textId="6D5E158E" w:rsidR="00B220CB" w:rsidRDefault="00000000">
              <w:pPr>
                <w:pStyle w:val="TOC2"/>
                <w:tabs>
                  <w:tab w:val="right" w:leader="dot" w:pos="9350"/>
                </w:tabs>
                <w:rPr>
                  <w:rFonts w:eastAsiaTheme="minorEastAsia"/>
                  <w:noProof/>
                  <w:lang w:eastAsia="en-GB"/>
                </w:rPr>
              </w:pPr>
              <w:hyperlink w:anchor="_Toc511311654" w:history="1">
                <w:r w:rsidR="00B220CB" w:rsidRPr="00F85865">
                  <w:rPr>
                    <w:rStyle w:val="Hyperlink"/>
                    <w:noProof/>
                  </w:rPr>
                  <w:t>Section 1</w:t>
                </w:r>
                <w:r w:rsidR="00B220CB">
                  <w:rPr>
                    <w:noProof/>
                    <w:webHidden/>
                  </w:rPr>
                  <w:tab/>
                </w:r>
                <w:r w:rsidR="00B220CB">
                  <w:rPr>
                    <w:noProof/>
                    <w:webHidden/>
                  </w:rPr>
                  <w:fldChar w:fldCharType="begin"/>
                </w:r>
                <w:r w:rsidR="00B220CB">
                  <w:rPr>
                    <w:noProof/>
                    <w:webHidden/>
                  </w:rPr>
                  <w:instrText xml:space="preserve"> PAGEREF _Toc511311654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4CD4DF69" w14:textId="2D2A0602" w:rsidR="00B220CB" w:rsidRDefault="00000000">
              <w:pPr>
                <w:pStyle w:val="TOC2"/>
                <w:tabs>
                  <w:tab w:val="right" w:leader="dot" w:pos="9350"/>
                </w:tabs>
                <w:rPr>
                  <w:rFonts w:eastAsiaTheme="minorEastAsia"/>
                  <w:noProof/>
                  <w:lang w:eastAsia="en-GB"/>
                </w:rPr>
              </w:pPr>
              <w:hyperlink w:anchor="_Toc511311655" w:history="1">
                <w:r w:rsidR="00B220CB" w:rsidRPr="00F85865">
                  <w:rPr>
                    <w:rStyle w:val="Hyperlink"/>
                    <w:noProof/>
                  </w:rPr>
                  <w:t>Section 2</w:t>
                </w:r>
                <w:r w:rsidR="00B220CB">
                  <w:rPr>
                    <w:noProof/>
                    <w:webHidden/>
                  </w:rPr>
                  <w:tab/>
                </w:r>
                <w:r w:rsidR="00B220CB">
                  <w:rPr>
                    <w:noProof/>
                    <w:webHidden/>
                  </w:rPr>
                  <w:fldChar w:fldCharType="begin"/>
                </w:r>
                <w:r w:rsidR="00B220CB">
                  <w:rPr>
                    <w:noProof/>
                    <w:webHidden/>
                  </w:rPr>
                  <w:instrText xml:space="preserve"> PAGEREF _Toc511311655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1D8B96BD" w14:textId="6E1245E4" w:rsidR="00B220CB" w:rsidRDefault="00000000">
              <w:pPr>
                <w:pStyle w:val="TOC2"/>
                <w:tabs>
                  <w:tab w:val="right" w:leader="dot" w:pos="9350"/>
                </w:tabs>
                <w:rPr>
                  <w:rFonts w:eastAsiaTheme="minorEastAsia"/>
                  <w:noProof/>
                  <w:lang w:eastAsia="en-GB"/>
                </w:rPr>
              </w:pPr>
              <w:hyperlink w:anchor="_Toc511311656" w:history="1">
                <w:r w:rsidR="00B220CB" w:rsidRPr="00F85865">
                  <w:rPr>
                    <w:rStyle w:val="Hyperlink"/>
                    <w:noProof/>
                  </w:rPr>
                  <w:t>Section 3</w:t>
                </w:r>
                <w:r w:rsidR="00B220CB">
                  <w:rPr>
                    <w:noProof/>
                    <w:webHidden/>
                  </w:rPr>
                  <w:tab/>
                </w:r>
                <w:r w:rsidR="00B220CB">
                  <w:rPr>
                    <w:noProof/>
                    <w:webHidden/>
                  </w:rPr>
                  <w:fldChar w:fldCharType="begin"/>
                </w:r>
                <w:r w:rsidR="00B220CB">
                  <w:rPr>
                    <w:noProof/>
                    <w:webHidden/>
                  </w:rPr>
                  <w:instrText xml:space="preserve"> PAGEREF _Toc511311656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0F22911A" w14:textId="76D13DC0" w:rsidR="00B220CB" w:rsidRDefault="00000000">
              <w:pPr>
                <w:pStyle w:val="TOC2"/>
                <w:tabs>
                  <w:tab w:val="right" w:leader="dot" w:pos="9350"/>
                </w:tabs>
                <w:rPr>
                  <w:rFonts w:eastAsiaTheme="minorEastAsia"/>
                  <w:noProof/>
                  <w:lang w:eastAsia="en-GB"/>
                </w:rPr>
              </w:pPr>
              <w:hyperlink w:anchor="_Toc511311657" w:history="1">
                <w:r w:rsidR="00B220CB" w:rsidRPr="00F85865">
                  <w:rPr>
                    <w:rStyle w:val="Hyperlink"/>
                    <w:noProof/>
                  </w:rPr>
                  <w:t>Section 4</w:t>
                </w:r>
                <w:r w:rsidR="00B220CB">
                  <w:rPr>
                    <w:noProof/>
                    <w:webHidden/>
                  </w:rPr>
                  <w:tab/>
                </w:r>
                <w:r w:rsidR="00B220CB">
                  <w:rPr>
                    <w:noProof/>
                    <w:webHidden/>
                  </w:rPr>
                  <w:fldChar w:fldCharType="begin"/>
                </w:r>
                <w:r w:rsidR="00B220CB">
                  <w:rPr>
                    <w:noProof/>
                    <w:webHidden/>
                  </w:rPr>
                  <w:instrText xml:space="preserve"> PAGEREF _Toc511311657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3C254E04" w14:textId="0DC5756E" w:rsidR="00B220CB" w:rsidRDefault="00000000">
              <w:pPr>
                <w:pStyle w:val="TOC2"/>
                <w:tabs>
                  <w:tab w:val="right" w:leader="dot" w:pos="9350"/>
                </w:tabs>
                <w:rPr>
                  <w:rFonts w:eastAsiaTheme="minorEastAsia"/>
                  <w:noProof/>
                  <w:lang w:eastAsia="en-GB"/>
                </w:rPr>
              </w:pPr>
              <w:hyperlink w:anchor="_Toc511311658" w:history="1">
                <w:r w:rsidR="00B220CB" w:rsidRPr="00F85865">
                  <w:rPr>
                    <w:rStyle w:val="Hyperlink"/>
                    <w:noProof/>
                  </w:rPr>
                  <w:t>Conclusion</w:t>
                </w:r>
                <w:r w:rsidR="00B220CB">
                  <w:rPr>
                    <w:noProof/>
                    <w:webHidden/>
                  </w:rPr>
                  <w:tab/>
                </w:r>
                <w:r w:rsidR="00B220CB">
                  <w:rPr>
                    <w:noProof/>
                    <w:webHidden/>
                  </w:rPr>
                  <w:fldChar w:fldCharType="begin"/>
                </w:r>
                <w:r w:rsidR="00B220CB">
                  <w:rPr>
                    <w:noProof/>
                    <w:webHidden/>
                  </w:rPr>
                  <w:instrText xml:space="preserve"> PAGEREF _Toc511311658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7E2EB270" w14:textId="6B7A0593" w:rsidR="00B220CB" w:rsidRDefault="00000000">
              <w:pPr>
                <w:pStyle w:val="TOC2"/>
                <w:tabs>
                  <w:tab w:val="right" w:leader="dot" w:pos="9350"/>
                </w:tabs>
                <w:rPr>
                  <w:rFonts w:eastAsiaTheme="minorEastAsia"/>
                  <w:noProof/>
                  <w:lang w:eastAsia="en-GB"/>
                </w:rPr>
              </w:pPr>
              <w:hyperlink w:anchor="_Toc511311659" w:history="1">
                <w:r w:rsidR="00B220CB" w:rsidRPr="00F85865">
                  <w:rPr>
                    <w:rStyle w:val="Hyperlink"/>
                    <w:noProof/>
                  </w:rPr>
                  <w:t>References</w:t>
                </w:r>
                <w:r w:rsidR="00B220CB">
                  <w:rPr>
                    <w:noProof/>
                    <w:webHidden/>
                  </w:rPr>
                  <w:tab/>
                </w:r>
                <w:r w:rsidR="00B220CB">
                  <w:rPr>
                    <w:noProof/>
                    <w:webHidden/>
                  </w:rPr>
                  <w:fldChar w:fldCharType="begin"/>
                </w:r>
                <w:r w:rsidR="00B220CB">
                  <w:rPr>
                    <w:noProof/>
                    <w:webHidden/>
                  </w:rPr>
                  <w:instrText xml:space="preserve"> PAGEREF _Toc511311659 \h </w:instrText>
                </w:r>
                <w:r w:rsidR="00B220CB">
                  <w:rPr>
                    <w:noProof/>
                    <w:webHidden/>
                  </w:rPr>
                </w:r>
                <w:r w:rsidR="00B220CB">
                  <w:rPr>
                    <w:noProof/>
                    <w:webHidden/>
                  </w:rPr>
                  <w:fldChar w:fldCharType="separate"/>
                </w:r>
                <w:r w:rsidR="00B220CB">
                  <w:rPr>
                    <w:noProof/>
                    <w:webHidden/>
                  </w:rPr>
                  <w:t>5</w:t>
                </w:r>
                <w:r w:rsidR="00B220CB">
                  <w:rPr>
                    <w:noProof/>
                    <w:webHidden/>
                  </w:rPr>
                  <w:fldChar w:fldCharType="end"/>
                </w:r>
              </w:hyperlink>
            </w:p>
            <w:p w14:paraId="60805B5C" w14:textId="0BB827C5" w:rsidR="00B220CB" w:rsidRDefault="00000000">
              <w:pPr>
                <w:pStyle w:val="TOC2"/>
                <w:tabs>
                  <w:tab w:val="right" w:leader="dot" w:pos="9350"/>
                </w:tabs>
                <w:rPr>
                  <w:rFonts w:eastAsiaTheme="minorEastAsia"/>
                  <w:noProof/>
                  <w:lang w:eastAsia="en-GB"/>
                </w:rPr>
              </w:pPr>
              <w:hyperlink w:anchor="_Toc511311660" w:history="1">
                <w:r w:rsidR="00B220CB" w:rsidRPr="00F85865">
                  <w:rPr>
                    <w:rStyle w:val="Hyperlink"/>
                    <w:noProof/>
                  </w:rPr>
                  <w:t>Appendix 1</w:t>
                </w:r>
                <w:r w:rsidR="00B220CB">
                  <w:rPr>
                    <w:noProof/>
                    <w:webHidden/>
                  </w:rPr>
                  <w:tab/>
                </w:r>
                <w:r w:rsidR="00B220CB">
                  <w:rPr>
                    <w:noProof/>
                    <w:webHidden/>
                  </w:rPr>
                  <w:fldChar w:fldCharType="begin"/>
                </w:r>
                <w:r w:rsidR="00B220CB">
                  <w:rPr>
                    <w:noProof/>
                    <w:webHidden/>
                  </w:rPr>
                  <w:instrText xml:space="preserve"> PAGEREF _Toc511311660 \h </w:instrText>
                </w:r>
                <w:r w:rsidR="00B220CB">
                  <w:rPr>
                    <w:noProof/>
                    <w:webHidden/>
                  </w:rPr>
                </w:r>
                <w:r w:rsidR="00B220CB">
                  <w:rPr>
                    <w:noProof/>
                    <w:webHidden/>
                  </w:rPr>
                  <w:fldChar w:fldCharType="separate"/>
                </w:r>
                <w:r w:rsidR="00B220CB">
                  <w:rPr>
                    <w:noProof/>
                    <w:webHidden/>
                  </w:rPr>
                  <w:t>6</w:t>
                </w:r>
                <w:r w:rsidR="00B220CB">
                  <w:rPr>
                    <w:noProof/>
                    <w:webHidden/>
                  </w:rPr>
                  <w:fldChar w:fldCharType="end"/>
                </w:r>
              </w:hyperlink>
            </w:p>
            <w:p w14:paraId="373DCF2F" w14:textId="20548520" w:rsidR="00B220CB" w:rsidRDefault="00000000">
              <w:pPr>
                <w:pStyle w:val="TOC2"/>
                <w:tabs>
                  <w:tab w:val="right" w:leader="dot" w:pos="9350"/>
                </w:tabs>
                <w:rPr>
                  <w:rFonts w:eastAsiaTheme="minorEastAsia"/>
                  <w:noProof/>
                  <w:lang w:eastAsia="en-GB"/>
                </w:rPr>
              </w:pPr>
              <w:hyperlink w:anchor="_Toc511311661" w:history="1">
                <w:r w:rsidR="00B220CB" w:rsidRPr="00F85865">
                  <w:rPr>
                    <w:rStyle w:val="Hyperlink"/>
                    <w:noProof/>
                  </w:rPr>
                  <w:t>Appendix 2</w:t>
                </w:r>
                <w:r w:rsidR="00B220CB">
                  <w:rPr>
                    <w:noProof/>
                    <w:webHidden/>
                  </w:rPr>
                  <w:tab/>
                </w:r>
                <w:r w:rsidR="00B220CB">
                  <w:rPr>
                    <w:noProof/>
                    <w:webHidden/>
                  </w:rPr>
                  <w:fldChar w:fldCharType="begin"/>
                </w:r>
                <w:r w:rsidR="00B220CB">
                  <w:rPr>
                    <w:noProof/>
                    <w:webHidden/>
                  </w:rPr>
                  <w:instrText xml:space="preserve"> PAGEREF _Toc511311661 \h </w:instrText>
                </w:r>
                <w:r w:rsidR="00B220CB">
                  <w:rPr>
                    <w:noProof/>
                    <w:webHidden/>
                  </w:rPr>
                </w:r>
                <w:r w:rsidR="00B220CB">
                  <w:rPr>
                    <w:noProof/>
                    <w:webHidden/>
                  </w:rPr>
                  <w:fldChar w:fldCharType="separate"/>
                </w:r>
                <w:r w:rsidR="00B220CB">
                  <w:rPr>
                    <w:noProof/>
                    <w:webHidden/>
                  </w:rPr>
                  <w:t>7</w:t>
                </w:r>
                <w:r w:rsidR="00B220CB">
                  <w:rPr>
                    <w:noProof/>
                    <w:webHidden/>
                  </w:rPr>
                  <w:fldChar w:fldCharType="end"/>
                </w:r>
              </w:hyperlink>
            </w:p>
            <w:p w14:paraId="42394321" w14:textId="122FF4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511311653"/>
      <w:r w:rsidRPr="0030173B">
        <w:lastRenderedPageBreak/>
        <w:t>Introduction</w:t>
      </w:r>
      <w:bookmarkEnd w:id="0"/>
      <w:bookmarkEnd w:id="1"/>
      <w:r w:rsidRPr="0030173B">
        <w:t xml:space="preserve"> </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24E4C745" w:rsidR="00322C2E" w:rsidRPr="002049FE" w:rsidRDefault="002049FE" w:rsidP="002049FE">
      <w:pPr>
        <w:pStyle w:val="Heading2"/>
      </w:pPr>
      <w:bookmarkStart w:id="2" w:name="_Toc511311654"/>
      <w:r w:rsidRPr="002049FE">
        <w:t>Section 1</w:t>
      </w:r>
      <w:bookmarkEnd w:id="2"/>
    </w:p>
    <w:p w14:paraId="61C396DE" w14:textId="7E832898" w:rsidR="0006008A" w:rsidRPr="00D2291D" w:rsidRDefault="003D2158" w:rsidP="00D2291D">
      <w:pPr>
        <w:spacing w:line="360" w:lineRule="auto"/>
        <w:rPr>
          <w:rFonts w:ascii="Arial" w:hAnsi="Arial" w:cs="Arial"/>
          <w:sz w:val="24"/>
          <w:szCs w:val="24"/>
        </w:rPr>
      </w:pPr>
      <w:r>
        <w:rPr>
          <w:rFonts w:ascii="Arial" w:hAnsi="Arial" w:cs="Arial"/>
          <w:sz w:val="24"/>
          <w:szCs w:val="24"/>
        </w:rPr>
        <w:t>Culture</w:t>
      </w:r>
    </w:p>
    <w:p w14:paraId="3302839A" w14:textId="33610B62" w:rsidR="00885114" w:rsidRDefault="003D2158" w:rsidP="00D2291D">
      <w:pPr>
        <w:spacing w:line="360" w:lineRule="auto"/>
        <w:rPr>
          <w:rFonts w:ascii="Arial" w:hAnsi="Arial" w:cs="Arial"/>
          <w:sz w:val="24"/>
          <w:szCs w:val="24"/>
        </w:rPr>
      </w:pPr>
      <w:r>
        <w:rPr>
          <w:rFonts w:ascii="System" w:hAnsi="System"/>
          <w:color w:val="1E1E1E"/>
          <w:sz w:val="27"/>
          <w:szCs w:val="27"/>
          <w:shd w:val="clear" w:color="auto" w:fill="FFFFFF"/>
        </w:rPr>
        <w:t>In a world that’s becoming increasingly global, it’s important for leaders to be able to communicate across cultural boundaries. It’s not enough to know languages – cultural knowledge is equally important. The concept of leadership isn’t the same in every culture, but it’s clear that the attitude of the leader is more important than formal structures, which can be very different.</w:t>
      </w:r>
    </w:p>
    <w:p w14:paraId="5230345A" w14:textId="77777777" w:rsidR="00E8115C" w:rsidRPr="00E8115C" w:rsidRDefault="00E8115C" w:rsidP="00E8115C">
      <w:pPr>
        <w:spacing w:line="360" w:lineRule="auto"/>
        <w:rPr>
          <w:rFonts w:ascii="Arial" w:hAnsi="Arial" w:cs="Arial"/>
          <w:sz w:val="24"/>
          <w:szCs w:val="24"/>
        </w:rPr>
      </w:pPr>
      <w:r w:rsidRPr="00E8115C">
        <w:rPr>
          <w:rFonts w:ascii="Arial" w:hAnsi="Arial" w:cs="Arial"/>
          <w:sz w:val="24"/>
          <w:szCs w:val="24"/>
        </w:rPr>
        <w:t>There are many various cultural traditions. The following are five cultural variances that affect multicultural teams and leadership roles:</w:t>
      </w:r>
    </w:p>
    <w:p w14:paraId="1E554494" w14:textId="77777777" w:rsidR="00E8115C" w:rsidRPr="00E8115C" w:rsidRDefault="00E8115C" w:rsidP="00E8115C">
      <w:pPr>
        <w:spacing w:line="360" w:lineRule="auto"/>
        <w:rPr>
          <w:rFonts w:ascii="Arial" w:hAnsi="Arial" w:cs="Arial"/>
          <w:sz w:val="24"/>
          <w:szCs w:val="24"/>
        </w:rPr>
      </w:pPr>
    </w:p>
    <w:p w14:paraId="48349A1D" w14:textId="77777777" w:rsidR="00E8115C" w:rsidRPr="00E8115C" w:rsidRDefault="00E8115C" w:rsidP="00826C27">
      <w:r w:rsidRPr="00E8115C">
        <w:t>Hierarchy In some cultures, there is a clear concept of hierarchy, and those in power or in higher positions show respect for those in lower positions. In other civilizations, everyone is accorded the same respect.</w:t>
      </w:r>
    </w:p>
    <w:p w14:paraId="4AE5157D" w14:textId="51121FEB" w:rsidR="00E8115C" w:rsidRPr="00E8115C" w:rsidRDefault="00E8115C" w:rsidP="00E8115C">
      <w:pPr>
        <w:spacing w:line="360" w:lineRule="auto"/>
        <w:rPr>
          <w:rFonts w:ascii="Arial" w:hAnsi="Arial" w:cs="Arial"/>
          <w:sz w:val="24"/>
          <w:szCs w:val="24"/>
        </w:rPr>
      </w:pPr>
      <w:r w:rsidRPr="00E8115C">
        <w:rPr>
          <w:rFonts w:ascii="Arial" w:hAnsi="Arial" w:cs="Arial"/>
          <w:sz w:val="24"/>
          <w:szCs w:val="24"/>
        </w:rPr>
        <w:t>Individualism against collectivism In some cultures, the family is highly valued, and putting the needs of the family first is strongly encouraged. This may imply that because family comes first, work-life balance is not crucial. People from more Western cultures value independence more than family, and vice versa.</w:t>
      </w:r>
      <w:r w:rsidRPr="00E8115C">
        <w:t xml:space="preserve"> </w:t>
      </w:r>
      <w:r w:rsidRPr="00E8115C">
        <w:rPr>
          <w:rFonts w:ascii="Arial" w:hAnsi="Arial" w:cs="Arial"/>
          <w:sz w:val="24"/>
          <w:szCs w:val="24"/>
        </w:rPr>
        <w:t>There are many various cultural traditions. The following are five cultural variances that affect multicultural teams and leadership roles:</w:t>
      </w:r>
    </w:p>
    <w:p w14:paraId="4402979E" w14:textId="77777777" w:rsidR="00A8648A" w:rsidRPr="00F30280" w:rsidRDefault="00A8648A" w:rsidP="00A8648A">
      <w:pPr>
        <w:rPr>
          <w:rFonts w:ascii="Arial" w:hAnsi="Arial" w:cs="Arial"/>
        </w:rPr>
      </w:pPr>
      <w:bookmarkStart w:id="3" w:name="_Toc456901517"/>
      <w:r w:rsidRPr="00F30280">
        <w:rPr>
          <w:rFonts w:ascii="Arial" w:hAnsi="Arial" w:cs="Arial"/>
        </w:rPr>
        <w:t>Putting the needs of the family first is strongly emphasised in some cultures, where the family is valued highly.</w:t>
      </w:r>
    </w:p>
    <w:p w14:paraId="327F6AEE" w14:textId="77777777" w:rsidR="00A8648A" w:rsidRPr="00F30280" w:rsidRDefault="00A8648A" w:rsidP="00A8648A">
      <w:pPr>
        <w:rPr>
          <w:rFonts w:ascii="Arial" w:hAnsi="Arial" w:cs="Arial"/>
        </w:rPr>
      </w:pPr>
      <w:r w:rsidRPr="00F30280">
        <w:rPr>
          <w:rFonts w:ascii="Arial" w:hAnsi="Arial" w:cs="Arial"/>
        </w:rPr>
        <w:t>Communication: The ways in which people communicate vary among cultures. For instance, although some cultures are more indirect and use a lot of metaphors, others are very direct and to the point.</w:t>
      </w:r>
    </w:p>
    <w:p w14:paraId="5D3600D4" w14:textId="77777777" w:rsidR="00A8648A" w:rsidRPr="00F30280" w:rsidRDefault="00A8648A" w:rsidP="00A8648A">
      <w:pPr>
        <w:rPr>
          <w:rFonts w:ascii="Arial" w:hAnsi="Arial" w:cs="Arial"/>
        </w:rPr>
      </w:pPr>
      <w:r w:rsidRPr="00F30280">
        <w:rPr>
          <w:rFonts w:ascii="Arial" w:hAnsi="Arial" w:cs="Arial"/>
        </w:rPr>
        <w:t>Time: Different cultural perspectives of time exist. Some cultures place a high value on punctuality and demand the same of others. The concept of time is less rigid in other cultures.</w:t>
      </w:r>
    </w:p>
    <w:p w14:paraId="435B98DE" w14:textId="77777777" w:rsidR="00C911B1" w:rsidRPr="00F30280" w:rsidRDefault="00A8648A" w:rsidP="00C911B1">
      <w:pPr>
        <w:rPr>
          <w:rFonts w:ascii="Arial" w:hAnsi="Arial" w:cs="Arial"/>
        </w:rPr>
      </w:pPr>
      <w:r w:rsidRPr="00F30280">
        <w:rPr>
          <w:rFonts w:ascii="Arial" w:hAnsi="Arial" w:cs="Arial"/>
        </w:rPr>
        <w:lastRenderedPageBreak/>
        <w:t>Work-related attitudes: Work-related attitudes vary between cultures. While other cultures place more value on work-life balance, certain cultures place a lot of focus on long hours and hard wor</w:t>
      </w:r>
      <w:bookmarkStart w:id="4" w:name="_Toc511311655"/>
      <w:bookmarkEnd w:id="3"/>
      <w:r w:rsidR="00C911B1" w:rsidRPr="00F30280">
        <w:rPr>
          <w:rFonts w:ascii="Arial" w:hAnsi="Arial" w:cs="Arial"/>
        </w:rPr>
        <w:t xml:space="preserve">k.         </w:t>
      </w:r>
    </w:p>
    <w:p w14:paraId="6A57A2E4" w14:textId="6F058F69" w:rsidR="00D67E1F" w:rsidRPr="002049FE" w:rsidRDefault="002049FE" w:rsidP="00C911B1">
      <w:r w:rsidRPr="002049FE">
        <w:t>Section 2</w:t>
      </w:r>
      <w:bookmarkEnd w:id="4"/>
    </w:p>
    <w:p w14:paraId="3F110435" w14:textId="333CD705" w:rsidR="003F69D6" w:rsidRDefault="00D60FD8" w:rsidP="00D2291D">
      <w:pPr>
        <w:spacing w:line="360" w:lineRule="auto"/>
        <w:rPr>
          <w:rFonts w:ascii="Arial" w:hAnsi="Arial" w:cs="Arial"/>
          <w:sz w:val="24"/>
          <w:szCs w:val="24"/>
        </w:rPr>
      </w:pPr>
      <w:r>
        <w:rPr>
          <w:rFonts w:ascii="Arial" w:hAnsi="Arial" w:cs="Arial"/>
          <w:sz w:val="24"/>
          <w:szCs w:val="24"/>
        </w:rPr>
        <w:t>Diversity</w:t>
      </w:r>
    </w:p>
    <w:p w14:paraId="75F03BF8" w14:textId="77777777" w:rsidR="00D60FD8" w:rsidRDefault="00D60FD8" w:rsidP="00D60FD8">
      <w:pPr>
        <w:pStyle w:val="NormalWeb"/>
        <w:spacing w:before="0" w:beforeAutospacing="0" w:after="0" w:afterAutospacing="0"/>
        <w:rPr>
          <w:rFonts w:ascii="Calibri" w:hAnsi="Calibri" w:cs="Calibri"/>
          <w:color w:val="333333"/>
          <w:sz w:val="30"/>
          <w:szCs w:val="30"/>
        </w:rPr>
      </w:pPr>
      <w:r>
        <w:rPr>
          <w:rStyle w:val="Emphasis"/>
          <w:rFonts w:ascii="Calibri" w:hAnsi="Calibri" w:cs="Calibri"/>
          <w:color w:val="333333"/>
          <w:sz w:val="30"/>
          <w:szCs w:val="30"/>
        </w:rPr>
        <w:t>Diversity</w:t>
      </w:r>
      <w:r>
        <w:rPr>
          <w:rFonts w:ascii="Calibri" w:hAnsi="Calibri" w:cs="Calibri"/>
          <w:color w:val="333333"/>
          <w:sz w:val="30"/>
          <w:szCs w:val="30"/>
        </w:rPr>
        <w:t> refers to who is represented in the workforce. Some examples of diversity in workplaces include:</w:t>
      </w:r>
    </w:p>
    <w:p w14:paraId="1C3980F2" w14:textId="77777777" w:rsidR="00D60FD8" w:rsidRDefault="00D60FD8" w:rsidP="00D60FD8">
      <w:pPr>
        <w:numPr>
          <w:ilvl w:val="0"/>
          <w:numId w:val="13"/>
        </w:numPr>
        <w:spacing w:before="100" w:beforeAutospacing="1" w:after="100" w:afterAutospacing="1" w:line="240" w:lineRule="auto"/>
        <w:rPr>
          <w:rFonts w:ascii="Calibri" w:hAnsi="Calibri" w:cs="Calibri"/>
          <w:color w:val="333333"/>
          <w:sz w:val="30"/>
          <w:szCs w:val="30"/>
        </w:rPr>
      </w:pPr>
      <w:hyperlink r:id="rId12" w:history="1">
        <w:r>
          <w:rPr>
            <w:rStyle w:val="Hyperlink"/>
            <w:rFonts w:ascii="Calibri" w:hAnsi="Calibri" w:cs="Calibri"/>
            <w:i/>
            <w:iCs/>
            <w:sz w:val="30"/>
            <w:szCs w:val="30"/>
            <w:u w:val="none"/>
          </w:rPr>
          <w:t>Gender diversity:</w:t>
        </w:r>
      </w:hyperlink>
      <w:r>
        <w:rPr>
          <w:rFonts w:ascii="Calibri" w:hAnsi="Calibri" w:cs="Calibri"/>
          <w:color w:val="333333"/>
          <w:sz w:val="30"/>
          <w:szCs w:val="30"/>
        </w:rPr>
        <w:t> What makes up the composition of men, women, and nonbinary people in a given population?</w:t>
      </w:r>
    </w:p>
    <w:p w14:paraId="65149476" w14:textId="77777777" w:rsidR="00D60FD8" w:rsidRDefault="00D60FD8" w:rsidP="00D60FD8">
      <w:pPr>
        <w:numPr>
          <w:ilvl w:val="0"/>
          <w:numId w:val="13"/>
        </w:numPr>
        <w:spacing w:before="100" w:beforeAutospacing="1" w:after="100" w:afterAutospacing="1" w:line="240" w:lineRule="auto"/>
        <w:rPr>
          <w:rFonts w:ascii="Calibri" w:hAnsi="Calibri" w:cs="Calibri"/>
          <w:color w:val="333333"/>
          <w:sz w:val="30"/>
          <w:szCs w:val="30"/>
        </w:rPr>
      </w:pPr>
      <w:hyperlink r:id="rId13" w:history="1">
        <w:r>
          <w:rPr>
            <w:rStyle w:val="Hyperlink"/>
            <w:rFonts w:ascii="Calibri" w:hAnsi="Calibri" w:cs="Calibri"/>
            <w:i/>
            <w:iCs/>
            <w:sz w:val="30"/>
            <w:szCs w:val="30"/>
            <w:u w:val="none"/>
          </w:rPr>
          <w:t>Age diversity:</w:t>
        </w:r>
      </w:hyperlink>
      <w:r>
        <w:rPr>
          <w:rFonts w:ascii="Calibri" w:hAnsi="Calibri" w:cs="Calibri"/>
          <w:color w:val="333333"/>
          <w:sz w:val="30"/>
          <w:szCs w:val="30"/>
        </w:rPr>
        <w:t> Are people in a group from mostly one generation, or is there a mix of ages?</w:t>
      </w:r>
    </w:p>
    <w:p w14:paraId="619056D2" w14:textId="77777777" w:rsidR="00D60FD8" w:rsidRDefault="00D60FD8" w:rsidP="00D60FD8">
      <w:pPr>
        <w:numPr>
          <w:ilvl w:val="0"/>
          <w:numId w:val="13"/>
        </w:numPr>
        <w:spacing w:before="100" w:beforeAutospacing="1" w:after="100" w:afterAutospacing="1" w:line="240" w:lineRule="auto"/>
        <w:rPr>
          <w:rFonts w:ascii="Calibri" w:hAnsi="Calibri" w:cs="Calibri"/>
          <w:color w:val="333333"/>
          <w:sz w:val="30"/>
          <w:szCs w:val="30"/>
        </w:rPr>
      </w:pPr>
      <w:hyperlink r:id="rId14" w:history="1">
        <w:r>
          <w:rPr>
            <w:rStyle w:val="Hyperlink"/>
            <w:rFonts w:ascii="Calibri" w:hAnsi="Calibri" w:cs="Calibri"/>
            <w:i/>
            <w:iCs/>
            <w:sz w:val="30"/>
            <w:szCs w:val="30"/>
            <w:u w:val="none"/>
          </w:rPr>
          <w:t>Ethnic diversity:</w:t>
        </w:r>
      </w:hyperlink>
      <w:r>
        <w:rPr>
          <w:rFonts w:ascii="Calibri" w:hAnsi="Calibri" w:cs="Calibri"/>
          <w:color w:val="333333"/>
          <w:sz w:val="30"/>
          <w:szCs w:val="30"/>
        </w:rPr>
        <w:t> Do people in a group share common national or cultural traditions, or do they represent different backgrounds?</w:t>
      </w:r>
    </w:p>
    <w:p w14:paraId="795F9BF7" w14:textId="77777777" w:rsidR="00D60FD8" w:rsidRDefault="00D60FD8" w:rsidP="00D60FD8">
      <w:pPr>
        <w:numPr>
          <w:ilvl w:val="0"/>
          <w:numId w:val="13"/>
        </w:numPr>
        <w:spacing w:before="100" w:beforeAutospacing="1" w:after="100" w:afterAutospacing="1" w:line="240" w:lineRule="auto"/>
        <w:rPr>
          <w:rFonts w:ascii="Calibri" w:hAnsi="Calibri" w:cs="Calibri"/>
          <w:color w:val="333333"/>
          <w:sz w:val="30"/>
          <w:szCs w:val="30"/>
        </w:rPr>
      </w:pPr>
      <w:hyperlink r:id="rId15" w:history="1">
        <w:r>
          <w:rPr>
            <w:rStyle w:val="Hyperlink"/>
            <w:rFonts w:ascii="Calibri" w:hAnsi="Calibri" w:cs="Calibri"/>
            <w:i/>
            <w:iCs/>
            <w:sz w:val="30"/>
            <w:szCs w:val="30"/>
            <w:u w:val="none"/>
          </w:rPr>
          <w:t>Physical ability and neurodiversity:</w:t>
        </w:r>
      </w:hyperlink>
      <w:r>
        <w:rPr>
          <w:rFonts w:ascii="Calibri" w:hAnsi="Calibri" w:cs="Calibri"/>
          <w:color w:val="333333"/>
          <w:sz w:val="30"/>
          <w:szCs w:val="30"/>
        </w:rPr>
        <w:t> Are the perspectives of people with disabilities, whether apparent or not, accounted for?</w:t>
      </w:r>
    </w:p>
    <w:p w14:paraId="16DA9D71" w14:textId="5F8C7582" w:rsidR="00D2291D" w:rsidRDefault="00D2291D" w:rsidP="00D2291D">
      <w:pPr>
        <w:spacing w:line="360" w:lineRule="auto"/>
        <w:rPr>
          <w:rFonts w:ascii="Arial" w:hAnsi="Arial" w:cs="Arial"/>
          <w:sz w:val="24"/>
          <w:szCs w:val="24"/>
        </w:rPr>
      </w:pPr>
    </w:p>
    <w:p w14:paraId="70A765C6" w14:textId="2069CCA2" w:rsidR="00FC4890" w:rsidRDefault="00FC4890" w:rsidP="00D2291D">
      <w:pPr>
        <w:spacing w:line="360" w:lineRule="auto"/>
        <w:rPr>
          <w:rFonts w:ascii="Arial" w:hAnsi="Arial" w:cs="Arial"/>
          <w:sz w:val="24"/>
          <w:szCs w:val="24"/>
        </w:rPr>
      </w:pPr>
      <w:r w:rsidRPr="00FC4890">
        <w:rPr>
          <w:rFonts w:ascii="Arial" w:hAnsi="Arial" w:cs="Arial"/>
          <w:sz w:val="24"/>
          <w:szCs w:val="24"/>
        </w:rPr>
        <w:t>Equity means treating everyone equally, ensuring that identity does not influence opportunities or workplace results through prevailing attitudes, practises, and regulations. The difference between equity and equality is small but significant. While equity takes into account a person's particular circumstances and adjusts treatment accordingly so that the outcome is equal, equality presupposes that all persons should</w:t>
      </w:r>
      <w:r>
        <w:rPr>
          <w:rFonts w:ascii="Arial" w:hAnsi="Arial" w:cs="Arial"/>
          <w:sz w:val="24"/>
          <w:szCs w:val="24"/>
        </w:rPr>
        <w:t xml:space="preserve"> be treated equally.</w:t>
      </w:r>
      <w:r w:rsidRPr="00FC4890">
        <w:rPr>
          <w:rFonts w:ascii="Arial" w:hAnsi="Arial" w:cs="Arial"/>
          <w:sz w:val="24"/>
          <w:szCs w:val="24"/>
        </w:rPr>
        <w:t xml:space="preserve"> </w:t>
      </w:r>
    </w:p>
    <w:p w14:paraId="745AA5A0" w14:textId="31507ECF" w:rsidR="00B82943" w:rsidRPr="00F30280" w:rsidRDefault="00110502" w:rsidP="00D2291D">
      <w:pPr>
        <w:spacing w:line="360" w:lineRule="auto"/>
        <w:rPr>
          <w:rFonts w:ascii="Arial" w:hAnsi="Arial" w:cs="Arial"/>
        </w:rPr>
      </w:pPr>
      <w:r w:rsidRPr="00F30280">
        <w:rPr>
          <w:rFonts w:ascii="Arial" w:hAnsi="Arial" w:cs="Arial"/>
        </w:rPr>
        <w:t>The term "inclusion" describes how the workforce perceives the workplace and the extent to which organisations welcome all workers and provide them the opportunity to contribute meaningfully. Companies that are serious about hiring a diverse workforce must also work to create an environment where all employees feel that their opinions matter. This is essential if businesses want to keep their</w:t>
      </w:r>
      <w:r w:rsidR="00B82943" w:rsidRPr="00F30280">
        <w:rPr>
          <w:rFonts w:ascii="Arial" w:hAnsi="Arial" w:cs="Arial"/>
        </w:rPr>
        <w:t xml:space="preserve"> </w:t>
      </w:r>
      <w:r w:rsidRPr="00F30280">
        <w:rPr>
          <w:rFonts w:ascii="Arial" w:hAnsi="Arial" w:cs="Arial"/>
        </w:rPr>
        <w:t>best employees and maximise the potential of their diverse workforce.</w:t>
      </w:r>
      <w:r w:rsidRPr="00F30280">
        <w:rPr>
          <w:rFonts w:ascii="Arial" w:hAnsi="Arial" w:cs="Arial"/>
        </w:rPr>
        <w:t xml:space="preserve"> </w:t>
      </w:r>
      <w:r w:rsidR="00B82943" w:rsidRPr="00F30280">
        <w:rPr>
          <w:rFonts w:ascii="Arial" w:hAnsi="Arial" w:cs="Arial"/>
        </w:rPr>
        <w:t xml:space="preserve">  </w:t>
      </w:r>
    </w:p>
    <w:p w14:paraId="111935C3" w14:textId="77777777" w:rsidR="00B82943" w:rsidRPr="00F30280" w:rsidRDefault="00B82943" w:rsidP="00B82943">
      <w:pPr>
        <w:spacing w:line="360" w:lineRule="auto"/>
        <w:rPr>
          <w:rFonts w:ascii="Arial" w:hAnsi="Arial" w:cs="Arial"/>
        </w:rPr>
      </w:pPr>
      <w:r w:rsidRPr="00F30280">
        <w:rPr>
          <w:rFonts w:ascii="Arial" w:hAnsi="Arial" w:cs="Arial"/>
        </w:rPr>
        <w:t>The process of one individual influencing a group to accomplish a goal that would be either impossible or significantly more challenging to accomplish without that influence is known as leadership.</w:t>
      </w:r>
    </w:p>
    <w:p w14:paraId="0F303064" w14:textId="77777777" w:rsidR="00B82943" w:rsidRDefault="00B82943" w:rsidP="00B82943">
      <w:pPr>
        <w:spacing w:line="360" w:lineRule="auto"/>
      </w:pPr>
    </w:p>
    <w:p w14:paraId="46BD28CC" w14:textId="77777777" w:rsidR="00B82943" w:rsidRPr="00F30280" w:rsidRDefault="00B82943" w:rsidP="00B82943">
      <w:pPr>
        <w:spacing w:line="360" w:lineRule="auto"/>
        <w:rPr>
          <w:sz w:val="24"/>
          <w:szCs w:val="24"/>
        </w:rPr>
      </w:pPr>
      <w:r w:rsidRPr="00F30280">
        <w:rPr>
          <w:sz w:val="24"/>
          <w:szCs w:val="24"/>
        </w:rPr>
        <w:t>This technique also involves cultural impact because it involves influencing other people.</w:t>
      </w:r>
    </w:p>
    <w:p w14:paraId="61D2E3FD" w14:textId="77777777" w:rsidR="00B82943" w:rsidRDefault="00B82943" w:rsidP="00B82943">
      <w:pPr>
        <w:spacing w:line="360" w:lineRule="auto"/>
      </w:pPr>
    </w:p>
    <w:p w14:paraId="2A84D851" w14:textId="72813E7E" w:rsidR="0030173B" w:rsidRPr="00F30280" w:rsidRDefault="00B82943" w:rsidP="00B82943">
      <w:pPr>
        <w:spacing w:line="360" w:lineRule="auto"/>
        <w:rPr>
          <w:sz w:val="24"/>
          <w:szCs w:val="24"/>
        </w:rPr>
      </w:pPr>
      <w:r w:rsidRPr="00F30280">
        <w:rPr>
          <w:sz w:val="24"/>
          <w:szCs w:val="24"/>
        </w:rPr>
        <w:t>As the world gets more interconnected, cross-cultural leadership is becoming more and more important. Companies are increasingly extending their reach internationally, creating a demand for leaders who are able to operate with ease across a wide range of cultural contexts.</w:t>
      </w:r>
      <w:r w:rsidRPr="00F30280">
        <w:rPr>
          <w:sz w:val="24"/>
          <w:szCs w:val="24"/>
        </w:rPr>
        <w:t xml:space="preserve">                                                                                                                                                                               </w:t>
      </w:r>
    </w:p>
    <w:p w14:paraId="1A219A81" w14:textId="1E68FC2A" w:rsidR="00FC4890" w:rsidRPr="00F30280" w:rsidRDefault="009833F8" w:rsidP="00D2291D">
      <w:pPr>
        <w:spacing w:line="360" w:lineRule="auto"/>
        <w:rPr>
          <w:rFonts w:ascii="Arial" w:hAnsi="Arial" w:cs="Arial"/>
          <w:sz w:val="24"/>
          <w:szCs w:val="24"/>
        </w:rPr>
      </w:pPr>
      <w:r w:rsidRPr="00F30280">
        <w:rPr>
          <w:rFonts w:ascii="Calibri" w:hAnsi="Calibri" w:cs="Calibri"/>
          <w:color w:val="333333"/>
          <w:sz w:val="24"/>
          <w:szCs w:val="24"/>
        </w:rPr>
        <w:t>Diversity—through the lenses of race, ethnicity, ability, gender, sexual orientation, neurodiversity, and beyond—can help to strengthen organizations, as </w:t>
      </w:r>
      <w:hyperlink r:id="rId16" w:history="1">
        <w:r w:rsidRPr="00F30280">
          <w:rPr>
            <w:rStyle w:val="Hyperlink"/>
            <w:rFonts w:ascii="Calibri" w:hAnsi="Calibri" w:cs="Calibri"/>
            <w:sz w:val="24"/>
            <w:szCs w:val="24"/>
          </w:rPr>
          <w:t>studies have shown</w:t>
        </w:r>
      </w:hyperlink>
      <w:r w:rsidRPr="00F30280">
        <w:rPr>
          <w:rFonts w:ascii="Calibri" w:hAnsi="Calibri" w:cs="Calibri"/>
          <w:color w:val="333333"/>
          <w:sz w:val="24"/>
          <w:szCs w:val="24"/>
        </w:rPr>
        <w:t> time and again. Quite simply, diversity, equity, and inclusion (DEI) is used to describe three values that many organizations today strive to embody to help meet the needs of people from all walks of life. While concepts such as biodiversity are important offshoots of the core idea of diversity, this article focuses on diversity, equity, and inclusion in business and society rather than in other contexts.</w:t>
      </w:r>
    </w:p>
    <w:p w14:paraId="726126A5" w14:textId="15FFAB34" w:rsidR="0030173B" w:rsidRDefault="0030173B" w:rsidP="00D2291D">
      <w:pPr>
        <w:spacing w:line="360" w:lineRule="auto"/>
        <w:rPr>
          <w:rFonts w:ascii="Arial" w:hAnsi="Arial" w:cs="Arial"/>
          <w:sz w:val="24"/>
          <w:szCs w:val="24"/>
        </w:rPr>
      </w:pPr>
    </w:p>
    <w:p w14:paraId="0C57A8FC" w14:textId="3849341F" w:rsidR="0030173B" w:rsidRDefault="0030173B" w:rsidP="00110502"/>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BD6C454" w14:textId="1BE8AA41" w:rsidR="009556EE" w:rsidRPr="002049FE" w:rsidRDefault="002049FE" w:rsidP="002049FE">
      <w:pPr>
        <w:pStyle w:val="Heading2"/>
      </w:pPr>
      <w:bookmarkStart w:id="5" w:name="_Toc511311656"/>
      <w:r w:rsidRPr="002049FE">
        <w:t>Section 3</w:t>
      </w:r>
      <w:bookmarkEnd w:id="5"/>
    </w:p>
    <w:p w14:paraId="30724A0F" w14:textId="77777777" w:rsidR="00C86F07" w:rsidRDefault="00C86F07" w:rsidP="00D2291D">
      <w:pPr>
        <w:spacing w:line="360" w:lineRule="auto"/>
        <w:rPr>
          <w:rFonts w:ascii="Arial" w:hAnsi="Arial" w:cs="Arial"/>
          <w:sz w:val="24"/>
          <w:szCs w:val="24"/>
        </w:rPr>
      </w:pPr>
    </w:p>
    <w:p w14:paraId="5936A0E8" w14:textId="368892BE" w:rsidR="009556EE" w:rsidRPr="00D2291D" w:rsidRDefault="00110502" w:rsidP="00D2291D">
      <w:pPr>
        <w:spacing w:line="360" w:lineRule="auto"/>
        <w:rPr>
          <w:rFonts w:ascii="Arial" w:hAnsi="Arial" w:cs="Arial"/>
          <w:sz w:val="24"/>
          <w:szCs w:val="24"/>
        </w:rPr>
      </w:pPr>
      <w:r>
        <w:rPr>
          <w:rFonts w:ascii="Arial" w:hAnsi="Arial" w:cs="Arial"/>
          <w:sz w:val="24"/>
          <w:szCs w:val="24"/>
        </w:rPr>
        <w:t>Religion</w:t>
      </w:r>
    </w:p>
    <w:p w14:paraId="470E7032" w14:textId="02CABB85" w:rsidR="008C2930" w:rsidRDefault="008C2930" w:rsidP="00C86F07">
      <w:pPr>
        <w:spacing w:line="360" w:lineRule="auto"/>
        <w:jc w:val="right"/>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6542E65E" w:rsidR="008C2930" w:rsidRDefault="008C2930" w:rsidP="002049FE">
      <w:pPr>
        <w:pStyle w:val="Heading2"/>
      </w:pPr>
    </w:p>
    <w:p w14:paraId="528C7F56" w14:textId="27FA8221" w:rsidR="00C86F07" w:rsidRPr="00F30280" w:rsidRDefault="00C86F07" w:rsidP="00C86F07">
      <w:pPr>
        <w:rPr>
          <w:rFonts w:ascii="Arial" w:hAnsi="Arial" w:cs="Arial"/>
        </w:rPr>
      </w:pPr>
      <w:r w:rsidRPr="00F30280">
        <w:rPr>
          <w:rFonts w:ascii="Arial" w:hAnsi="Arial" w:cs="Arial"/>
        </w:rPr>
        <w:t>Religion</w:t>
      </w:r>
    </w:p>
    <w:p w14:paraId="505EE502" w14:textId="37A23F4F" w:rsidR="00C86F07" w:rsidRPr="00F30280" w:rsidRDefault="00C86F07" w:rsidP="00C86F07">
      <w:pPr>
        <w:rPr>
          <w:rFonts w:ascii="Arial" w:hAnsi="Arial" w:cs="Arial"/>
        </w:rPr>
      </w:pPr>
      <w:r w:rsidRPr="00F30280">
        <w:rPr>
          <w:rFonts w:ascii="Arial" w:hAnsi="Arial" w:cs="Arial"/>
        </w:rPr>
        <w:t xml:space="preserve">Religion is a range of social cultural systems, which include designated behaviours and practices, morals, </w:t>
      </w:r>
      <w:proofErr w:type="spellStart"/>
      <w:r w:rsidRPr="00F30280">
        <w:rPr>
          <w:rFonts w:ascii="Arial" w:hAnsi="Arial" w:cs="Arial"/>
        </w:rPr>
        <w:t>beliefs,worldviews,texts</w:t>
      </w:r>
      <w:proofErr w:type="spellEnd"/>
      <w:r w:rsidRPr="00F30280">
        <w:rPr>
          <w:rFonts w:ascii="Arial" w:hAnsi="Arial" w:cs="Arial"/>
        </w:rPr>
        <w:t xml:space="preserve">, sanctified places, </w:t>
      </w:r>
      <w:proofErr w:type="spellStart"/>
      <w:r w:rsidRPr="00F30280">
        <w:rPr>
          <w:rFonts w:ascii="Arial" w:hAnsi="Arial" w:cs="Arial"/>
        </w:rPr>
        <w:t>prophecies,ethics</w:t>
      </w:r>
      <w:proofErr w:type="spellEnd"/>
      <w:r w:rsidRPr="00F30280">
        <w:rPr>
          <w:rFonts w:ascii="Arial" w:hAnsi="Arial" w:cs="Arial"/>
        </w:rPr>
        <w:t xml:space="preserve"> or organisations that generally relate to supernatural, transcendental spiritual elements.</w:t>
      </w:r>
    </w:p>
    <w:p w14:paraId="7BE564BE" w14:textId="77777777" w:rsidR="00285D09" w:rsidRPr="00D2291D" w:rsidRDefault="00285D09" w:rsidP="00D2291D">
      <w:pPr>
        <w:spacing w:line="360" w:lineRule="auto"/>
        <w:rPr>
          <w:rFonts w:ascii="Arial" w:hAnsi="Arial" w:cs="Arial"/>
          <w:sz w:val="24"/>
          <w:szCs w:val="24"/>
        </w:rPr>
      </w:pPr>
    </w:p>
    <w:p w14:paraId="60E64667" w14:textId="71718368" w:rsidR="00296FAF" w:rsidRPr="00D2291D" w:rsidRDefault="0066734B" w:rsidP="00D2291D">
      <w:pPr>
        <w:spacing w:line="360" w:lineRule="auto"/>
        <w:rPr>
          <w:rFonts w:ascii="Arial" w:hAnsi="Arial" w:cs="Arial"/>
          <w:sz w:val="24"/>
          <w:szCs w:val="24"/>
        </w:rPr>
      </w:pPr>
      <w:r w:rsidRPr="0066734B">
        <w:rPr>
          <w:rFonts w:ascii="Arial" w:hAnsi="Arial" w:cs="Arial"/>
          <w:sz w:val="24"/>
          <w:szCs w:val="24"/>
        </w:rPr>
        <w:t xml:space="preserve">In various societies, religion has developed in a variety of ways. Religions differ in how much they emphasise practise and belief. While some religions place the greatest emphasis on the individual's subjective experience, others see the religious community's activities as being of the utmost significance. Others are only meant to be </w:t>
      </w:r>
      <w:r w:rsidRPr="0066734B">
        <w:rPr>
          <w:rFonts w:ascii="Arial" w:hAnsi="Arial" w:cs="Arial"/>
          <w:sz w:val="24"/>
          <w:szCs w:val="24"/>
        </w:rPr>
        <w:lastRenderedPageBreak/>
        <w:t>practised by a narrowly defined or localised community, while some religions make the claim to be global, thinking that their laws and cosmology are binding for everyone. Religion has frequently been linked to governmental and political structures as well as organisations like the family, hospitals, schools, and governments.</w:t>
      </w:r>
    </w:p>
    <w:p w14:paraId="7D27C15E" w14:textId="5E1C3759" w:rsidR="008C2930" w:rsidRDefault="008C2930" w:rsidP="00D2291D">
      <w:pPr>
        <w:spacing w:line="360" w:lineRule="auto"/>
        <w:rPr>
          <w:rFonts w:ascii="Arial" w:hAnsi="Arial" w:cs="Arial"/>
          <w:sz w:val="24"/>
          <w:szCs w:val="24"/>
        </w:rPr>
      </w:pPr>
    </w:p>
    <w:p w14:paraId="32602747" w14:textId="77777777" w:rsidR="00284720" w:rsidRPr="00D2291D" w:rsidRDefault="00284720" w:rsidP="00D2291D">
      <w:pPr>
        <w:spacing w:line="360" w:lineRule="auto"/>
        <w:rPr>
          <w:rFonts w:ascii="Arial" w:hAnsi="Arial" w:cs="Arial"/>
          <w:sz w:val="24"/>
          <w:szCs w:val="24"/>
        </w:rPr>
      </w:pPr>
    </w:p>
    <w:p w14:paraId="50526D8B"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belief in a holy concept (such as gods or other paranormal entities).</w:t>
      </w:r>
    </w:p>
    <w:p w14:paraId="05413CA0"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a division between holy and unholy places, things, etc.</w:t>
      </w:r>
    </w:p>
    <w:p w14:paraId="32BF7269"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Ritual actions centred on holy places and/or things.</w:t>
      </w:r>
    </w:p>
    <w:p w14:paraId="7594E708"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a moral code that is thought to have a divine or supernatural origin.</w:t>
      </w:r>
    </w:p>
    <w:p w14:paraId="6C700348"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Religious sentiments that are typically evoked in the presence of holy places and/or items as well as during rituals that are centred on holy places, things, or beings include awe, a sense of mystery, guilt, and adoration.</w:t>
      </w:r>
    </w:p>
    <w:p w14:paraId="702ED3E4" w14:textId="0672B2AC"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Prayer and other channels of spiritual communion.</w:t>
      </w:r>
      <w:r w:rsidRPr="00F03F8F">
        <w:t xml:space="preserve"> </w:t>
      </w:r>
      <w:r w:rsidRPr="00F03F8F">
        <w:rPr>
          <w:rFonts w:ascii="Arial" w:hAnsi="Arial" w:cs="Arial"/>
          <w:sz w:val="24"/>
          <w:szCs w:val="24"/>
        </w:rPr>
        <w:t>belief in a holy concept (such as gods or other paranormal entities).</w:t>
      </w:r>
    </w:p>
    <w:p w14:paraId="4F83BF99"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a division between holy and unholy places, things, etc.</w:t>
      </w:r>
    </w:p>
    <w:p w14:paraId="0C5A2E78"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Ritual actions centred on holy places and/or things.</w:t>
      </w:r>
    </w:p>
    <w:p w14:paraId="7AB57BEB"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a moral code that is thought to have a divine or supernatural origin.</w:t>
      </w:r>
    </w:p>
    <w:p w14:paraId="1F5FEDC5"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Religious sentiments that are typically evoked in the presence of holy places and/or items as well as during rituals that are centred on holy places, things, or beings include awe, a sense of mystery, guilt, and adoration.</w:t>
      </w:r>
    </w:p>
    <w:p w14:paraId="1B4838B8" w14:textId="3E315ABC" w:rsidR="00964538" w:rsidRDefault="00F03F8F" w:rsidP="00F03F8F">
      <w:pPr>
        <w:spacing w:line="360" w:lineRule="auto"/>
        <w:rPr>
          <w:rFonts w:ascii="Arial" w:hAnsi="Arial" w:cs="Arial"/>
          <w:sz w:val="24"/>
          <w:szCs w:val="24"/>
        </w:rPr>
      </w:pPr>
      <w:r w:rsidRPr="00F03F8F">
        <w:rPr>
          <w:rFonts w:ascii="Arial" w:hAnsi="Arial" w:cs="Arial"/>
          <w:sz w:val="24"/>
          <w:szCs w:val="24"/>
        </w:rPr>
        <w:t>Prayer and other channels of spiritual communion.</w:t>
      </w:r>
    </w:p>
    <w:p w14:paraId="57D96673"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A worldview, ideology, or basic conception of the world and people's role in it that includes a statement about the world's purpose or point and how people fit into it.</w:t>
      </w:r>
    </w:p>
    <w:p w14:paraId="4A3C3825"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t>a life that has been roughly fully organised using this perspective.</w:t>
      </w:r>
    </w:p>
    <w:p w14:paraId="0342D2A4" w14:textId="77777777" w:rsidR="00F03F8F" w:rsidRPr="00F03F8F" w:rsidRDefault="00F03F8F" w:rsidP="00F03F8F">
      <w:pPr>
        <w:spacing w:line="360" w:lineRule="auto"/>
        <w:rPr>
          <w:rFonts w:ascii="Arial" w:hAnsi="Arial" w:cs="Arial"/>
          <w:sz w:val="24"/>
          <w:szCs w:val="24"/>
        </w:rPr>
      </w:pPr>
      <w:r w:rsidRPr="00F03F8F">
        <w:rPr>
          <w:rFonts w:ascii="Arial" w:hAnsi="Arial" w:cs="Arial"/>
          <w:sz w:val="24"/>
          <w:szCs w:val="24"/>
        </w:rPr>
        <w:lastRenderedPageBreak/>
        <w:t>a social group centred on and connected to the aforementioned.</w:t>
      </w:r>
    </w:p>
    <w:p w14:paraId="597989C5" w14:textId="35977FF9" w:rsidR="0030173B" w:rsidRDefault="00F03F8F" w:rsidP="00F03F8F">
      <w:pPr>
        <w:spacing w:line="360" w:lineRule="auto"/>
        <w:rPr>
          <w:rFonts w:ascii="Arial" w:hAnsi="Arial" w:cs="Arial"/>
          <w:sz w:val="24"/>
          <w:szCs w:val="24"/>
        </w:rPr>
      </w:pPr>
      <w:r w:rsidRPr="00F03F8F">
        <w:rPr>
          <w:rFonts w:ascii="Arial" w:hAnsi="Arial" w:cs="Arial"/>
          <w:sz w:val="24"/>
          <w:szCs w:val="24"/>
        </w:rPr>
        <w:t>According to this definition, religion refers to religious systems only; nonreligious systems are not mentioned. It includes all of the characteristics shared by belief systems that are typically referred to as religions without concentrating on any particular traits that are particular to only a handful.</w:t>
      </w: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6" w:name="_Toc511311658"/>
      <w:r>
        <w:t>Conclusion</w:t>
      </w:r>
      <w:bookmarkEnd w:id="6"/>
    </w:p>
    <w:p w14:paraId="52CE6B68" w14:textId="157B0AF1" w:rsidR="00885114" w:rsidRDefault="00885114" w:rsidP="003F69D6">
      <w:pPr>
        <w:pStyle w:val="Heading2"/>
      </w:pPr>
      <w:bookmarkStart w:id="7" w:name="_Toc456901523"/>
    </w:p>
    <w:p w14:paraId="067ED370" w14:textId="4F3F00B5" w:rsidR="0030173B" w:rsidRDefault="005E2C53">
      <w:pPr>
        <w:rPr>
          <w:rFonts w:ascii="Arial" w:hAnsi="Arial" w:cs="Arial"/>
        </w:rPr>
      </w:pPr>
      <w:r w:rsidRPr="00F30280">
        <w:rPr>
          <w:rFonts w:ascii="Arial" w:hAnsi="Arial" w:cs="Arial"/>
        </w:rPr>
        <w:t xml:space="preserve">In the same way that researchers have come to recognise the present diversity of religions in contemporary culture, it becomes crucial that outdated assumptions of what exactly defines religion be abandoned if basic human rights of freedom of belief and practise are to be protected. Religion can take many different forms in a world with diverse cultural influences, just like other social phenomena. The application of ideas taken from one particular tradition cannot define what exactly constitutes a religion. </w:t>
      </w:r>
      <w:r w:rsidRPr="00F30280">
        <w:rPr>
          <w:rFonts w:ascii="Arial" w:hAnsi="Arial" w:cs="Arial"/>
          <w:color w:val="333333"/>
          <w:shd w:val="clear" w:color="auto" w:fill="FFFFFF"/>
        </w:rPr>
        <w:t xml:space="preserve">Only a higher degree of abstraction, superordinate to each particular culture and each particular religion, can encompass within one framework of reference the range of diversity of actual religious movements. Just as the concrete phenomena of one particular religion cannot be allowed to dictate the necessary style of other faiths, so, too, the language employed needs, as far as is possible, to be uncontaminated by specific cultural connotations. </w:t>
      </w:r>
    </w:p>
    <w:p w14:paraId="557DBFA1" w14:textId="77777777" w:rsidR="0062708B" w:rsidRPr="0062708B" w:rsidRDefault="0062708B" w:rsidP="0062708B">
      <w:pPr>
        <w:spacing w:after="165" w:line="360" w:lineRule="auto"/>
        <w:rPr>
          <w:rFonts w:ascii="Arial" w:hAnsi="Arial" w:cs="Arial"/>
          <w:color w:val="1E1E1E"/>
          <w:shd w:val="clear" w:color="auto" w:fill="FFFFFF"/>
        </w:rPr>
      </w:pPr>
      <w:r w:rsidRPr="0062708B">
        <w:rPr>
          <w:rFonts w:ascii="Arial" w:hAnsi="Arial" w:cs="Arial"/>
          <w:color w:val="1E1E1E"/>
          <w:shd w:val="clear" w:color="auto" w:fill="FFFFFF"/>
        </w:rPr>
        <w:t>In a world that’s becoming increasingly global, it’s important for leaders to be able to communicate across cultural boundaries. It’s not enough to know languages – cultural knowledge is equally important. The concept of leadership isn’t the same in every culture, but it’s clear that the attitude of the leader is more important than formal structures, which can be very different.</w:t>
      </w:r>
    </w:p>
    <w:p w14:paraId="21FC5A91" w14:textId="77777777" w:rsidR="0062708B" w:rsidRDefault="0062708B">
      <w:pPr>
        <w:rPr>
          <w:rFonts w:ascii="Arial" w:hAnsi="Arial" w:cs="Arial"/>
        </w:rPr>
      </w:pPr>
    </w:p>
    <w:p w14:paraId="397427B3" w14:textId="77777777" w:rsidR="0062708B" w:rsidRDefault="0062708B">
      <w:pPr>
        <w:rPr>
          <w:rFonts w:ascii="Arial" w:hAnsi="Arial" w:cs="Arial"/>
        </w:rPr>
      </w:pPr>
    </w:p>
    <w:p w14:paraId="4FFB09E4" w14:textId="77777777" w:rsidR="0062708B" w:rsidRDefault="0062708B">
      <w:pPr>
        <w:rPr>
          <w:rFonts w:ascii="Arial" w:hAnsi="Arial" w:cs="Arial"/>
        </w:rPr>
      </w:pPr>
    </w:p>
    <w:p w14:paraId="50DC5C69" w14:textId="77777777" w:rsidR="0062708B" w:rsidRDefault="0062708B">
      <w:pPr>
        <w:rPr>
          <w:rFonts w:ascii="Arial" w:hAnsi="Arial" w:cs="Arial"/>
        </w:rPr>
      </w:pPr>
    </w:p>
    <w:p w14:paraId="0415ED0D" w14:textId="77777777" w:rsidR="0062708B" w:rsidRDefault="0062708B">
      <w:pPr>
        <w:rPr>
          <w:rFonts w:ascii="Arial" w:hAnsi="Arial" w:cs="Arial"/>
        </w:rPr>
      </w:pPr>
    </w:p>
    <w:p w14:paraId="5274ADA2" w14:textId="77777777" w:rsidR="0062708B" w:rsidRDefault="0062708B">
      <w:pPr>
        <w:rPr>
          <w:rFonts w:ascii="Arial" w:hAnsi="Arial" w:cs="Arial"/>
        </w:rPr>
      </w:pPr>
    </w:p>
    <w:p w14:paraId="6E7F4F8E" w14:textId="77777777" w:rsidR="0062708B" w:rsidRPr="00F30280" w:rsidRDefault="0062708B">
      <w:pPr>
        <w:rPr>
          <w:rFonts w:ascii="Arial" w:eastAsiaTheme="majorEastAsia" w:hAnsi="Arial" w:cs="Arial"/>
          <w:color w:val="2E74B5" w:themeColor="accent1" w:themeShade="BF"/>
        </w:rPr>
      </w:pP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8" w:name="_Toc511311659"/>
      <w:bookmarkEnd w:id="7"/>
      <w:r>
        <w:t>References</w:t>
      </w:r>
      <w:bookmarkEnd w:id="8"/>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9" w:name="_Toc511311660"/>
      <w:r w:rsidR="002049FE">
        <w:t>Appendix 1</w:t>
      </w:r>
      <w:bookmarkEnd w:id="9"/>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0" w:name="_Toc511311661"/>
      <w:r>
        <w:t>Appendix 2</w:t>
      </w:r>
      <w:bookmarkEnd w:id="10"/>
    </w:p>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132C2" w14:textId="77777777" w:rsidR="00480EAB" w:rsidRDefault="00480EAB" w:rsidP="00FC4890">
      <w:pPr>
        <w:spacing w:after="0" w:line="240" w:lineRule="auto"/>
      </w:pPr>
      <w:r>
        <w:separator/>
      </w:r>
    </w:p>
  </w:endnote>
  <w:endnote w:type="continuationSeparator" w:id="0">
    <w:p w14:paraId="5DB245FA" w14:textId="77777777" w:rsidR="00480EAB" w:rsidRDefault="00480EAB" w:rsidP="00FC4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ystem">
    <w:altName w:val="Calibri"/>
    <w:panose1 w:val="00000000000000000000"/>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3A828" w14:textId="77777777" w:rsidR="00480EAB" w:rsidRDefault="00480EAB" w:rsidP="00FC4890">
      <w:pPr>
        <w:spacing w:after="0" w:line="240" w:lineRule="auto"/>
      </w:pPr>
      <w:r>
        <w:separator/>
      </w:r>
    </w:p>
  </w:footnote>
  <w:footnote w:type="continuationSeparator" w:id="0">
    <w:p w14:paraId="5C9AB8FA" w14:textId="77777777" w:rsidR="00480EAB" w:rsidRDefault="00480EAB" w:rsidP="00FC4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36FF5"/>
    <w:multiLevelType w:val="multilevel"/>
    <w:tmpl w:val="8E943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1650021"/>
    <w:multiLevelType w:val="multilevel"/>
    <w:tmpl w:val="52085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D44DB7"/>
    <w:multiLevelType w:val="multilevel"/>
    <w:tmpl w:val="5F2C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AE270E"/>
    <w:multiLevelType w:val="multilevel"/>
    <w:tmpl w:val="00B43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737ABA"/>
    <w:multiLevelType w:val="multilevel"/>
    <w:tmpl w:val="ED22F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7F21CA0"/>
    <w:multiLevelType w:val="multilevel"/>
    <w:tmpl w:val="BB005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065A0F"/>
    <w:multiLevelType w:val="multilevel"/>
    <w:tmpl w:val="63A89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21229C"/>
    <w:multiLevelType w:val="multilevel"/>
    <w:tmpl w:val="C47A2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82DE7"/>
    <w:multiLevelType w:val="multilevel"/>
    <w:tmpl w:val="417E1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B926436"/>
    <w:multiLevelType w:val="multilevel"/>
    <w:tmpl w:val="6C0C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92E0463"/>
    <w:multiLevelType w:val="multilevel"/>
    <w:tmpl w:val="DBBEB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5E006D68"/>
    <w:multiLevelType w:val="multilevel"/>
    <w:tmpl w:val="FA682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0B837E7"/>
    <w:multiLevelType w:val="multilevel"/>
    <w:tmpl w:val="C8F4D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5BF6146"/>
    <w:multiLevelType w:val="multilevel"/>
    <w:tmpl w:val="FE1AC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CE06C5B"/>
    <w:multiLevelType w:val="multilevel"/>
    <w:tmpl w:val="46884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66558160">
    <w:abstractNumId w:val="11"/>
  </w:num>
  <w:num w:numId="2" w16cid:durableId="1773281221">
    <w:abstractNumId w:val="22"/>
  </w:num>
  <w:num w:numId="3" w16cid:durableId="836572614">
    <w:abstractNumId w:val="6"/>
  </w:num>
  <w:num w:numId="4" w16cid:durableId="370496956">
    <w:abstractNumId w:val="17"/>
  </w:num>
  <w:num w:numId="5" w16cid:durableId="54085458">
    <w:abstractNumId w:val="2"/>
  </w:num>
  <w:num w:numId="6" w16cid:durableId="1246377180">
    <w:abstractNumId w:val="9"/>
  </w:num>
  <w:num w:numId="7" w16cid:durableId="1683586862">
    <w:abstractNumId w:val="1"/>
  </w:num>
  <w:num w:numId="8" w16cid:durableId="979310674">
    <w:abstractNumId w:val="25"/>
  </w:num>
  <w:num w:numId="9" w16cid:durableId="922956914">
    <w:abstractNumId w:val="15"/>
  </w:num>
  <w:num w:numId="10" w16cid:durableId="1931815784">
    <w:abstractNumId w:val="23"/>
  </w:num>
  <w:num w:numId="11" w16cid:durableId="388114251">
    <w:abstractNumId w:val="19"/>
  </w:num>
  <w:num w:numId="12" w16cid:durableId="51586258">
    <w:abstractNumId w:val="4"/>
  </w:num>
  <w:num w:numId="13" w16cid:durableId="548998834">
    <w:abstractNumId w:val="3"/>
  </w:num>
  <w:num w:numId="14" w16cid:durableId="1249342733">
    <w:abstractNumId w:val="21"/>
  </w:num>
  <w:num w:numId="15" w16cid:durableId="2006473601">
    <w:abstractNumId w:val="8"/>
  </w:num>
  <w:num w:numId="16" w16cid:durableId="1623807726">
    <w:abstractNumId w:val="13"/>
  </w:num>
  <w:num w:numId="17" w16cid:durableId="2095664297">
    <w:abstractNumId w:val="10"/>
  </w:num>
  <w:num w:numId="18" w16cid:durableId="1326476262">
    <w:abstractNumId w:val="5"/>
  </w:num>
  <w:num w:numId="19" w16cid:durableId="850802962">
    <w:abstractNumId w:val="26"/>
  </w:num>
  <w:num w:numId="20" w16cid:durableId="1403092742">
    <w:abstractNumId w:val="7"/>
  </w:num>
  <w:num w:numId="21" w16cid:durableId="1314795391">
    <w:abstractNumId w:val="12"/>
  </w:num>
  <w:num w:numId="22" w16cid:durableId="161818843">
    <w:abstractNumId w:val="14"/>
  </w:num>
  <w:num w:numId="23" w16cid:durableId="706763389">
    <w:abstractNumId w:val="18"/>
  </w:num>
  <w:num w:numId="24" w16cid:durableId="35469259">
    <w:abstractNumId w:val="24"/>
  </w:num>
  <w:num w:numId="25" w16cid:durableId="1141115696">
    <w:abstractNumId w:val="20"/>
  </w:num>
  <w:num w:numId="26" w16cid:durableId="37552633">
    <w:abstractNumId w:val="0"/>
  </w:num>
  <w:num w:numId="27" w16cid:durableId="21359088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16992"/>
    <w:rsid w:val="000178FF"/>
    <w:rsid w:val="00045C47"/>
    <w:rsid w:val="000578CE"/>
    <w:rsid w:val="0006008A"/>
    <w:rsid w:val="000A61C9"/>
    <w:rsid w:val="000C1C0A"/>
    <w:rsid w:val="000C5E1B"/>
    <w:rsid w:val="000D2086"/>
    <w:rsid w:val="00110502"/>
    <w:rsid w:val="001130F2"/>
    <w:rsid w:val="0015027C"/>
    <w:rsid w:val="00171357"/>
    <w:rsid w:val="001828EE"/>
    <w:rsid w:val="001836B1"/>
    <w:rsid w:val="001C63BA"/>
    <w:rsid w:val="001F5437"/>
    <w:rsid w:val="002049FE"/>
    <w:rsid w:val="0021380A"/>
    <w:rsid w:val="00252E68"/>
    <w:rsid w:val="00255FC4"/>
    <w:rsid w:val="00276A31"/>
    <w:rsid w:val="00284720"/>
    <w:rsid w:val="00285D09"/>
    <w:rsid w:val="0029465D"/>
    <w:rsid w:val="00296FAF"/>
    <w:rsid w:val="002C4CAC"/>
    <w:rsid w:val="0030173B"/>
    <w:rsid w:val="0030202B"/>
    <w:rsid w:val="00322C2E"/>
    <w:rsid w:val="00331B7F"/>
    <w:rsid w:val="003860FB"/>
    <w:rsid w:val="00391011"/>
    <w:rsid w:val="003B602D"/>
    <w:rsid w:val="003C3B33"/>
    <w:rsid w:val="003C4A80"/>
    <w:rsid w:val="003D2158"/>
    <w:rsid w:val="003D34E8"/>
    <w:rsid w:val="003F64EA"/>
    <w:rsid w:val="003F69D6"/>
    <w:rsid w:val="0046229B"/>
    <w:rsid w:val="00480EAB"/>
    <w:rsid w:val="00481CB5"/>
    <w:rsid w:val="004F03CD"/>
    <w:rsid w:val="0051013F"/>
    <w:rsid w:val="00513050"/>
    <w:rsid w:val="005225BF"/>
    <w:rsid w:val="00556364"/>
    <w:rsid w:val="00586056"/>
    <w:rsid w:val="0059562E"/>
    <w:rsid w:val="005D5E30"/>
    <w:rsid w:val="005E2C53"/>
    <w:rsid w:val="0062657F"/>
    <w:rsid w:val="0062708B"/>
    <w:rsid w:val="00634AE8"/>
    <w:rsid w:val="0066734B"/>
    <w:rsid w:val="00670D2E"/>
    <w:rsid w:val="00671CBC"/>
    <w:rsid w:val="006B2157"/>
    <w:rsid w:val="006C661A"/>
    <w:rsid w:val="006E6FE8"/>
    <w:rsid w:val="00715A8B"/>
    <w:rsid w:val="0075131B"/>
    <w:rsid w:val="007A0F0B"/>
    <w:rsid w:val="007A7DB8"/>
    <w:rsid w:val="007E734B"/>
    <w:rsid w:val="007F6D91"/>
    <w:rsid w:val="008138EC"/>
    <w:rsid w:val="00826C27"/>
    <w:rsid w:val="008346D5"/>
    <w:rsid w:val="00885114"/>
    <w:rsid w:val="008A1155"/>
    <w:rsid w:val="008B498D"/>
    <w:rsid w:val="008C2930"/>
    <w:rsid w:val="008E29F3"/>
    <w:rsid w:val="008F2B5B"/>
    <w:rsid w:val="008F51C2"/>
    <w:rsid w:val="009556EE"/>
    <w:rsid w:val="00964538"/>
    <w:rsid w:val="009833F8"/>
    <w:rsid w:val="009D0524"/>
    <w:rsid w:val="00A3471E"/>
    <w:rsid w:val="00A4397C"/>
    <w:rsid w:val="00A43CC0"/>
    <w:rsid w:val="00A45277"/>
    <w:rsid w:val="00A51F56"/>
    <w:rsid w:val="00A8648A"/>
    <w:rsid w:val="00A90A1F"/>
    <w:rsid w:val="00A91384"/>
    <w:rsid w:val="00A930CB"/>
    <w:rsid w:val="00A976D8"/>
    <w:rsid w:val="00AB2338"/>
    <w:rsid w:val="00AB4149"/>
    <w:rsid w:val="00AE79EE"/>
    <w:rsid w:val="00B02818"/>
    <w:rsid w:val="00B05FCD"/>
    <w:rsid w:val="00B2180A"/>
    <w:rsid w:val="00B220CB"/>
    <w:rsid w:val="00B26C7E"/>
    <w:rsid w:val="00B6475F"/>
    <w:rsid w:val="00B82943"/>
    <w:rsid w:val="00BB07BE"/>
    <w:rsid w:val="00BD3AA5"/>
    <w:rsid w:val="00BF2C08"/>
    <w:rsid w:val="00C53B1A"/>
    <w:rsid w:val="00C74EB7"/>
    <w:rsid w:val="00C80AF8"/>
    <w:rsid w:val="00C86F07"/>
    <w:rsid w:val="00C911B1"/>
    <w:rsid w:val="00CC6920"/>
    <w:rsid w:val="00CF644C"/>
    <w:rsid w:val="00D01FF9"/>
    <w:rsid w:val="00D15FF5"/>
    <w:rsid w:val="00D2291D"/>
    <w:rsid w:val="00D450BB"/>
    <w:rsid w:val="00D60FD8"/>
    <w:rsid w:val="00D62B28"/>
    <w:rsid w:val="00D67E1F"/>
    <w:rsid w:val="00DA3853"/>
    <w:rsid w:val="00DD3304"/>
    <w:rsid w:val="00DF21D0"/>
    <w:rsid w:val="00E24560"/>
    <w:rsid w:val="00E642D3"/>
    <w:rsid w:val="00E750E6"/>
    <w:rsid w:val="00E8115C"/>
    <w:rsid w:val="00E82EAC"/>
    <w:rsid w:val="00E9394F"/>
    <w:rsid w:val="00EB1FDF"/>
    <w:rsid w:val="00EC64A7"/>
    <w:rsid w:val="00EC674C"/>
    <w:rsid w:val="00EF3ED4"/>
    <w:rsid w:val="00F03F8F"/>
    <w:rsid w:val="00F30280"/>
    <w:rsid w:val="00F334D8"/>
    <w:rsid w:val="00F53EF8"/>
    <w:rsid w:val="00F75D71"/>
    <w:rsid w:val="00F91F18"/>
    <w:rsid w:val="00FA3DD1"/>
    <w:rsid w:val="00FA3F78"/>
    <w:rsid w:val="00FB42C7"/>
    <w:rsid w:val="00FC4890"/>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semiHidden/>
    <w:unhideWhenUsed/>
    <w:rsid w:val="00D60F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60FD8"/>
    <w:rPr>
      <w:i/>
      <w:iCs/>
    </w:rPr>
  </w:style>
  <w:style w:type="character" w:styleId="Strong">
    <w:name w:val="Strong"/>
    <w:basedOn w:val="DefaultParagraphFont"/>
    <w:uiPriority w:val="22"/>
    <w:qFormat/>
    <w:rsid w:val="00E8115C"/>
    <w:rPr>
      <w:b/>
      <w:bCs/>
    </w:rPr>
  </w:style>
  <w:style w:type="paragraph" w:styleId="Footer">
    <w:name w:val="footer"/>
    <w:basedOn w:val="Normal"/>
    <w:link w:val="FooterChar"/>
    <w:uiPriority w:val="99"/>
    <w:unhideWhenUsed/>
    <w:rsid w:val="00FC48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8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9119748">
      <w:bodyDiv w:val="1"/>
      <w:marLeft w:val="0"/>
      <w:marRight w:val="0"/>
      <w:marTop w:val="0"/>
      <w:marBottom w:val="0"/>
      <w:divBdr>
        <w:top w:val="none" w:sz="0" w:space="0" w:color="auto"/>
        <w:left w:val="none" w:sz="0" w:space="0" w:color="auto"/>
        <w:bottom w:val="none" w:sz="0" w:space="0" w:color="auto"/>
        <w:right w:val="none" w:sz="0" w:space="0" w:color="auto"/>
      </w:divBdr>
    </w:div>
    <w:div w:id="456217654">
      <w:bodyDiv w:val="1"/>
      <w:marLeft w:val="0"/>
      <w:marRight w:val="0"/>
      <w:marTop w:val="0"/>
      <w:marBottom w:val="0"/>
      <w:divBdr>
        <w:top w:val="none" w:sz="0" w:space="0" w:color="auto"/>
        <w:left w:val="none" w:sz="0" w:space="0" w:color="auto"/>
        <w:bottom w:val="none" w:sz="0" w:space="0" w:color="auto"/>
        <w:right w:val="none" w:sz="0" w:space="0" w:color="auto"/>
      </w:divBdr>
    </w:div>
    <w:div w:id="511377810">
      <w:bodyDiv w:val="1"/>
      <w:marLeft w:val="0"/>
      <w:marRight w:val="0"/>
      <w:marTop w:val="0"/>
      <w:marBottom w:val="0"/>
      <w:divBdr>
        <w:top w:val="none" w:sz="0" w:space="0" w:color="auto"/>
        <w:left w:val="none" w:sz="0" w:space="0" w:color="auto"/>
        <w:bottom w:val="none" w:sz="0" w:space="0" w:color="auto"/>
        <w:right w:val="none" w:sz="0" w:space="0" w:color="auto"/>
      </w:divBdr>
    </w:div>
    <w:div w:id="698505357">
      <w:bodyDiv w:val="1"/>
      <w:marLeft w:val="0"/>
      <w:marRight w:val="0"/>
      <w:marTop w:val="0"/>
      <w:marBottom w:val="0"/>
      <w:divBdr>
        <w:top w:val="none" w:sz="0" w:space="0" w:color="auto"/>
        <w:left w:val="none" w:sz="0" w:space="0" w:color="auto"/>
        <w:bottom w:val="none" w:sz="0" w:space="0" w:color="auto"/>
        <w:right w:val="none" w:sz="0" w:space="0" w:color="auto"/>
      </w:divBdr>
    </w:div>
    <w:div w:id="943466065">
      <w:bodyDiv w:val="1"/>
      <w:marLeft w:val="0"/>
      <w:marRight w:val="0"/>
      <w:marTop w:val="0"/>
      <w:marBottom w:val="0"/>
      <w:divBdr>
        <w:top w:val="none" w:sz="0" w:space="0" w:color="auto"/>
        <w:left w:val="none" w:sz="0" w:space="0" w:color="auto"/>
        <w:bottom w:val="none" w:sz="0" w:space="0" w:color="auto"/>
        <w:right w:val="none" w:sz="0" w:space="0" w:color="auto"/>
      </w:divBdr>
    </w:div>
    <w:div w:id="969549733">
      <w:bodyDiv w:val="1"/>
      <w:marLeft w:val="0"/>
      <w:marRight w:val="0"/>
      <w:marTop w:val="0"/>
      <w:marBottom w:val="0"/>
      <w:divBdr>
        <w:top w:val="none" w:sz="0" w:space="0" w:color="auto"/>
        <w:left w:val="none" w:sz="0" w:space="0" w:color="auto"/>
        <w:bottom w:val="none" w:sz="0" w:space="0" w:color="auto"/>
        <w:right w:val="none" w:sz="0" w:space="0" w:color="auto"/>
      </w:divBdr>
    </w:div>
    <w:div w:id="1049888079">
      <w:bodyDiv w:val="1"/>
      <w:marLeft w:val="0"/>
      <w:marRight w:val="0"/>
      <w:marTop w:val="0"/>
      <w:marBottom w:val="0"/>
      <w:divBdr>
        <w:top w:val="none" w:sz="0" w:space="0" w:color="auto"/>
        <w:left w:val="none" w:sz="0" w:space="0" w:color="auto"/>
        <w:bottom w:val="none" w:sz="0" w:space="0" w:color="auto"/>
        <w:right w:val="none" w:sz="0" w:space="0" w:color="auto"/>
      </w:divBdr>
    </w:div>
    <w:div w:id="1090005268">
      <w:bodyDiv w:val="1"/>
      <w:marLeft w:val="0"/>
      <w:marRight w:val="0"/>
      <w:marTop w:val="0"/>
      <w:marBottom w:val="0"/>
      <w:divBdr>
        <w:top w:val="none" w:sz="0" w:space="0" w:color="auto"/>
        <w:left w:val="none" w:sz="0" w:space="0" w:color="auto"/>
        <w:bottom w:val="none" w:sz="0" w:space="0" w:color="auto"/>
        <w:right w:val="none" w:sz="0" w:space="0" w:color="auto"/>
      </w:divBdr>
    </w:div>
    <w:div w:id="1169564277">
      <w:bodyDiv w:val="1"/>
      <w:marLeft w:val="0"/>
      <w:marRight w:val="0"/>
      <w:marTop w:val="0"/>
      <w:marBottom w:val="0"/>
      <w:divBdr>
        <w:top w:val="none" w:sz="0" w:space="0" w:color="auto"/>
        <w:left w:val="none" w:sz="0" w:space="0" w:color="auto"/>
        <w:bottom w:val="none" w:sz="0" w:space="0" w:color="auto"/>
        <w:right w:val="none" w:sz="0" w:space="0" w:color="auto"/>
      </w:divBdr>
    </w:div>
    <w:div w:id="1327705577">
      <w:bodyDiv w:val="1"/>
      <w:marLeft w:val="0"/>
      <w:marRight w:val="0"/>
      <w:marTop w:val="0"/>
      <w:marBottom w:val="0"/>
      <w:divBdr>
        <w:top w:val="none" w:sz="0" w:space="0" w:color="auto"/>
        <w:left w:val="none" w:sz="0" w:space="0" w:color="auto"/>
        <w:bottom w:val="none" w:sz="0" w:space="0" w:color="auto"/>
        <w:right w:val="none" w:sz="0" w:space="0" w:color="auto"/>
      </w:divBdr>
    </w:div>
    <w:div w:id="1363750080">
      <w:bodyDiv w:val="1"/>
      <w:marLeft w:val="0"/>
      <w:marRight w:val="0"/>
      <w:marTop w:val="0"/>
      <w:marBottom w:val="0"/>
      <w:divBdr>
        <w:top w:val="none" w:sz="0" w:space="0" w:color="auto"/>
        <w:left w:val="none" w:sz="0" w:space="0" w:color="auto"/>
        <w:bottom w:val="none" w:sz="0" w:space="0" w:color="auto"/>
        <w:right w:val="none" w:sz="0" w:space="0" w:color="auto"/>
      </w:divBdr>
    </w:div>
    <w:div w:id="1557620095">
      <w:bodyDiv w:val="1"/>
      <w:marLeft w:val="0"/>
      <w:marRight w:val="0"/>
      <w:marTop w:val="0"/>
      <w:marBottom w:val="0"/>
      <w:divBdr>
        <w:top w:val="none" w:sz="0" w:space="0" w:color="auto"/>
        <w:left w:val="none" w:sz="0" w:space="0" w:color="auto"/>
        <w:bottom w:val="none" w:sz="0" w:space="0" w:color="auto"/>
        <w:right w:val="none" w:sz="0" w:space="0" w:color="auto"/>
      </w:divBdr>
    </w:div>
    <w:div w:id="158344791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712468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0684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ckinsey.com/about-us/social-responsibility/the-economic-impact-of-ageis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ckinsey.com/featured-insights/diversity-and-inclusion/women-in-the-workplac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ckinsey.com/capabilities/people-and-organizational-performance/our-insights/why-diversity-matt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mckinsey.com/~/media/mckinsey/email/intersection/2021/10/06/2021-10-06d.html"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ckinsey.com/capabilities/people-and-organizational-performance/our-insights/why-diversity-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A7ECBFF-9EB6-40D5-B941-DC4823D5B4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10</Pages>
  <Words>1618</Words>
  <Characters>9223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10820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Rhiannon</cp:lastModifiedBy>
  <cp:revision>6</cp:revision>
  <dcterms:created xsi:type="dcterms:W3CDTF">2023-05-28T18:14:00Z</dcterms:created>
  <dcterms:modified xsi:type="dcterms:W3CDTF">2023-05-28T18:28:00Z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