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2520C" w14:textId="77777777" w:rsidR="009773C8" w:rsidRDefault="009773C8" w:rsidP="00086C29">
      <w:pPr>
        <w:spacing w:after="120" w:line="480" w:lineRule="auto"/>
      </w:pPr>
    </w:p>
    <w:p w14:paraId="4722520D" w14:textId="31D178C7" w:rsidR="009773C8" w:rsidRDefault="00301790" w:rsidP="00086C29">
      <w:pPr>
        <w:spacing w:after="120" w:line="480" w:lineRule="auto"/>
        <w:jc w:val="center"/>
      </w:pPr>
      <w:bookmarkStart w:id="0" w:name="_Toc343429583"/>
      <w:r>
        <w:rPr>
          <w:b/>
          <w:bCs/>
          <w:noProof/>
          <w:lang w:eastAsia="zh-CN"/>
        </w:rPr>
        <w:drawing>
          <wp:inline distT="0" distB="0" distL="0" distR="0" wp14:anchorId="4C13373E" wp14:editId="183B3445">
            <wp:extent cx="2924175" cy="1171575"/>
            <wp:effectExtent l="0" t="0" r="9525" b="9525"/>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4722520E" w14:textId="77777777" w:rsidR="009773C8" w:rsidRDefault="009773C8" w:rsidP="00086C29">
      <w:pPr>
        <w:spacing w:after="120" w:line="480" w:lineRule="auto"/>
      </w:pPr>
    </w:p>
    <w:p w14:paraId="4722520F" w14:textId="5ED278C9" w:rsidR="009773C8" w:rsidRDefault="00C64280" w:rsidP="00086C29">
      <w:pPr>
        <w:spacing w:after="120" w:line="480" w:lineRule="auto"/>
        <w:jc w:val="center"/>
      </w:pPr>
      <w:r>
        <w:rPr>
          <w:color w:val="595959"/>
          <w:sz w:val="20"/>
          <w:szCs w:val="20"/>
        </w:rPr>
        <w:t>Research Methods in Business and Management</w:t>
      </w:r>
    </w:p>
    <w:p w14:paraId="0C75C0BD" w14:textId="77777777" w:rsidR="00FB0B39" w:rsidRDefault="00C64280" w:rsidP="00086C29">
      <w:pPr>
        <w:spacing w:after="120" w:line="480" w:lineRule="auto"/>
        <w:jc w:val="center"/>
      </w:pPr>
      <w:r w:rsidRPr="00FB0B39">
        <w:rPr>
          <w:sz w:val="32"/>
          <w:szCs w:val="32"/>
        </w:rPr>
        <w:t xml:space="preserve"> </w:t>
      </w:r>
      <w:r w:rsidR="00FB0B39">
        <w:rPr>
          <w:color w:val="595959"/>
        </w:rPr>
        <w:t>Module: BMMB7028</w:t>
      </w:r>
    </w:p>
    <w:p w14:paraId="1C6FD859" w14:textId="77777777" w:rsidR="00FB0B39" w:rsidRDefault="00FB0B39" w:rsidP="00086C29">
      <w:pPr>
        <w:spacing w:after="120" w:line="480" w:lineRule="auto"/>
        <w:jc w:val="center"/>
      </w:pPr>
      <w:r>
        <w:rPr>
          <w:color w:val="595959"/>
        </w:rPr>
        <w:t>Assessment: Research Proposal Report</w:t>
      </w:r>
    </w:p>
    <w:p w14:paraId="47225212" w14:textId="09CB7EF7" w:rsidR="009773C8" w:rsidRPr="00FB0B39" w:rsidRDefault="009773C8" w:rsidP="00086C29">
      <w:pPr>
        <w:pBdr>
          <w:bottom w:val="single" w:sz="8" w:space="0" w:color="2E75B6"/>
        </w:pBdr>
        <w:spacing w:after="120" w:line="480" w:lineRule="auto"/>
        <w:jc w:val="center"/>
        <w:rPr>
          <w:sz w:val="32"/>
          <w:szCs w:val="32"/>
        </w:rPr>
      </w:pPr>
    </w:p>
    <w:p w14:paraId="47225213" w14:textId="77777777" w:rsidR="009773C8" w:rsidRPr="00FB0B39" w:rsidRDefault="00C64280" w:rsidP="00086C29">
      <w:pPr>
        <w:spacing w:after="120" w:line="480" w:lineRule="auto"/>
        <w:jc w:val="center"/>
        <w:rPr>
          <w:color w:val="000000" w:themeColor="text1"/>
          <w:sz w:val="32"/>
          <w:szCs w:val="32"/>
        </w:rPr>
      </w:pPr>
      <w:r w:rsidRPr="00FB0B39">
        <w:rPr>
          <w:b/>
          <w:bCs/>
          <w:color w:val="000000" w:themeColor="text1"/>
          <w:sz w:val="32"/>
          <w:szCs w:val="32"/>
        </w:rPr>
        <w:t>Between Policy and Practice:</w:t>
      </w:r>
    </w:p>
    <w:p w14:paraId="47225214" w14:textId="77777777" w:rsidR="009773C8" w:rsidRPr="00FB0B39" w:rsidRDefault="00C64280" w:rsidP="00086C29">
      <w:pPr>
        <w:spacing w:after="120" w:line="480" w:lineRule="auto"/>
        <w:jc w:val="center"/>
        <w:rPr>
          <w:color w:val="000000" w:themeColor="text1"/>
          <w:sz w:val="32"/>
          <w:szCs w:val="32"/>
        </w:rPr>
      </w:pPr>
      <w:r w:rsidRPr="00FB0B39">
        <w:rPr>
          <w:b/>
          <w:bCs/>
          <w:color w:val="000000" w:themeColor="text1"/>
          <w:sz w:val="32"/>
          <w:szCs w:val="32"/>
        </w:rPr>
        <w:t>Employee Lived Experiences of Work-Life Balance Policies</w:t>
      </w:r>
    </w:p>
    <w:p w14:paraId="47225215" w14:textId="77777777" w:rsidR="009773C8" w:rsidRPr="00FB0B39" w:rsidRDefault="00C64280" w:rsidP="00086C29">
      <w:pPr>
        <w:spacing w:after="120" w:line="480" w:lineRule="auto"/>
        <w:jc w:val="center"/>
        <w:rPr>
          <w:color w:val="000000" w:themeColor="text1"/>
          <w:sz w:val="32"/>
          <w:szCs w:val="32"/>
        </w:rPr>
      </w:pPr>
      <w:r w:rsidRPr="00FB0B39">
        <w:rPr>
          <w:b/>
          <w:bCs/>
          <w:color w:val="000000" w:themeColor="text1"/>
          <w:sz w:val="32"/>
          <w:szCs w:val="32"/>
        </w:rPr>
        <w:t>and Their Influence on Organisational Commitment</w:t>
      </w:r>
    </w:p>
    <w:p w14:paraId="47225216" w14:textId="77777777" w:rsidR="009773C8" w:rsidRPr="00FB0B39" w:rsidRDefault="00C64280" w:rsidP="00086C29">
      <w:pPr>
        <w:spacing w:after="120" w:line="480" w:lineRule="auto"/>
        <w:jc w:val="center"/>
        <w:rPr>
          <w:color w:val="000000" w:themeColor="text1"/>
          <w:sz w:val="32"/>
          <w:szCs w:val="32"/>
        </w:rPr>
      </w:pPr>
      <w:r w:rsidRPr="00FB0B39">
        <w:rPr>
          <w:b/>
          <w:bCs/>
          <w:color w:val="000000" w:themeColor="text1"/>
          <w:sz w:val="32"/>
          <w:szCs w:val="32"/>
        </w:rPr>
        <w:t>in the UK National Health Service</w:t>
      </w:r>
    </w:p>
    <w:p w14:paraId="47225217" w14:textId="77777777" w:rsidR="009773C8" w:rsidRPr="00FB0B39" w:rsidRDefault="009773C8" w:rsidP="00086C29">
      <w:pPr>
        <w:spacing w:after="120" w:line="480" w:lineRule="auto"/>
        <w:rPr>
          <w:sz w:val="32"/>
          <w:szCs w:val="32"/>
        </w:rPr>
      </w:pPr>
    </w:p>
    <w:p w14:paraId="47225218" w14:textId="77777777" w:rsidR="009773C8" w:rsidRPr="00FB0B39" w:rsidRDefault="00C64280" w:rsidP="00086C29">
      <w:pPr>
        <w:pBdr>
          <w:top w:val="single" w:sz="4" w:space="0" w:color="BDD7EE"/>
        </w:pBdr>
        <w:spacing w:after="120" w:line="480" w:lineRule="auto"/>
        <w:jc w:val="center"/>
        <w:rPr>
          <w:sz w:val="32"/>
          <w:szCs w:val="32"/>
        </w:rPr>
      </w:pPr>
      <w:r w:rsidRPr="00FB0B39">
        <w:rPr>
          <w:sz w:val="32"/>
          <w:szCs w:val="32"/>
        </w:rPr>
        <w:t xml:space="preserve"> </w:t>
      </w:r>
    </w:p>
    <w:p w14:paraId="21749B62" w14:textId="663FD848" w:rsidR="00FB0B39" w:rsidRDefault="00FB0B39" w:rsidP="00086C29">
      <w:pPr>
        <w:spacing w:after="120" w:line="480" w:lineRule="auto"/>
        <w:jc w:val="center"/>
        <w:rPr>
          <w:color w:val="595959"/>
        </w:rPr>
      </w:pPr>
      <w:r>
        <w:rPr>
          <w:color w:val="595959"/>
        </w:rPr>
        <w:t xml:space="preserve"> Student Name: </w:t>
      </w:r>
      <w:r w:rsidRPr="00FB0B39">
        <w:rPr>
          <w:color w:val="595959"/>
        </w:rPr>
        <w:t xml:space="preserve">Foyez Ahmed </w:t>
      </w:r>
    </w:p>
    <w:p w14:paraId="3347506D" w14:textId="09B7B3E5" w:rsidR="00F857F1" w:rsidRDefault="00FB0B39" w:rsidP="00086C29">
      <w:pPr>
        <w:spacing w:after="120" w:line="480" w:lineRule="auto"/>
        <w:jc w:val="center"/>
        <w:rPr>
          <w:color w:val="595959"/>
        </w:rPr>
      </w:pPr>
      <w:r w:rsidRPr="00FB0B39">
        <w:rPr>
          <w:color w:val="595959"/>
        </w:rPr>
        <w:t xml:space="preserve">Student </w:t>
      </w:r>
      <w:r>
        <w:rPr>
          <w:color w:val="595959"/>
        </w:rPr>
        <w:t>ID</w:t>
      </w:r>
      <w:r w:rsidRPr="00FB0B39">
        <w:rPr>
          <w:color w:val="595959"/>
        </w:rPr>
        <w:t>: 2439525</w:t>
      </w:r>
    </w:p>
    <w:p w14:paraId="4722521E" w14:textId="77777777" w:rsidR="009773C8" w:rsidRDefault="009773C8" w:rsidP="00086C29">
      <w:pPr>
        <w:spacing w:after="120" w:line="480" w:lineRule="auto"/>
      </w:pPr>
    </w:p>
    <w:p w14:paraId="4722521F" w14:textId="77777777" w:rsidR="009773C8" w:rsidRDefault="00C64280" w:rsidP="00086C29">
      <w:pPr>
        <w:spacing w:after="120" w:line="480" w:lineRule="auto"/>
      </w:pPr>
      <w:r>
        <w:br w:type="page"/>
      </w:r>
    </w:p>
    <w:p w14:paraId="47225220" w14:textId="77777777" w:rsidR="009773C8" w:rsidRDefault="00C64280" w:rsidP="00086C29">
      <w:pPr>
        <w:pStyle w:val="Heading1"/>
        <w:spacing w:before="0" w:after="120" w:line="480" w:lineRule="auto"/>
      </w:pPr>
      <w:bookmarkStart w:id="1" w:name="_Toc225816388"/>
      <w:r>
        <w:lastRenderedPageBreak/>
        <w:t>Abstract</w:t>
      </w:r>
      <w:bookmarkEnd w:id="1"/>
    </w:p>
    <w:p w14:paraId="47225221" w14:textId="3C060C95" w:rsidR="009773C8" w:rsidRDefault="00711FE3" w:rsidP="00086C29">
      <w:pPr>
        <w:spacing w:after="120" w:line="480" w:lineRule="auto"/>
        <w:jc w:val="both"/>
      </w:pPr>
      <w:r w:rsidRPr="00711FE3">
        <w:t xml:space="preserve">The research proposal </w:t>
      </w:r>
      <w:r w:rsidR="00FB0B39">
        <w:t xml:space="preserve">examines employees' experiences with work-life balance (WLB) policies in the National Health Service (NHS) and </w:t>
      </w:r>
      <w:r w:rsidRPr="00711FE3">
        <w:t xml:space="preserve">how these experiences influence organisational commitment. Relying on the three-component model of organisational commitment by Meyer and Allen (1991), Clark (2000) Work-Life Border Theory, as well as Social Exchange Theory (Chiniara and Bentein, 2018), the research questions the perceived meaningfulness and tokenism of the WLB provisions such as flexible working, shifts schedule, and leave entitlement among NHS nursing staff and employees in A qualitative design based on interpretivism is embraced whereby eight purposely chosen semi-structured interviews in NHS England and NHS Foundation Trusts are used. </w:t>
      </w:r>
      <w:r w:rsidR="00FB0B39">
        <w:t xml:space="preserve">Data analysis </w:t>
      </w:r>
      <w:r w:rsidRPr="00711FE3">
        <w:t xml:space="preserve">will be conducted </w:t>
      </w:r>
      <w:r w:rsidR="00FB0B39">
        <w:t>using reflexive thematic analysis (Braun and Clarke, 2006,</w:t>
      </w:r>
      <w:r w:rsidRPr="00711FE3">
        <w:t xml:space="preserve"> 2021). The proposed study fills an important gap in the current body of </w:t>
      </w:r>
      <w:r w:rsidR="00FB0B39">
        <w:t>research by prioritising employee subjectivity and sensual sense-making in the relationship between WLB policy and affective, continuance, and normative commitment, and by offering direct consequences of these findings for</w:t>
      </w:r>
      <w:r w:rsidRPr="00711FE3">
        <w:t xml:space="preserve"> the NHS workforce retention strategy.</w:t>
      </w:r>
    </w:p>
    <w:p w14:paraId="47225222" w14:textId="77777777" w:rsidR="009773C8" w:rsidRDefault="00C64280" w:rsidP="00086C29">
      <w:pPr>
        <w:spacing w:after="120" w:line="480" w:lineRule="auto"/>
      </w:pPr>
      <w:r>
        <w:br w:type="page"/>
      </w:r>
    </w:p>
    <w:sdt>
      <w:sdtPr>
        <w:rPr>
          <w:rFonts w:ascii="Arial" w:eastAsia="Arial" w:hAnsi="Arial" w:cs="Arial"/>
          <w:color w:val="262626"/>
          <w:sz w:val="22"/>
          <w:szCs w:val="22"/>
        </w:rPr>
        <w:id w:val="-1760209790"/>
        <w:docPartObj>
          <w:docPartGallery w:val="Table of Contents"/>
          <w:docPartUnique/>
        </w:docPartObj>
      </w:sdtPr>
      <w:sdtEndPr>
        <w:rPr>
          <w:b/>
          <w:bCs/>
          <w:noProof/>
        </w:rPr>
      </w:sdtEndPr>
      <w:sdtContent>
        <w:p w14:paraId="79C7937A" w14:textId="5558D25B" w:rsidR="002543CA" w:rsidRDefault="002543CA" w:rsidP="00086C29">
          <w:pPr>
            <w:pStyle w:val="TOCHeading"/>
            <w:spacing w:before="0" w:after="120" w:line="480" w:lineRule="auto"/>
          </w:pPr>
          <w:r>
            <w:t>Table of Contents</w:t>
          </w:r>
        </w:p>
        <w:p w14:paraId="1F00F937" w14:textId="5B4F1527" w:rsidR="009F3607" w:rsidRDefault="002543CA"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r>
            <w:fldChar w:fldCharType="begin"/>
          </w:r>
          <w:r>
            <w:instrText xml:space="preserve"> TOC \o "1-3" \h \z \u </w:instrText>
          </w:r>
          <w:r>
            <w:fldChar w:fldCharType="separate"/>
          </w:r>
          <w:hyperlink w:anchor="_Toc225816388" w:history="1">
            <w:r w:rsidR="009F3607" w:rsidRPr="009F6839">
              <w:rPr>
                <w:rStyle w:val="Hyperlink"/>
                <w:noProof/>
              </w:rPr>
              <w:t>Abstract</w:t>
            </w:r>
            <w:r w:rsidR="009F3607">
              <w:rPr>
                <w:noProof/>
                <w:webHidden/>
              </w:rPr>
              <w:tab/>
            </w:r>
            <w:r w:rsidR="009F3607">
              <w:rPr>
                <w:noProof/>
                <w:webHidden/>
              </w:rPr>
              <w:fldChar w:fldCharType="begin"/>
            </w:r>
            <w:r w:rsidR="009F3607">
              <w:rPr>
                <w:noProof/>
                <w:webHidden/>
              </w:rPr>
              <w:instrText xml:space="preserve"> PAGEREF _Toc225816388 \h </w:instrText>
            </w:r>
            <w:r w:rsidR="009F3607">
              <w:rPr>
                <w:noProof/>
                <w:webHidden/>
              </w:rPr>
            </w:r>
            <w:r w:rsidR="009F3607">
              <w:rPr>
                <w:noProof/>
                <w:webHidden/>
              </w:rPr>
              <w:fldChar w:fldCharType="separate"/>
            </w:r>
            <w:r w:rsidR="00086C29">
              <w:rPr>
                <w:noProof/>
                <w:webHidden/>
              </w:rPr>
              <w:t>2</w:t>
            </w:r>
            <w:r w:rsidR="009F3607">
              <w:rPr>
                <w:noProof/>
                <w:webHidden/>
              </w:rPr>
              <w:fldChar w:fldCharType="end"/>
            </w:r>
          </w:hyperlink>
        </w:p>
        <w:p w14:paraId="03656FE7" w14:textId="777A32C6" w:rsidR="009F3607" w:rsidRDefault="00000000"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hyperlink w:anchor="_Toc225816389" w:history="1">
            <w:r w:rsidR="009F3607" w:rsidRPr="009F6839">
              <w:rPr>
                <w:rStyle w:val="Hyperlink"/>
                <w:noProof/>
              </w:rPr>
              <w:t>Section 1: Introduction</w:t>
            </w:r>
            <w:r w:rsidR="009F3607">
              <w:rPr>
                <w:noProof/>
                <w:webHidden/>
              </w:rPr>
              <w:tab/>
            </w:r>
            <w:r w:rsidR="009F3607">
              <w:rPr>
                <w:noProof/>
                <w:webHidden/>
              </w:rPr>
              <w:fldChar w:fldCharType="begin"/>
            </w:r>
            <w:r w:rsidR="009F3607">
              <w:rPr>
                <w:noProof/>
                <w:webHidden/>
              </w:rPr>
              <w:instrText xml:space="preserve"> PAGEREF _Toc225816389 \h </w:instrText>
            </w:r>
            <w:r w:rsidR="009F3607">
              <w:rPr>
                <w:noProof/>
                <w:webHidden/>
              </w:rPr>
            </w:r>
            <w:r w:rsidR="009F3607">
              <w:rPr>
                <w:noProof/>
                <w:webHidden/>
              </w:rPr>
              <w:fldChar w:fldCharType="separate"/>
            </w:r>
            <w:r w:rsidR="00086C29">
              <w:rPr>
                <w:noProof/>
                <w:webHidden/>
              </w:rPr>
              <w:t>5</w:t>
            </w:r>
            <w:r w:rsidR="009F3607">
              <w:rPr>
                <w:noProof/>
                <w:webHidden/>
              </w:rPr>
              <w:fldChar w:fldCharType="end"/>
            </w:r>
          </w:hyperlink>
        </w:p>
        <w:p w14:paraId="658297E1" w14:textId="203287EA"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0" w:history="1">
            <w:r w:rsidR="009F3607" w:rsidRPr="009F6839">
              <w:rPr>
                <w:rStyle w:val="Hyperlink"/>
                <w:noProof/>
              </w:rPr>
              <w:t>1.1 Contextual Background</w:t>
            </w:r>
            <w:r w:rsidR="009F3607">
              <w:rPr>
                <w:noProof/>
                <w:webHidden/>
              </w:rPr>
              <w:tab/>
            </w:r>
            <w:r w:rsidR="009F3607">
              <w:rPr>
                <w:noProof/>
                <w:webHidden/>
              </w:rPr>
              <w:fldChar w:fldCharType="begin"/>
            </w:r>
            <w:r w:rsidR="009F3607">
              <w:rPr>
                <w:noProof/>
                <w:webHidden/>
              </w:rPr>
              <w:instrText xml:space="preserve"> PAGEREF _Toc225816390 \h </w:instrText>
            </w:r>
            <w:r w:rsidR="009F3607">
              <w:rPr>
                <w:noProof/>
                <w:webHidden/>
              </w:rPr>
            </w:r>
            <w:r w:rsidR="009F3607">
              <w:rPr>
                <w:noProof/>
                <w:webHidden/>
              </w:rPr>
              <w:fldChar w:fldCharType="separate"/>
            </w:r>
            <w:r w:rsidR="00086C29">
              <w:rPr>
                <w:noProof/>
                <w:webHidden/>
              </w:rPr>
              <w:t>5</w:t>
            </w:r>
            <w:r w:rsidR="009F3607">
              <w:rPr>
                <w:noProof/>
                <w:webHidden/>
              </w:rPr>
              <w:fldChar w:fldCharType="end"/>
            </w:r>
          </w:hyperlink>
        </w:p>
        <w:p w14:paraId="5E097DF6" w14:textId="64555246"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1" w:history="1">
            <w:r w:rsidR="009F3607" w:rsidRPr="009F6839">
              <w:rPr>
                <w:rStyle w:val="Hyperlink"/>
                <w:noProof/>
              </w:rPr>
              <w:t>1.2 Statement of the Research Problem</w:t>
            </w:r>
            <w:r w:rsidR="009F3607">
              <w:rPr>
                <w:noProof/>
                <w:webHidden/>
              </w:rPr>
              <w:tab/>
            </w:r>
            <w:r w:rsidR="009F3607">
              <w:rPr>
                <w:noProof/>
                <w:webHidden/>
              </w:rPr>
              <w:fldChar w:fldCharType="begin"/>
            </w:r>
            <w:r w:rsidR="009F3607">
              <w:rPr>
                <w:noProof/>
                <w:webHidden/>
              </w:rPr>
              <w:instrText xml:space="preserve"> PAGEREF _Toc225816391 \h </w:instrText>
            </w:r>
            <w:r w:rsidR="009F3607">
              <w:rPr>
                <w:noProof/>
                <w:webHidden/>
              </w:rPr>
            </w:r>
            <w:r w:rsidR="009F3607">
              <w:rPr>
                <w:noProof/>
                <w:webHidden/>
              </w:rPr>
              <w:fldChar w:fldCharType="separate"/>
            </w:r>
            <w:r w:rsidR="00086C29">
              <w:rPr>
                <w:noProof/>
                <w:webHidden/>
              </w:rPr>
              <w:t>5</w:t>
            </w:r>
            <w:r w:rsidR="009F3607">
              <w:rPr>
                <w:noProof/>
                <w:webHidden/>
              </w:rPr>
              <w:fldChar w:fldCharType="end"/>
            </w:r>
          </w:hyperlink>
        </w:p>
        <w:p w14:paraId="2D321D6F" w14:textId="5D4DB6DD"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2" w:history="1">
            <w:r w:rsidR="009F3607" w:rsidRPr="009F6839">
              <w:rPr>
                <w:rStyle w:val="Hyperlink"/>
                <w:noProof/>
              </w:rPr>
              <w:t>1.3 Significance of the Research</w:t>
            </w:r>
            <w:r w:rsidR="009F3607">
              <w:rPr>
                <w:noProof/>
                <w:webHidden/>
              </w:rPr>
              <w:tab/>
            </w:r>
            <w:r w:rsidR="009F3607">
              <w:rPr>
                <w:noProof/>
                <w:webHidden/>
              </w:rPr>
              <w:fldChar w:fldCharType="begin"/>
            </w:r>
            <w:r w:rsidR="009F3607">
              <w:rPr>
                <w:noProof/>
                <w:webHidden/>
              </w:rPr>
              <w:instrText xml:space="preserve"> PAGEREF _Toc225816392 \h </w:instrText>
            </w:r>
            <w:r w:rsidR="009F3607">
              <w:rPr>
                <w:noProof/>
                <w:webHidden/>
              </w:rPr>
            </w:r>
            <w:r w:rsidR="009F3607">
              <w:rPr>
                <w:noProof/>
                <w:webHidden/>
              </w:rPr>
              <w:fldChar w:fldCharType="separate"/>
            </w:r>
            <w:r w:rsidR="00086C29">
              <w:rPr>
                <w:noProof/>
                <w:webHidden/>
              </w:rPr>
              <w:t>5</w:t>
            </w:r>
            <w:r w:rsidR="009F3607">
              <w:rPr>
                <w:noProof/>
                <w:webHidden/>
              </w:rPr>
              <w:fldChar w:fldCharType="end"/>
            </w:r>
          </w:hyperlink>
        </w:p>
        <w:p w14:paraId="76A007B5" w14:textId="3C9CD144"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3" w:history="1">
            <w:r w:rsidR="009F3607" w:rsidRPr="009F6839">
              <w:rPr>
                <w:rStyle w:val="Hyperlink"/>
                <w:noProof/>
              </w:rPr>
              <w:t>1.4 Definition of Key Terms</w:t>
            </w:r>
            <w:r w:rsidR="009F3607">
              <w:rPr>
                <w:noProof/>
                <w:webHidden/>
              </w:rPr>
              <w:tab/>
            </w:r>
            <w:r w:rsidR="009F3607">
              <w:rPr>
                <w:noProof/>
                <w:webHidden/>
              </w:rPr>
              <w:fldChar w:fldCharType="begin"/>
            </w:r>
            <w:r w:rsidR="009F3607">
              <w:rPr>
                <w:noProof/>
                <w:webHidden/>
              </w:rPr>
              <w:instrText xml:space="preserve"> PAGEREF _Toc225816393 \h </w:instrText>
            </w:r>
            <w:r w:rsidR="009F3607">
              <w:rPr>
                <w:noProof/>
                <w:webHidden/>
              </w:rPr>
            </w:r>
            <w:r w:rsidR="009F3607">
              <w:rPr>
                <w:noProof/>
                <w:webHidden/>
              </w:rPr>
              <w:fldChar w:fldCharType="separate"/>
            </w:r>
            <w:r w:rsidR="00086C29">
              <w:rPr>
                <w:noProof/>
                <w:webHidden/>
              </w:rPr>
              <w:t>6</w:t>
            </w:r>
            <w:r w:rsidR="009F3607">
              <w:rPr>
                <w:noProof/>
                <w:webHidden/>
              </w:rPr>
              <w:fldChar w:fldCharType="end"/>
            </w:r>
          </w:hyperlink>
        </w:p>
        <w:p w14:paraId="7454A988" w14:textId="2AD97C20"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4" w:history="1">
            <w:r w:rsidR="009F3607" w:rsidRPr="009F6839">
              <w:rPr>
                <w:rStyle w:val="Hyperlink"/>
                <w:noProof/>
              </w:rPr>
              <w:t>1.5 Research Aim</w:t>
            </w:r>
            <w:r w:rsidR="009F3607">
              <w:rPr>
                <w:noProof/>
                <w:webHidden/>
              </w:rPr>
              <w:tab/>
            </w:r>
            <w:r w:rsidR="009F3607">
              <w:rPr>
                <w:noProof/>
                <w:webHidden/>
              </w:rPr>
              <w:fldChar w:fldCharType="begin"/>
            </w:r>
            <w:r w:rsidR="009F3607">
              <w:rPr>
                <w:noProof/>
                <w:webHidden/>
              </w:rPr>
              <w:instrText xml:space="preserve"> PAGEREF _Toc225816394 \h </w:instrText>
            </w:r>
            <w:r w:rsidR="009F3607">
              <w:rPr>
                <w:noProof/>
                <w:webHidden/>
              </w:rPr>
            </w:r>
            <w:r w:rsidR="009F3607">
              <w:rPr>
                <w:noProof/>
                <w:webHidden/>
              </w:rPr>
              <w:fldChar w:fldCharType="separate"/>
            </w:r>
            <w:r w:rsidR="00086C29">
              <w:rPr>
                <w:noProof/>
                <w:webHidden/>
              </w:rPr>
              <w:t>6</w:t>
            </w:r>
            <w:r w:rsidR="009F3607">
              <w:rPr>
                <w:noProof/>
                <w:webHidden/>
              </w:rPr>
              <w:fldChar w:fldCharType="end"/>
            </w:r>
          </w:hyperlink>
        </w:p>
        <w:p w14:paraId="6EF8AD21" w14:textId="472BE139"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5" w:history="1">
            <w:r w:rsidR="009F3607" w:rsidRPr="009F6839">
              <w:rPr>
                <w:rStyle w:val="Hyperlink"/>
                <w:noProof/>
              </w:rPr>
              <w:t>1.6 Research Objectives</w:t>
            </w:r>
            <w:r w:rsidR="009F3607">
              <w:rPr>
                <w:noProof/>
                <w:webHidden/>
              </w:rPr>
              <w:tab/>
            </w:r>
            <w:r w:rsidR="009F3607">
              <w:rPr>
                <w:noProof/>
                <w:webHidden/>
              </w:rPr>
              <w:fldChar w:fldCharType="begin"/>
            </w:r>
            <w:r w:rsidR="009F3607">
              <w:rPr>
                <w:noProof/>
                <w:webHidden/>
              </w:rPr>
              <w:instrText xml:space="preserve"> PAGEREF _Toc225816395 \h </w:instrText>
            </w:r>
            <w:r w:rsidR="009F3607">
              <w:rPr>
                <w:noProof/>
                <w:webHidden/>
              </w:rPr>
            </w:r>
            <w:r w:rsidR="009F3607">
              <w:rPr>
                <w:noProof/>
                <w:webHidden/>
              </w:rPr>
              <w:fldChar w:fldCharType="separate"/>
            </w:r>
            <w:r w:rsidR="00086C29">
              <w:rPr>
                <w:noProof/>
                <w:webHidden/>
              </w:rPr>
              <w:t>6</w:t>
            </w:r>
            <w:r w:rsidR="009F3607">
              <w:rPr>
                <w:noProof/>
                <w:webHidden/>
              </w:rPr>
              <w:fldChar w:fldCharType="end"/>
            </w:r>
          </w:hyperlink>
        </w:p>
        <w:p w14:paraId="5516CC63" w14:textId="44A045E9"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6" w:history="1">
            <w:r w:rsidR="009F3607" w:rsidRPr="009F6839">
              <w:rPr>
                <w:rStyle w:val="Hyperlink"/>
                <w:noProof/>
              </w:rPr>
              <w:t>1.7 Research Questions</w:t>
            </w:r>
            <w:r w:rsidR="009F3607">
              <w:rPr>
                <w:noProof/>
                <w:webHidden/>
              </w:rPr>
              <w:tab/>
            </w:r>
            <w:r w:rsidR="009F3607">
              <w:rPr>
                <w:noProof/>
                <w:webHidden/>
              </w:rPr>
              <w:fldChar w:fldCharType="begin"/>
            </w:r>
            <w:r w:rsidR="009F3607">
              <w:rPr>
                <w:noProof/>
                <w:webHidden/>
              </w:rPr>
              <w:instrText xml:space="preserve"> PAGEREF _Toc225816396 \h </w:instrText>
            </w:r>
            <w:r w:rsidR="009F3607">
              <w:rPr>
                <w:noProof/>
                <w:webHidden/>
              </w:rPr>
            </w:r>
            <w:r w:rsidR="009F3607">
              <w:rPr>
                <w:noProof/>
                <w:webHidden/>
              </w:rPr>
              <w:fldChar w:fldCharType="separate"/>
            </w:r>
            <w:r w:rsidR="00086C29">
              <w:rPr>
                <w:noProof/>
                <w:webHidden/>
              </w:rPr>
              <w:t>7</w:t>
            </w:r>
            <w:r w:rsidR="009F3607">
              <w:rPr>
                <w:noProof/>
                <w:webHidden/>
              </w:rPr>
              <w:fldChar w:fldCharType="end"/>
            </w:r>
          </w:hyperlink>
        </w:p>
        <w:p w14:paraId="66ABE67A" w14:textId="4241C8C1" w:rsidR="009F3607" w:rsidRDefault="00000000"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hyperlink w:anchor="_Toc225816397" w:history="1">
            <w:r w:rsidR="009F3607" w:rsidRPr="009F6839">
              <w:rPr>
                <w:rStyle w:val="Hyperlink"/>
                <w:noProof/>
              </w:rPr>
              <w:t>Section 2: Literature Review</w:t>
            </w:r>
            <w:r w:rsidR="009F3607">
              <w:rPr>
                <w:noProof/>
                <w:webHidden/>
              </w:rPr>
              <w:tab/>
            </w:r>
            <w:r w:rsidR="009F3607">
              <w:rPr>
                <w:noProof/>
                <w:webHidden/>
              </w:rPr>
              <w:fldChar w:fldCharType="begin"/>
            </w:r>
            <w:r w:rsidR="009F3607">
              <w:rPr>
                <w:noProof/>
                <w:webHidden/>
              </w:rPr>
              <w:instrText xml:space="preserve"> PAGEREF _Toc225816397 \h </w:instrText>
            </w:r>
            <w:r w:rsidR="009F3607">
              <w:rPr>
                <w:noProof/>
                <w:webHidden/>
              </w:rPr>
            </w:r>
            <w:r w:rsidR="009F3607">
              <w:rPr>
                <w:noProof/>
                <w:webHidden/>
              </w:rPr>
              <w:fldChar w:fldCharType="separate"/>
            </w:r>
            <w:r w:rsidR="00086C29">
              <w:rPr>
                <w:noProof/>
                <w:webHidden/>
              </w:rPr>
              <w:t>8</w:t>
            </w:r>
            <w:r w:rsidR="009F3607">
              <w:rPr>
                <w:noProof/>
                <w:webHidden/>
              </w:rPr>
              <w:fldChar w:fldCharType="end"/>
            </w:r>
          </w:hyperlink>
        </w:p>
        <w:p w14:paraId="6BB5C177" w14:textId="7A09C566"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398" w:history="1">
            <w:r w:rsidR="009F3607" w:rsidRPr="009F6839">
              <w:rPr>
                <w:rStyle w:val="Hyperlink"/>
                <w:noProof/>
              </w:rPr>
              <w:t>2.1 Theoretical and Conceptual Foundations</w:t>
            </w:r>
            <w:r w:rsidR="009F3607">
              <w:rPr>
                <w:noProof/>
                <w:webHidden/>
              </w:rPr>
              <w:tab/>
            </w:r>
            <w:r w:rsidR="009F3607">
              <w:rPr>
                <w:noProof/>
                <w:webHidden/>
              </w:rPr>
              <w:fldChar w:fldCharType="begin"/>
            </w:r>
            <w:r w:rsidR="009F3607">
              <w:rPr>
                <w:noProof/>
                <w:webHidden/>
              </w:rPr>
              <w:instrText xml:space="preserve"> PAGEREF _Toc225816398 \h </w:instrText>
            </w:r>
            <w:r w:rsidR="009F3607">
              <w:rPr>
                <w:noProof/>
                <w:webHidden/>
              </w:rPr>
            </w:r>
            <w:r w:rsidR="009F3607">
              <w:rPr>
                <w:noProof/>
                <w:webHidden/>
              </w:rPr>
              <w:fldChar w:fldCharType="separate"/>
            </w:r>
            <w:r w:rsidR="00086C29">
              <w:rPr>
                <w:noProof/>
                <w:webHidden/>
              </w:rPr>
              <w:t>8</w:t>
            </w:r>
            <w:r w:rsidR="009F3607">
              <w:rPr>
                <w:noProof/>
                <w:webHidden/>
              </w:rPr>
              <w:fldChar w:fldCharType="end"/>
            </w:r>
          </w:hyperlink>
        </w:p>
        <w:p w14:paraId="36CBE8B1" w14:textId="26AC91A0" w:rsidR="009F3607" w:rsidRDefault="00000000" w:rsidP="00086C29">
          <w:pPr>
            <w:pStyle w:val="TOC3"/>
            <w:tabs>
              <w:tab w:val="right" w:leader="dot" w:pos="9196"/>
            </w:tabs>
            <w:spacing w:after="120" w:line="480" w:lineRule="auto"/>
            <w:rPr>
              <w:rFonts w:asciiTheme="minorHAnsi" w:eastAsiaTheme="minorEastAsia" w:hAnsiTheme="minorHAnsi" w:cstheme="minorBidi"/>
              <w:noProof/>
              <w:color w:val="auto"/>
              <w:lang w:eastAsia="zh-CN"/>
            </w:rPr>
          </w:pPr>
          <w:hyperlink w:anchor="_Toc225816399" w:history="1">
            <w:r w:rsidR="009F3607" w:rsidRPr="009F6839">
              <w:rPr>
                <w:rStyle w:val="Hyperlink"/>
                <w:noProof/>
              </w:rPr>
              <w:t>2.1.1 Work-Life Border Theory</w:t>
            </w:r>
            <w:r w:rsidR="009F3607">
              <w:rPr>
                <w:noProof/>
                <w:webHidden/>
              </w:rPr>
              <w:tab/>
            </w:r>
            <w:r w:rsidR="009F3607">
              <w:rPr>
                <w:noProof/>
                <w:webHidden/>
              </w:rPr>
              <w:fldChar w:fldCharType="begin"/>
            </w:r>
            <w:r w:rsidR="009F3607">
              <w:rPr>
                <w:noProof/>
                <w:webHidden/>
              </w:rPr>
              <w:instrText xml:space="preserve"> PAGEREF _Toc225816399 \h </w:instrText>
            </w:r>
            <w:r w:rsidR="009F3607">
              <w:rPr>
                <w:noProof/>
                <w:webHidden/>
              </w:rPr>
            </w:r>
            <w:r w:rsidR="009F3607">
              <w:rPr>
                <w:noProof/>
                <w:webHidden/>
              </w:rPr>
              <w:fldChar w:fldCharType="separate"/>
            </w:r>
            <w:r w:rsidR="00086C29">
              <w:rPr>
                <w:noProof/>
                <w:webHidden/>
              </w:rPr>
              <w:t>8</w:t>
            </w:r>
            <w:r w:rsidR="009F3607">
              <w:rPr>
                <w:noProof/>
                <w:webHidden/>
              </w:rPr>
              <w:fldChar w:fldCharType="end"/>
            </w:r>
          </w:hyperlink>
        </w:p>
        <w:p w14:paraId="47AAAEE2" w14:textId="6249F715" w:rsidR="009F3607" w:rsidRDefault="00000000" w:rsidP="00086C29">
          <w:pPr>
            <w:pStyle w:val="TOC3"/>
            <w:tabs>
              <w:tab w:val="right" w:leader="dot" w:pos="9196"/>
            </w:tabs>
            <w:spacing w:after="120" w:line="480" w:lineRule="auto"/>
            <w:rPr>
              <w:rFonts w:asciiTheme="minorHAnsi" w:eastAsiaTheme="minorEastAsia" w:hAnsiTheme="minorHAnsi" w:cstheme="minorBidi"/>
              <w:noProof/>
              <w:color w:val="auto"/>
              <w:lang w:eastAsia="zh-CN"/>
            </w:rPr>
          </w:pPr>
          <w:hyperlink w:anchor="_Toc225816400" w:history="1">
            <w:r w:rsidR="009F3607" w:rsidRPr="009F6839">
              <w:rPr>
                <w:rStyle w:val="Hyperlink"/>
                <w:noProof/>
              </w:rPr>
              <w:t>2.1.2 Three-Component Organisational Commitment Model</w:t>
            </w:r>
            <w:r w:rsidR="009F3607">
              <w:rPr>
                <w:noProof/>
                <w:webHidden/>
              </w:rPr>
              <w:tab/>
            </w:r>
            <w:r w:rsidR="009F3607">
              <w:rPr>
                <w:noProof/>
                <w:webHidden/>
              </w:rPr>
              <w:fldChar w:fldCharType="begin"/>
            </w:r>
            <w:r w:rsidR="009F3607">
              <w:rPr>
                <w:noProof/>
                <w:webHidden/>
              </w:rPr>
              <w:instrText xml:space="preserve"> PAGEREF _Toc225816400 \h </w:instrText>
            </w:r>
            <w:r w:rsidR="009F3607">
              <w:rPr>
                <w:noProof/>
                <w:webHidden/>
              </w:rPr>
            </w:r>
            <w:r w:rsidR="009F3607">
              <w:rPr>
                <w:noProof/>
                <w:webHidden/>
              </w:rPr>
              <w:fldChar w:fldCharType="separate"/>
            </w:r>
            <w:r w:rsidR="00086C29">
              <w:rPr>
                <w:noProof/>
                <w:webHidden/>
              </w:rPr>
              <w:t>8</w:t>
            </w:r>
            <w:r w:rsidR="009F3607">
              <w:rPr>
                <w:noProof/>
                <w:webHidden/>
              </w:rPr>
              <w:fldChar w:fldCharType="end"/>
            </w:r>
          </w:hyperlink>
        </w:p>
        <w:p w14:paraId="7A03F31B" w14:textId="626CA5C9" w:rsidR="009F3607" w:rsidRDefault="00000000" w:rsidP="00086C29">
          <w:pPr>
            <w:pStyle w:val="TOC3"/>
            <w:tabs>
              <w:tab w:val="right" w:leader="dot" w:pos="9196"/>
            </w:tabs>
            <w:spacing w:after="120" w:line="480" w:lineRule="auto"/>
            <w:rPr>
              <w:rFonts w:asciiTheme="minorHAnsi" w:eastAsiaTheme="minorEastAsia" w:hAnsiTheme="minorHAnsi" w:cstheme="minorBidi"/>
              <w:noProof/>
              <w:color w:val="auto"/>
              <w:lang w:eastAsia="zh-CN"/>
            </w:rPr>
          </w:pPr>
          <w:hyperlink w:anchor="_Toc225816401" w:history="1">
            <w:r w:rsidR="009F3607" w:rsidRPr="009F6839">
              <w:rPr>
                <w:rStyle w:val="Hyperlink"/>
                <w:noProof/>
              </w:rPr>
              <w:t>2.1.3 Social Exchange Theory</w:t>
            </w:r>
            <w:r w:rsidR="009F3607">
              <w:rPr>
                <w:noProof/>
                <w:webHidden/>
              </w:rPr>
              <w:tab/>
            </w:r>
            <w:r w:rsidR="009F3607">
              <w:rPr>
                <w:noProof/>
                <w:webHidden/>
              </w:rPr>
              <w:fldChar w:fldCharType="begin"/>
            </w:r>
            <w:r w:rsidR="009F3607">
              <w:rPr>
                <w:noProof/>
                <w:webHidden/>
              </w:rPr>
              <w:instrText xml:space="preserve"> PAGEREF _Toc225816401 \h </w:instrText>
            </w:r>
            <w:r w:rsidR="009F3607">
              <w:rPr>
                <w:noProof/>
                <w:webHidden/>
              </w:rPr>
            </w:r>
            <w:r w:rsidR="009F3607">
              <w:rPr>
                <w:noProof/>
                <w:webHidden/>
              </w:rPr>
              <w:fldChar w:fldCharType="separate"/>
            </w:r>
            <w:r w:rsidR="00086C29">
              <w:rPr>
                <w:noProof/>
                <w:webHidden/>
              </w:rPr>
              <w:t>9</w:t>
            </w:r>
            <w:r w:rsidR="009F3607">
              <w:rPr>
                <w:noProof/>
                <w:webHidden/>
              </w:rPr>
              <w:fldChar w:fldCharType="end"/>
            </w:r>
          </w:hyperlink>
        </w:p>
        <w:p w14:paraId="04925F4E" w14:textId="777857E3"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2" w:history="1">
            <w:r w:rsidR="009F3607" w:rsidRPr="009F6839">
              <w:rPr>
                <w:rStyle w:val="Hyperlink"/>
                <w:noProof/>
              </w:rPr>
              <w:t>2.2 WLB Policy: Provision, Utilisation, and the Gap Between Them</w:t>
            </w:r>
            <w:r w:rsidR="009F3607">
              <w:rPr>
                <w:noProof/>
                <w:webHidden/>
              </w:rPr>
              <w:tab/>
            </w:r>
            <w:r w:rsidR="009F3607">
              <w:rPr>
                <w:noProof/>
                <w:webHidden/>
              </w:rPr>
              <w:fldChar w:fldCharType="begin"/>
            </w:r>
            <w:r w:rsidR="009F3607">
              <w:rPr>
                <w:noProof/>
                <w:webHidden/>
              </w:rPr>
              <w:instrText xml:space="preserve"> PAGEREF _Toc225816402 \h </w:instrText>
            </w:r>
            <w:r w:rsidR="009F3607">
              <w:rPr>
                <w:noProof/>
                <w:webHidden/>
              </w:rPr>
            </w:r>
            <w:r w:rsidR="009F3607">
              <w:rPr>
                <w:noProof/>
                <w:webHidden/>
              </w:rPr>
              <w:fldChar w:fldCharType="separate"/>
            </w:r>
            <w:r w:rsidR="00086C29">
              <w:rPr>
                <w:noProof/>
                <w:webHidden/>
              </w:rPr>
              <w:t>11</w:t>
            </w:r>
            <w:r w:rsidR="009F3607">
              <w:rPr>
                <w:noProof/>
                <w:webHidden/>
              </w:rPr>
              <w:fldChar w:fldCharType="end"/>
            </w:r>
          </w:hyperlink>
        </w:p>
        <w:p w14:paraId="7E5ED6A0" w14:textId="01F5129E"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3" w:history="1">
            <w:r w:rsidR="009F3607" w:rsidRPr="009F6839">
              <w:rPr>
                <w:rStyle w:val="Hyperlink"/>
                <w:noProof/>
              </w:rPr>
              <w:t>2.3 Controversy I: Work Intensification Versus Genuine Flexibility</w:t>
            </w:r>
            <w:r w:rsidR="009F3607">
              <w:rPr>
                <w:noProof/>
                <w:webHidden/>
              </w:rPr>
              <w:tab/>
            </w:r>
            <w:r w:rsidR="009F3607">
              <w:rPr>
                <w:noProof/>
                <w:webHidden/>
              </w:rPr>
              <w:fldChar w:fldCharType="begin"/>
            </w:r>
            <w:r w:rsidR="009F3607">
              <w:rPr>
                <w:noProof/>
                <w:webHidden/>
              </w:rPr>
              <w:instrText xml:space="preserve"> PAGEREF _Toc225816403 \h </w:instrText>
            </w:r>
            <w:r w:rsidR="009F3607">
              <w:rPr>
                <w:noProof/>
                <w:webHidden/>
              </w:rPr>
            </w:r>
            <w:r w:rsidR="009F3607">
              <w:rPr>
                <w:noProof/>
                <w:webHidden/>
              </w:rPr>
              <w:fldChar w:fldCharType="separate"/>
            </w:r>
            <w:r w:rsidR="00086C29">
              <w:rPr>
                <w:noProof/>
                <w:webHidden/>
              </w:rPr>
              <w:t>11</w:t>
            </w:r>
            <w:r w:rsidR="009F3607">
              <w:rPr>
                <w:noProof/>
                <w:webHidden/>
              </w:rPr>
              <w:fldChar w:fldCharType="end"/>
            </w:r>
          </w:hyperlink>
        </w:p>
        <w:p w14:paraId="175CA72C" w14:textId="42A54D32"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4" w:history="1">
            <w:r w:rsidR="009F3607" w:rsidRPr="009F6839">
              <w:rPr>
                <w:rStyle w:val="Hyperlink"/>
                <w:noProof/>
              </w:rPr>
              <w:t>2.4 Controversy II: Flexibility Stigma and Managerial Gatekeeping</w:t>
            </w:r>
            <w:r w:rsidR="009F3607">
              <w:rPr>
                <w:noProof/>
                <w:webHidden/>
              </w:rPr>
              <w:tab/>
            </w:r>
            <w:r w:rsidR="009F3607">
              <w:rPr>
                <w:noProof/>
                <w:webHidden/>
              </w:rPr>
              <w:fldChar w:fldCharType="begin"/>
            </w:r>
            <w:r w:rsidR="009F3607">
              <w:rPr>
                <w:noProof/>
                <w:webHidden/>
              </w:rPr>
              <w:instrText xml:space="preserve"> PAGEREF _Toc225816404 \h </w:instrText>
            </w:r>
            <w:r w:rsidR="009F3607">
              <w:rPr>
                <w:noProof/>
                <w:webHidden/>
              </w:rPr>
            </w:r>
            <w:r w:rsidR="009F3607">
              <w:rPr>
                <w:noProof/>
                <w:webHidden/>
              </w:rPr>
              <w:fldChar w:fldCharType="separate"/>
            </w:r>
            <w:r w:rsidR="00086C29">
              <w:rPr>
                <w:noProof/>
                <w:webHidden/>
              </w:rPr>
              <w:t>12</w:t>
            </w:r>
            <w:r w:rsidR="009F3607">
              <w:rPr>
                <w:noProof/>
                <w:webHidden/>
              </w:rPr>
              <w:fldChar w:fldCharType="end"/>
            </w:r>
          </w:hyperlink>
        </w:p>
        <w:p w14:paraId="5885FDF4" w14:textId="492E8D7F"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5" w:history="1">
            <w:r w:rsidR="009F3607" w:rsidRPr="009F6839">
              <w:rPr>
                <w:rStyle w:val="Hyperlink"/>
                <w:noProof/>
              </w:rPr>
              <w:t>2.5 Post-COVID Flexible Working and NHS Workforce Expectations</w:t>
            </w:r>
            <w:r w:rsidR="009F3607">
              <w:rPr>
                <w:noProof/>
                <w:webHidden/>
              </w:rPr>
              <w:tab/>
            </w:r>
            <w:r w:rsidR="009F3607">
              <w:rPr>
                <w:noProof/>
                <w:webHidden/>
              </w:rPr>
              <w:fldChar w:fldCharType="begin"/>
            </w:r>
            <w:r w:rsidR="009F3607">
              <w:rPr>
                <w:noProof/>
                <w:webHidden/>
              </w:rPr>
              <w:instrText xml:space="preserve"> PAGEREF _Toc225816405 \h </w:instrText>
            </w:r>
            <w:r w:rsidR="009F3607">
              <w:rPr>
                <w:noProof/>
                <w:webHidden/>
              </w:rPr>
            </w:r>
            <w:r w:rsidR="009F3607">
              <w:rPr>
                <w:noProof/>
                <w:webHidden/>
              </w:rPr>
              <w:fldChar w:fldCharType="separate"/>
            </w:r>
            <w:r w:rsidR="00086C29">
              <w:rPr>
                <w:noProof/>
                <w:webHidden/>
              </w:rPr>
              <w:t>13</w:t>
            </w:r>
            <w:r w:rsidR="009F3607">
              <w:rPr>
                <w:noProof/>
                <w:webHidden/>
              </w:rPr>
              <w:fldChar w:fldCharType="end"/>
            </w:r>
          </w:hyperlink>
        </w:p>
        <w:p w14:paraId="276C519C" w14:textId="3A569D86"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6" w:history="1">
            <w:r w:rsidR="009F3607" w:rsidRPr="009F6839">
              <w:rPr>
                <w:rStyle w:val="Hyperlink"/>
                <w:noProof/>
              </w:rPr>
              <w:t>2.6 Gender, Caregiving, and the Unequal Distribution of WLB Benefits</w:t>
            </w:r>
            <w:r w:rsidR="009F3607">
              <w:rPr>
                <w:noProof/>
                <w:webHidden/>
              </w:rPr>
              <w:tab/>
            </w:r>
            <w:r w:rsidR="009F3607">
              <w:rPr>
                <w:noProof/>
                <w:webHidden/>
              </w:rPr>
              <w:fldChar w:fldCharType="begin"/>
            </w:r>
            <w:r w:rsidR="009F3607">
              <w:rPr>
                <w:noProof/>
                <w:webHidden/>
              </w:rPr>
              <w:instrText xml:space="preserve"> PAGEREF _Toc225816406 \h </w:instrText>
            </w:r>
            <w:r w:rsidR="009F3607">
              <w:rPr>
                <w:noProof/>
                <w:webHidden/>
              </w:rPr>
            </w:r>
            <w:r w:rsidR="009F3607">
              <w:rPr>
                <w:noProof/>
                <w:webHidden/>
              </w:rPr>
              <w:fldChar w:fldCharType="separate"/>
            </w:r>
            <w:r w:rsidR="00086C29">
              <w:rPr>
                <w:noProof/>
                <w:webHidden/>
              </w:rPr>
              <w:t>14</w:t>
            </w:r>
            <w:r w:rsidR="009F3607">
              <w:rPr>
                <w:noProof/>
                <w:webHidden/>
              </w:rPr>
              <w:fldChar w:fldCharType="end"/>
            </w:r>
          </w:hyperlink>
        </w:p>
        <w:p w14:paraId="01838A98" w14:textId="3BE83FE7"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7" w:history="1">
            <w:r w:rsidR="009F3607" w:rsidRPr="009F6839">
              <w:rPr>
                <w:rStyle w:val="Hyperlink"/>
                <w:noProof/>
              </w:rPr>
              <w:t>2.7 Identification of the Research Gap</w:t>
            </w:r>
            <w:r w:rsidR="009F3607">
              <w:rPr>
                <w:noProof/>
                <w:webHidden/>
              </w:rPr>
              <w:tab/>
            </w:r>
            <w:r w:rsidR="009F3607">
              <w:rPr>
                <w:noProof/>
                <w:webHidden/>
              </w:rPr>
              <w:fldChar w:fldCharType="begin"/>
            </w:r>
            <w:r w:rsidR="009F3607">
              <w:rPr>
                <w:noProof/>
                <w:webHidden/>
              </w:rPr>
              <w:instrText xml:space="preserve"> PAGEREF _Toc225816407 \h </w:instrText>
            </w:r>
            <w:r w:rsidR="009F3607">
              <w:rPr>
                <w:noProof/>
                <w:webHidden/>
              </w:rPr>
            </w:r>
            <w:r w:rsidR="009F3607">
              <w:rPr>
                <w:noProof/>
                <w:webHidden/>
              </w:rPr>
              <w:fldChar w:fldCharType="separate"/>
            </w:r>
            <w:r w:rsidR="00086C29">
              <w:rPr>
                <w:noProof/>
                <w:webHidden/>
              </w:rPr>
              <w:t>14</w:t>
            </w:r>
            <w:r w:rsidR="009F3607">
              <w:rPr>
                <w:noProof/>
                <w:webHidden/>
              </w:rPr>
              <w:fldChar w:fldCharType="end"/>
            </w:r>
          </w:hyperlink>
        </w:p>
        <w:p w14:paraId="2E68902F" w14:textId="0856117F" w:rsidR="009F3607" w:rsidRDefault="00000000"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hyperlink w:anchor="_Toc225816408" w:history="1">
            <w:r w:rsidR="009F3607" w:rsidRPr="009F6839">
              <w:rPr>
                <w:rStyle w:val="Hyperlink"/>
                <w:noProof/>
              </w:rPr>
              <w:t>Section 3: Research Methodology</w:t>
            </w:r>
            <w:r w:rsidR="009F3607">
              <w:rPr>
                <w:noProof/>
                <w:webHidden/>
              </w:rPr>
              <w:tab/>
            </w:r>
            <w:r w:rsidR="009F3607">
              <w:rPr>
                <w:noProof/>
                <w:webHidden/>
              </w:rPr>
              <w:fldChar w:fldCharType="begin"/>
            </w:r>
            <w:r w:rsidR="009F3607">
              <w:rPr>
                <w:noProof/>
                <w:webHidden/>
              </w:rPr>
              <w:instrText xml:space="preserve"> PAGEREF _Toc225816408 \h </w:instrText>
            </w:r>
            <w:r w:rsidR="009F3607">
              <w:rPr>
                <w:noProof/>
                <w:webHidden/>
              </w:rPr>
            </w:r>
            <w:r w:rsidR="009F3607">
              <w:rPr>
                <w:noProof/>
                <w:webHidden/>
              </w:rPr>
              <w:fldChar w:fldCharType="separate"/>
            </w:r>
            <w:r w:rsidR="00086C29">
              <w:rPr>
                <w:noProof/>
                <w:webHidden/>
              </w:rPr>
              <w:t>15</w:t>
            </w:r>
            <w:r w:rsidR="009F3607">
              <w:rPr>
                <w:noProof/>
                <w:webHidden/>
              </w:rPr>
              <w:fldChar w:fldCharType="end"/>
            </w:r>
          </w:hyperlink>
        </w:p>
        <w:p w14:paraId="7C701FEE" w14:textId="713FD8B0"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09" w:history="1">
            <w:r w:rsidR="009F3607" w:rsidRPr="009F6839">
              <w:rPr>
                <w:rStyle w:val="Hyperlink"/>
                <w:noProof/>
              </w:rPr>
              <w:t>3.1 Research Philosophy</w:t>
            </w:r>
            <w:r w:rsidR="009F3607">
              <w:rPr>
                <w:noProof/>
                <w:webHidden/>
              </w:rPr>
              <w:tab/>
            </w:r>
            <w:r w:rsidR="009F3607">
              <w:rPr>
                <w:noProof/>
                <w:webHidden/>
              </w:rPr>
              <w:fldChar w:fldCharType="begin"/>
            </w:r>
            <w:r w:rsidR="009F3607">
              <w:rPr>
                <w:noProof/>
                <w:webHidden/>
              </w:rPr>
              <w:instrText xml:space="preserve"> PAGEREF _Toc225816409 \h </w:instrText>
            </w:r>
            <w:r w:rsidR="009F3607">
              <w:rPr>
                <w:noProof/>
                <w:webHidden/>
              </w:rPr>
            </w:r>
            <w:r w:rsidR="009F3607">
              <w:rPr>
                <w:noProof/>
                <w:webHidden/>
              </w:rPr>
              <w:fldChar w:fldCharType="separate"/>
            </w:r>
            <w:r w:rsidR="00086C29">
              <w:rPr>
                <w:noProof/>
                <w:webHidden/>
              </w:rPr>
              <w:t>15</w:t>
            </w:r>
            <w:r w:rsidR="009F3607">
              <w:rPr>
                <w:noProof/>
                <w:webHidden/>
              </w:rPr>
              <w:fldChar w:fldCharType="end"/>
            </w:r>
          </w:hyperlink>
        </w:p>
        <w:p w14:paraId="7485F664" w14:textId="025BDB51"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0" w:history="1">
            <w:r w:rsidR="009F3607" w:rsidRPr="009F6839">
              <w:rPr>
                <w:rStyle w:val="Hyperlink"/>
                <w:noProof/>
              </w:rPr>
              <w:t>3.2 Research Approach</w:t>
            </w:r>
            <w:r w:rsidR="009F3607">
              <w:rPr>
                <w:noProof/>
                <w:webHidden/>
              </w:rPr>
              <w:tab/>
            </w:r>
            <w:r w:rsidR="009F3607">
              <w:rPr>
                <w:noProof/>
                <w:webHidden/>
              </w:rPr>
              <w:fldChar w:fldCharType="begin"/>
            </w:r>
            <w:r w:rsidR="009F3607">
              <w:rPr>
                <w:noProof/>
                <w:webHidden/>
              </w:rPr>
              <w:instrText xml:space="preserve"> PAGEREF _Toc225816410 \h </w:instrText>
            </w:r>
            <w:r w:rsidR="009F3607">
              <w:rPr>
                <w:noProof/>
                <w:webHidden/>
              </w:rPr>
            </w:r>
            <w:r w:rsidR="009F3607">
              <w:rPr>
                <w:noProof/>
                <w:webHidden/>
              </w:rPr>
              <w:fldChar w:fldCharType="separate"/>
            </w:r>
            <w:r w:rsidR="00086C29">
              <w:rPr>
                <w:noProof/>
                <w:webHidden/>
              </w:rPr>
              <w:t>16</w:t>
            </w:r>
            <w:r w:rsidR="009F3607">
              <w:rPr>
                <w:noProof/>
                <w:webHidden/>
              </w:rPr>
              <w:fldChar w:fldCharType="end"/>
            </w:r>
          </w:hyperlink>
        </w:p>
        <w:p w14:paraId="524A4566" w14:textId="337C3872"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1" w:history="1">
            <w:r w:rsidR="009F3607" w:rsidRPr="009F6839">
              <w:rPr>
                <w:rStyle w:val="Hyperlink"/>
                <w:noProof/>
              </w:rPr>
              <w:t>3.3 Research Strategy and Methodological Choice</w:t>
            </w:r>
            <w:r w:rsidR="009F3607">
              <w:rPr>
                <w:noProof/>
                <w:webHidden/>
              </w:rPr>
              <w:tab/>
            </w:r>
            <w:r w:rsidR="009F3607">
              <w:rPr>
                <w:noProof/>
                <w:webHidden/>
              </w:rPr>
              <w:fldChar w:fldCharType="begin"/>
            </w:r>
            <w:r w:rsidR="009F3607">
              <w:rPr>
                <w:noProof/>
                <w:webHidden/>
              </w:rPr>
              <w:instrText xml:space="preserve"> PAGEREF _Toc225816411 \h </w:instrText>
            </w:r>
            <w:r w:rsidR="009F3607">
              <w:rPr>
                <w:noProof/>
                <w:webHidden/>
              </w:rPr>
            </w:r>
            <w:r w:rsidR="009F3607">
              <w:rPr>
                <w:noProof/>
                <w:webHidden/>
              </w:rPr>
              <w:fldChar w:fldCharType="separate"/>
            </w:r>
            <w:r w:rsidR="00086C29">
              <w:rPr>
                <w:noProof/>
                <w:webHidden/>
              </w:rPr>
              <w:t>16</w:t>
            </w:r>
            <w:r w:rsidR="009F3607">
              <w:rPr>
                <w:noProof/>
                <w:webHidden/>
              </w:rPr>
              <w:fldChar w:fldCharType="end"/>
            </w:r>
          </w:hyperlink>
        </w:p>
        <w:p w14:paraId="065549A0" w14:textId="4F47E62F"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2" w:history="1">
            <w:r w:rsidR="009F3607" w:rsidRPr="009F6839">
              <w:rPr>
                <w:rStyle w:val="Hyperlink"/>
                <w:noProof/>
              </w:rPr>
              <w:t>3.4 Critical Evaluation of the Methodology</w:t>
            </w:r>
            <w:r w:rsidR="009F3607">
              <w:rPr>
                <w:noProof/>
                <w:webHidden/>
              </w:rPr>
              <w:tab/>
            </w:r>
            <w:r w:rsidR="009F3607">
              <w:rPr>
                <w:noProof/>
                <w:webHidden/>
              </w:rPr>
              <w:fldChar w:fldCharType="begin"/>
            </w:r>
            <w:r w:rsidR="009F3607">
              <w:rPr>
                <w:noProof/>
                <w:webHidden/>
              </w:rPr>
              <w:instrText xml:space="preserve"> PAGEREF _Toc225816412 \h </w:instrText>
            </w:r>
            <w:r w:rsidR="009F3607">
              <w:rPr>
                <w:noProof/>
                <w:webHidden/>
              </w:rPr>
            </w:r>
            <w:r w:rsidR="009F3607">
              <w:rPr>
                <w:noProof/>
                <w:webHidden/>
              </w:rPr>
              <w:fldChar w:fldCharType="separate"/>
            </w:r>
            <w:r w:rsidR="00086C29">
              <w:rPr>
                <w:noProof/>
                <w:webHidden/>
              </w:rPr>
              <w:t>17</w:t>
            </w:r>
            <w:r w:rsidR="009F3607">
              <w:rPr>
                <w:noProof/>
                <w:webHidden/>
              </w:rPr>
              <w:fldChar w:fldCharType="end"/>
            </w:r>
          </w:hyperlink>
        </w:p>
        <w:p w14:paraId="10F6445D" w14:textId="52C59537"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3" w:history="1">
            <w:r w:rsidR="009F3607" w:rsidRPr="009F6839">
              <w:rPr>
                <w:rStyle w:val="Hyperlink"/>
                <w:noProof/>
              </w:rPr>
              <w:t>3.5 Data Collection Methods and Piloting of the Interview Guide</w:t>
            </w:r>
            <w:r w:rsidR="009F3607">
              <w:rPr>
                <w:noProof/>
                <w:webHidden/>
              </w:rPr>
              <w:tab/>
            </w:r>
            <w:r w:rsidR="009F3607">
              <w:rPr>
                <w:noProof/>
                <w:webHidden/>
              </w:rPr>
              <w:fldChar w:fldCharType="begin"/>
            </w:r>
            <w:r w:rsidR="009F3607">
              <w:rPr>
                <w:noProof/>
                <w:webHidden/>
              </w:rPr>
              <w:instrText xml:space="preserve"> PAGEREF _Toc225816413 \h </w:instrText>
            </w:r>
            <w:r w:rsidR="009F3607">
              <w:rPr>
                <w:noProof/>
                <w:webHidden/>
              </w:rPr>
            </w:r>
            <w:r w:rsidR="009F3607">
              <w:rPr>
                <w:noProof/>
                <w:webHidden/>
              </w:rPr>
              <w:fldChar w:fldCharType="separate"/>
            </w:r>
            <w:r w:rsidR="00086C29">
              <w:rPr>
                <w:noProof/>
                <w:webHidden/>
              </w:rPr>
              <w:t>18</w:t>
            </w:r>
            <w:r w:rsidR="009F3607">
              <w:rPr>
                <w:noProof/>
                <w:webHidden/>
              </w:rPr>
              <w:fldChar w:fldCharType="end"/>
            </w:r>
          </w:hyperlink>
        </w:p>
        <w:p w14:paraId="52A950F7" w14:textId="1AD59CCA"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4" w:history="1">
            <w:r w:rsidR="009F3607" w:rsidRPr="009F6839">
              <w:rPr>
                <w:rStyle w:val="Hyperlink"/>
                <w:noProof/>
              </w:rPr>
              <w:t>3.6 Sampling Strategy and Detailed Justification of Sample Size</w:t>
            </w:r>
            <w:r w:rsidR="009F3607">
              <w:rPr>
                <w:noProof/>
                <w:webHidden/>
              </w:rPr>
              <w:tab/>
            </w:r>
            <w:r w:rsidR="009F3607">
              <w:rPr>
                <w:noProof/>
                <w:webHidden/>
              </w:rPr>
              <w:fldChar w:fldCharType="begin"/>
            </w:r>
            <w:r w:rsidR="009F3607">
              <w:rPr>
                <w:noProof/>
                <w:webHidden/>
              </w:rPr>
              <w:instrText xml:space="preserve"> PAGEREF _Toc225816414 \h </w:instrText>
            </w:r>
            <w:r w:rsidR="009F3607">
              <w:rPr>
                <w:noProof/>
                <w:webHidden/>
              </w:rPr>
            </w:r>
            <w:r w:rsidR="009F3607">
              <w:rPr>
                <w:noProof/>
                <w:webHidden/>
              </w:rPr>
              <w:fldChar w:fldCharType="separate"/>
            </w:r>
            <w:r w:rsidR="00086C29">
              <w:rPr>
                <w:noProof/>
                <w:webHidden/>
              </w:rPr>
              <w:t>18</w:t>
            </w:r>
            <w:r w:rsidR="009F3607">
              <w:rPr>
                <w:noProof/>
                <w:webHidden/>
              </w:rPr>
              <w:fldChar w:fldCharType="end"/>
            </w:r>
          </w:hyperlink>
        </w:p>
        <w:p w14:paraId="449401E0" w14:textId="0876FB51"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5" w:history="1">
            <w:r w:rsidR="009F3607" w:rsidRPr="009F6839">
              <w:rPr>
                <w:rStyle w:val="Hyperlink"/>
                <w:noProof/>
              </w:rPr>
              <w:t>3.7 Data Analysis: Reflexive Thematic Analysis</w:t>
            </w:r>
            <w:r w:rsidR="009F3607">
              <w:rPr>
                <w:noProof/>
                <w:webHidden/>
              </w:rPr>
              <w:tab/>
            </w:r>
            <w:r w:rsidR="009F3607">
              <w:rPr>
                <w:noProof/>
                <w:webHidden/>
              </w:rPr>
              <w:fldChar w:fldCharType="begin"/>
            </w:r>
            <w:r w:rsidR="009F3607">
              <w:rPr>
                <w:noProof/>
                <w:webHidden/>
              </w:rPr>
              <w:instrText xml:space="preserve"> PAGEREF _Toc225816415 \h </w:instrText>
            </w:r>
            <w:r w:rsidR="009F3607">
              <w:rPr>
                <w:noProof/>
                <w:webHidden/>
              </w:rPr>
            </w:r>
            <w:r w:rsidR="009F3607">
              <w:rPr>
                <w:noProof/>
                <w:webHidden/>
              </w:rPr>
              <w:fldChar w:fldCharType="separate"/>
            </w:r>
            <w:r w:rsidR="00086C29">
              <w:rPr>
                <w:noProof/>
                <w:webHidden/>
              </w:rPr>
              <w:t>20</w:t>
            </w:r>
            <w:r w:rsidR="009F3607">
              <w:rPr>
                <w:noProof/>
                <w:webHidden/>
              </w:rPr>
              <w:fldChar w:fldCharType="end"/>
            </w:r>
          </w:hyperlink>
        </w:p>
        <w:p w14:paraId="7D18C8A9" w14:textId="66ABB9E4"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6" w:history="1">
            <w:r w:rsidR="009F3607" w:rsidRPr="009F6839">
              <w:rPr>
                <w:rStyle w:val="Hyperlink"/>
                <w:noProof/>
              </w:rPr>
              <w:t>3.8 Ethical Considerations</w:t>
            </w:r>
            <w:r w:rsidR="009F3607">
              <w:rPr>
                <w:noProof/>
                <w:webHidden/>
              </w:rPr>
              <w:tab/>
            </w:r>
            <w:r w:rsidR="009F3607">
              <w:rPr>
                <w:noProof/>
                <w:webHidden/>
              </w:rPr>
              <w:fldChar w:fldCharType="begin"/>
            </w:r>
            <w:r w:rsidR="009F3607">
              <w:rPr>
                <w:noProof/>
                <w:webHidden/>
              </w:rPr>
              <w:instrText xml:space="preserve"> PAGEREF _Toc225816416 \h </w:instrText>
            </w:r>
            <w:r w:rsidR="009F3607">
              <w:rPr>
                <w:noProof/>
                <w:webHidden/>
              </w:rPr>
            </w:r>
            <w:r w:rsidR="009F3607">
              <w:rPr>
                <w:noProof/>
                <w:webHidden/>
              </w:rPr>
              <w:fldChar w:fldCharType="separate"/>
            </w:r>
            <w:r w:rsidR="00086C29">
              <w:rPr>
                <w:noProof/>
                <w:webHidden/>
              </w:rPr>
              <w:t>22</w:t>
            </w:r>
            <w:r w:rsidR="009F3607">
              <w:rPr>
                <w:noProof/>
                <w:webHidden/>
              </w:rPr>
              <w:fldChar w:fldCharType="end"/>
            </w:r>
          </w:hyperlink>
        </w:p>
        <w:p w14:paraId="3AD6F6E1" w14:textId="64E25CC3"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7" w:history="1">
            <w:r w:rsidR="009F3607" w:rsidRPr="009F6839">
              <w:rPr>
                <w:rStyle w:val="Hyperlink"/>
                <w:noProof/>
              </w:rPr>
              <w:t>3.9 Researcher Reflexivity and Positionality</w:t>
            </w:r>
            <w:r w:rsidR="009F3607">
              <w:rPr>
                <w:noProof/>
                <w:webHidden/>
              </w:rPr>
              <w:tab/>
            </w:r>
            <w:r w:rsidR="009F3607">
              <w:rPr>
                <w:noProof/>
                <w:webHidden/>
              </w:rPr>
              <w:fldChar w:fldCharType="begin"/>
            </w:r>
            <w:r w:rsidR="009F3607">
              <w:rPr>
                <w:noProof/>
                <w:webHidden/>
              </w:rPr>
              <w:instrText xml:space="preserve"> PAGEREF _Toc225816417 \h </w:instrText>
            </w:r>
            <w:r w:rsidR="009F3607">
              <w:rPr>
                <w:noProof/>
                <w:webHidden/>
              </w:rPr>
            </w:r>
            <w:r w:rsidR="009F3607">
              <w:rPr>
                <w:noProof/>
                <w:webHidden/>
              </w:rPr>
              <w:fldChar w:fldCharType="separate"/>
            </w:r>
            <w:r w:rsidR="00086C29">
              <w:rPr>
                <w:noProof/>
                <w:webHidden/>
              </w:rPr>
              <w:t>22</w:t>
            </w:r>
            <w:r w:rsidR="009F3607">
              <w:rPr>
                <w:noProof/>
                <w:webHidden/>
              </w:rPr>
              <w:fldChar w:fldCharType="end"/>
            </w:r>
          </w:hyperlink>
        </w:p>
        <w:p w14:paraId="63C9D666" w14:textId="3031C5D7" w:rsidR="009F3607" w:rsidRDefault="00000000"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hyperlink w:anchor="_Toc225816418" w:history="1">
            <w:r w:rsidR="009F3607" w:rsidRPr="009F6839">
              <w:rPr>
                <w:rStyle w:val="Hyperlink"/>
                <w:noProof/>
              </w:rPr>
              <w:t>Section 4: Outcomes and Timetable</w:t>
            </w:r>
            <w:r w:rsidR="009F3607">
              <w:rPr>
                <w:noProof/>
                <w:webHidden/>
              </w:rPr>
              <w:tab/>
            </w:r>
            <w:r w:rsidR="009F3607">
              <w:rPr>
                <w:noProof/>
                <w:webHidden/>
              </w:rPr>
              <w:fldChar w:fldCharType="begin"/>
            </w:r>
            <w:r w:rsidR="009F3607">
              <w:rPr>
                <w:noProof/>
                <w:webHidden/>
              </w:rPr>
              <w:instrText xml:space="preserve"> PAGEREF _Toc225816418 \h </w:instrText>
            </w:r>
            <w:r w:rsidR="009F3607">
              <w:rPr>
                <w:noProof/>
                <w:webHidden/>
              </w:rPr>
            </w:r>
            <w:r w:rsidR="009F3607">
              <w:rPr>
                <w:noProof/>
                <w:webHidden/>
              </w:rPr>
              <w:fldChar w:fldCharType="separate"/>
            </w:r>
            <w:r w:rsidR="00086C29">
              <w:rPr>
                <w:noProof/>
                <w:webHidden/>
              </w:rPr>
              <w:t>23</w:t>
            </w:r>
            <w:r w:rsidR="009F3607">
              <w:rPr>
                <w:noProof/>
                <w:webHidden/>
              </w:rPr>
              <w:fldChar w:fldCharType="end"/>
            </w:r>
          </w:hyperlink>
        </w:p>
        <w:p w14:paraId="5132FDE4" w14:textId="3A72DCE8"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19" w:history="1">
            <w:r w:rsidR="009F3607" w:rsidRPr="009F6839">
              <w:rPr>
                <w:rStyle w:val="Hyperlink"/>
                <w:noProof/>
              </w:rPr>
              <w:t>4.1 Anticipated Outcomes and Research Contribution</w:t>
            </w:r>
            <w:r w:rsidR="009F3607">
              <w:rPr>
                <w:noProof/>
                <w:webHidden/>
              </w:rPr>
              <w:tab/>
            </w:r>
            <w:r w:rsidR="009F3607">
              <w:rPr>
                <w:noProof/>
                <w:webHidden/>
              </w:rPr>
              <w:fldChar w:fldCharType="begin"/>
            </w:r>
            <w:r w:rsidR="009F3607">
              <w:rPr>
                <w:noProof/>
                <w:webHidden/>
              </w:rPr>
              <w:instrText xml:space="preserve"> PAGEREF _Toc225816419 \h </w:instrText>
            </w:r>
            <w:r w:rsidR="009F3607">
              <w:rPr>
                <w:noProof/>
                <w:webHidden/>
              </w:rPr>
            </w:r>
            <w:r w:rsidR="009F3607">
              <w:rPr>
                <w:noProof/>
                <w:webHidden/>
              </w:rPr>
              <w:fldChar w:fldCharType="separate"/>
            </w:r>
            <w:r w:rsidR="00086C29">
              <w:rPr>
                <w:noProof/>
                <w:webHidden/>
              </w:rPr>
              <w:t>23</w:t>
            </w:r>
            <w:r w:rsidR="009F3607">
              <w:rPr>
                <w:noProof/>
                <w:webHidden/>
              </w:rPr>
              <w:fldChar w:fldCharType="end"/>
            </w:r>
          </w:hyperlink>
        </w:p>
        <w:p w14:paraId="2C42F0D1" w14:textId="61BA40E7"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20" w:history="1">
            <w:r w:rsidR="009F3607" w:rsidRPr="009F6839">
              <w:rPr>
                <w:rStyle w:val="Hyperlink"/>
                <w:noProof/>
              </w:rPr>
              <w:t>4.2 Research Timetable</w:t>
            </w:r>
            <w:r w:rsidR="009F3607">
              <w:rPr>
                <w:noProof/>
                <w:webHidden/>
              </w:rPr>
              <w:tab/>
            </w:r>
            <w:r w:rsidR="009F3607">
              <w:rPr>
                <w:noProof/>
                <w:webHidden/>
              </w:rPr>
              <w:fldChar w:fldCharType="begin"/>
            </w:r>
            <w:r w:rsidR="009F3607">
              <w:rPr>
                <w:noProof/>
                <w:webHidden/>
              </w:rPr>
              <w:instrText xml:space="preserve"> PAGEREF _Toc225816420 \h </w:instrText>
            </w:r>
            <w:r w:rsidR="009F3607">
              <w:rPr>
                <w:noProof/>
                <w:webHidden/>
              </w:rPr>
            </w:r>
            <w:r w:rsidR="009F3607">
              <w:rPr>
                <w:noProof/>
                <w:webHidden/>
              </w:rPr>
              <w:fldChar w:fldCharType="separate"/>
            </w:r>
            <w:r w:rsidR="00086C29">
              <w:rPr>
                <w:noProof/>
                <w:webHidden/>
              </w:rPr>
              <w:t>23</w:t>
            </w:r>
            <w:r w:rsidR="009F3607">
              <w:rPr>
                <w:noProof/>
                <w:webHidden/>
              </w:rPr>
              <w:fldChar w:fldCharType="end"/>
            </w:r>
          </w:hyperlink>
        </w:p>
        <w:p w14:paraId="1F1D455D" w14:textId="089BE4F5"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21" w:history="1">
            <w:r w:rsidR="009F3607" w:rsidRPr="009F6839">
              <w:rPr>
                <w:rStyle w:val="Hyperlink"/>
                <w:noProof/>
              </w:rPr>
              <w:t>4.3 Resources and Feasibility</w:t>
            </w:r>
            <w:r w:rsidR="009F3607">
              <w:rPr>
                <w:noProof/>
                <w:webHidden/>
              </w:rPr>
              <w:tab/>
            </w:r>
            <w:r w:rsidR="009F3607">
              <w:rPr>
                <w:noProof/>
                <w:webHidden/>
              </w:rPr>
              <w:fldChar w:fldCharType="begin"/>
            </w:r>
            <w:r w:rsidR="009F3607">
              <w:rPr>
                <w:noProof/>
                <w:webHidden/>
              </w:rPr>
              <w:instrText xml:space="preserve"> PAGEREF _Toc225816421 \h </w:instrText>
            </w:r>
            <w:r w:rsidR="009F3607">
              <w:rPr>
                <w:noProof/>
                <w:webHidden/>
              </w:rPr>
            </w:r>
            <w:r w:rsidR="009F3607">
              <w:rPr>
                <w:noProof/>
                <w:webHidden/>
              </w:rPr>
              <w:fldChar w:fldCharType="separate"/>
            </w:r>
            <w:r w:rsidR="00086C29">
              <w:rPr>
                <w:noProof/>
                <w:webHidden/>
              </w:rPr>
              <w:t>24</w:t>
            </w:r>
            <w:r w:rsidR="009F3607">
              <w:rPr>
                <w:noProof/>
                <w:webHidden/>
              </w:rPr>
              <w:fldChar w:fldCharType="end"/>
            </w:r>
          </w:hyperlink>
        </w:p>
        <w:p w14:paraId="40FAC68B" w14:textId="45835DA2" w:rsidR="009F3607" w:rsidRDefault="00000000"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hyperlink w:anchor="_Toc225816422" w:history="1">
            <w:r w:rsidR="009F3607" w:rsidRPr="009F6839">
              <w:rPr>
                <w:rStyle w:val="Hyperlink"/>
                <w:noProof/>
              </w:rPr>
              <w:t>Reference List</w:t>
            </w:r>
            <w:r w:rsidR="009F3607">
              <w:rPr>
                <w:noProof/>
                <w:webHidden/>
              </w:rPr>
              <w:tab/>
            </w:r>
            <w:r w:rsidR="009F3607">
              <w:rPr>
                <w:noProof/>
                <w:webHidden/>
              </w:rPr>
              <w:fldChar w:fldCharType="begin"/>
            </w:r>
            <w:r w:rsidR="009F3607">
              <w:rPr>
                <w:noProof/>
                <w:webHidden/>
              </w:rPr>
              <w:instrText xml:space="preserve"> PAGEREF _Toc225816422 \h </w:instrText>
            </w:r>
            <w:r w:rsidR="009F3607">
              <w:rPr>
                <w:noProof/>
                <w:webHidden/>
              </w:rPr>
            </w:r>
            <w:r w:rsidR="009F3607">
              <w:rPr>
                <w:noProof/>
                <w:webHidden/>
              </w:rPr>
              <w:fldChar w:fldCharType="separate"/>
            </w:r>
            <w:r w:rsidR="00086C29">
              <w:rPr>
                <w:noProof/>
                <w:webHidden/>
              </w:rPr>
              <w:t>26</w:t>
            </w:r>
            <w:r w:rsidR="009F3607">
              <w:rPr>
                <w:noProof/>
                <w:webHidden/>
              </w:rPr>
              <w:fldChar w:fldCharType="end"/>
            </w:r>
          </w:hyperlink>
        </w:p>
        <w:p w14:paraId="6F9FA074" w14:textId="6F0E2781" w:rsidR="009F3607" w:rsidRDefault="00000000" w:rsidP="00086C29">
          <w:pPr>
            <w:pStyle w:val="TOC1"/>
            <w:tabs>
              <w:tab w:val="right" w:leader="dot" w:pos="9196"/>
            </w:tabs>
            <w:spacing w:after="120" w:line="480" w:lineRule="auto"/>
            <w:rPr>
              <w:rFonts w:asciiTheme="minorHAnsi" w:eastAsiaTheme="minorEastAsia" w:hAnsiTheme="minorHAnsi" w:cstheme="minorBidi"/>
              <w:noProof/>
              <w:color w:val="auto"/>
              <w:lang w:eastAsia="zh-CN"/>
            </w:rPr>
          </w:pPr>
          <w:hyperlink w:anchor="_Toc225816423" w:history="1">
            <w:r w:rsidR="009F3607" w:rsidRPr="009F6839">
              <w:rPr>
                <w:rStyle w:val="Hyperlink"/>
                <w:noProof/>
              </w:rPr>
              <w:t>Appendices</w:t>
            </w:r>
            <w:r w:rsidR="009F3607">
              <w:rPr>
                <w:noProof/>
                <w:webHidden/>
              </w:rPr>
              <w:tab/>
            </w:r>
            <w:r w:rsidR="009F3607">
              <w:rPr>
                <w:noProof/>
                <w:webHidden/>
              </w:rPr>
              <w:fldChar w:fldCharType="begin"/>
            </w:r>
            <w:r w:rsidR="009F3607">
              <w:rPr>
                <w:noProof/>
                <w:webHidden/>
              </w:rPr>
              <w:instrText xml:space="preserve"> PAGEREF _Toc225816423 \h </w:instrText>
            </w:r>
            <w:r w:rsidR="009F3607">
              <w:rPr>
                <w:noProof/>
                <w:webHidden/>
              </w:rPr>
            </w:r>
            <w:r w:rsidR="009F3607">
              <w:rPr>
                <w:noProof/>
                <w:webHidden/>
              </w:rPr>
              <w:fldChar w:fldCharType="separate"/>
            </w:r>
            <w:r w:rsidR="00086C29">
              <w:rPr>
                <w:noProof/>
                <w:webHidden/>
              </w:rPr>
              <w:t>32</w:t>
            </w:r>
            <w:r w:rsidR="009F3607">
              <w:rPr>
                <w:noProof/>
                <w:webHidden/>
              </w:rPr>
              <w:fldChar w:fldCharType="end"/>
            </w:r>
          </w:hyperlink>
        </w:p>
        <w:p w14:paraId="59DB79CD" w14:textId="7B7A15CA"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24" w:history="1">
            <w:r w:rsidR="009F3607" w:rsidRPr="009F6839">
              <w:rPr>
                <w:rStyle w:val="Hyperlink"/>
                <w:noProof/>
              </w:rPr>
              <w:t>Appendix A: Draft Semi-Structured Interview Guide</w:t>
            </w:r>
            <w:r w:rsidR="009F3607">
              <w:rPr>
                <w:noProof/>
                <w:webHidden/>
              </w:rPr>
              <w:tab/>
            </w:r>
            <w:r w:rsidR="009F3607">
              <w:rPr>
                <w:noProof/>
                <w:webHidden/>
              </w:rPr>
              <w:fldChar w:fldCharType="begin"/>
            </w:r>
            <w:r w:rsidR="009F3607">
              <w:rPr>
                <w:noProof/>
                <w:webHidden/>
              </w:rPr>
              <w:instrText xml:space="preserve"> PAGEREF _Toc225816424 \h </w:instrText>
            </w:r>
            <w:r w:rsidR="009F3607">
              <w:rPr>
                <w:noProof/>
                <w:webHidden/>
              </w:rPr>
            </w:r>
            <w:r w:rsidR="009F3607">
              <w:rPr>
                <w:noProof/>
                <w:webHidden/>
              </w:rPr>
              <w:fldChar w:fldCharType="separate"/>
            </w:r>
            <w:r w:rsidR="00086C29">
              <w:rPr>
                <w:noProof/>
                <w:webHidden/>
              </w:rPr>
              <w:t>32</w:t>
            </w:r>
            <w:r w:rsidR="009F3607">
              <w:rPr>
                <w:noProof/>
                <w:webHidden/>
              </w:rPr>
              <w:fldChar w:fldCharType="end"/>
            </w:r>
          </w:hyperlink>
        </w:p>
        <w:p w14:paraId="53DC8A75" w14:textId="23051661" w:rsidR="009F3607" w:rsidRDefault="00000000" w:rsidP="00086C29">
          <w:pPr>
            <w:pStyle w:val="TOC2"/>
            <w:tabs>
              <w:tab w:val="right" w:leader="dot" w:pos="9196"/>
            </w:tabs>
            <w:spacing w:after="120" w:line="480" w:lineRule="auto"/>
            <w:rPr>
              <w:rFonts w:asciiTheme="minorHAnsi" w:eastAsiaTheme="minorEastAsia" w:hAnsiTheme="minorHAnsi" w:cstheme="minorBidi"/>
              <w:noProof/>
              <w:color w:val="auto"/>
              <w:lang w:eastAsia="zh-CN"/>
            </w:rPr>
          </w:pPr>
          <w:hyperlink w:anchor="_Toc225816425" w:history="1">
            <w:r w:rsidR="009F3607" w:rsidRPr="009F6839">
              <w:rPr>
                <w:rStyle w:val="Hyperlink"/>
                <w:noProof/>
              </w:rPr>
              <w:t>Appendix B: Illustrative Coding Example - Reflexive Thematic Analysis</w:t>
            </w:r>
            <w:r w:rsidR="009F3607">
              <w:rPr>
                <w:noProof/>
                <w:webHidden/>
              </w:rPr>
              <w:tab/>
            </w:r>
            <w:r w:rsidR="009F3607">
              <w:rPr>
                <w:noProof/>
                <w:webHidden/>
              </w:rPr>
              <w:fldChar w:fldCharType="begin"/>
            </w:r>
            <w:r w:rsidR="009F3607">
              <w:rPr>
                <w:noProof/>
                <w:webHidden/>
              </w:rPr>
              <w:instrText xml:space="preserve"> PAGEREF _Toc225816425 \h </w:instrText>
            </w:r>
            <w:r w:rsidR="009F3607">
              <w:rPr>
                <w:noProof/>
                <w:webHidden/>
              </w:rPr>
            </w:r>
            <w:r w:rsidR="009F3607">
              <w:rPr>
                <w:noProof/>
                <w:webHidden/>
              </w:rPr>
              <w:fldChar w:fldCharType="separate"/>
            </w:r>
            <w:r w:rsidR="00086C29">
              <w:rPr>
                <w:noProof/>
                <w:webHidden/>
              </w:rPr>
              <w:t>32</w:t>
            </w:r>
            <w:r w:rsidR="009F3607">
              <w:rPr>
                <w:noProof/>
                <w:webHidden/>
              </w:rPr>
              <w:fldChar w:fldCharType="end"/>
            </w:r>
          </w:hyperlink>
        </w:p>
        <w:p w14:paraId="7871A0E9" w14:textId="2EB6344B" w:rsidR="002543CA" w:rsidRDefault="002543CA" w:rsidP="00086C29">
          <w:pPr>
            <w:spacing w:after="120" w:line="480" w:lineRule="auto"/>
          </w:pPr>
          <w:r>
            <w:rPr>
              <w:b/>
              <w:bCs/>
              <w:noProof/>
            </w:rPr>
            <w:fldChar w:fldCharType="end"/>
          </w:r>
        </w:p>
      </w:sdtContent>
    </w:sdt>
    <w:p w14:paraId="47225243" w14:textId="60034DAB" w:rsidR="009773C8" w:rsidRDefault="009773C8" w:rsidP="00086C29">
      <w:pPr>
        <w:spacing w:after="120" w:line="480" w:lineRule="auto"/>
      </w:pPr>
    </w:p>
    <w:p w14:paraId="47225244" w14:textId="77777777" w:rsidR="009773C8" w:rsidRDefault="00C64280" w:rsidP="00086C29">
      <w:pPr>
        <w:spacing w:after="120" w:line="480" w:lineRule="auto"/>
      </w:pPr>
      <w:r>
        <w:br w:type="page"/>
      </w:r>
    </w:p>
    <w:p w14:paraId="47225245" w14:textId="77777777" w:rsidR="009773C8" w:rsidRDefault="00C64280" w:rsidP="00086C29">
      <w:pPr>
        <w:pStyle w:val="Heading1"/>
        <w:spacing w:before="0" w:after="120" w:line="480" w:lineRule="auto"/>
      </w:pPr>
      <w:bookmarkStart w:id="2" w:name="_Toc225816389"/>
      <w:r>
        <w:lastRenderedPageBreak/>
        <w:t>Section 1: Introduction</w:t>
      </w:r>
      <w:bookmarkEnd w:id="2"/>
    </w:p>
    <w:p w14:paraId="47225246" w14:textId="77777777" w:rsidR="009773C8" w:rsidRDefault="00C64280" w:rsidP="00086C29">
      <w:pPr>
        <w:pStyle w:val="Heading2"/>
        <w:spacing w:before="0" w:line="480" w:lineRule="auto"/>
      </w:pPr>
      <w:bookmarkStart w:id="3" w:name="_Toc225816390"/>
      <w:r>
        <w:t>1.1 Contextual Background</w:t>
      </w:r>
      <w:bookmarkEnd w:id="3"/>
    </w:p>
    <w:p w14:paraId="47225247" w14:textId="3FD1F615" w:rsidR="009773C8" w:rsidRDefault="00A71E5E" w:rsidP="00086C29">
      <w:pPr>
        <w:spacing w:after="120" w:line="480" w:lineRule="auto"/>
        <w:jc w:val="both"/>
      </w:pPr>
      <w:r w:rsidRPr="00A71E5E">
        <w:t xml:space="preserve">The NHS in England is experiencing one of the most severe workforce issues in its history. According to Gautam, Nazir, and Zhu (2026), one such compounding problem is </w:t>
      </w:r>
      <w:r w:rsidR="00FB0B39">
        <w:t>integrating leadership culture with</w:t>
      </w:r>
      <w:r w:rsidRPr="00A71E5E">
        <w:t xml:space="preserve"> workforce engagement. The NHS Staff Survey 2024 (NHS, 2025) indicates that even five years on, dissatisfaction with the work pattern remains a prevalent issue</w:t>
      </w:r>
      <w:r w:rsidR="00FB0B39">
        <w:t>. However,</w:t>
      </w:r>
      <w:r w:rsidRPr="00A71E5E">
        <w:t xml:space="preserve"> due to </w:t>
      </w:r>
      <w:r w:rsidR="00FB0B39">
        <w:t>the policy's intent</w:t>
      </w:r>
      <w:r w:rsidRPr="00A71E5E">
        <w:t xml:space="preserve"> </w:t>
      </w:r>
      <w:r w:rsidR="001915D3">
        <w:t>and</w:t>
      </w:r>
      <w:r w:rsidRPr="00A71E5E">
        <w:t xml:space="preserve"> its effect on the employee, policy and experience begin to diverge.</w:t>
      </w:r>
    </w:p>
    <w:p w14:paraId="47225248" w14:textId="77777777" w:rsidR="009773C8" w:rsidRDefault="00C64280" w:rsidP="00086C29">
      <w:pPr>
        <w:pStyle w:val="Heading2"/>
        <w:spacing w:before="0" w:line="480" w:lineRule="auto"/>
      </w:pPr>
      <w:bookmarkStart w:id="4" w:name="_Toc225816391"/>
      <w:r>
        <w:t>1.2 Statement of the Research Problem</w:t>
      </w:r>
      <w:bookmarkEnd w:id="4"/>
    </w:p>
    <w:p w14:paraId="47225249" w14:textId="737A17D0" w:rsidR="009773C8" w:rsidRDefault="00FB0B39" w:rsidP="00086C29">
      <w:pPr>
        <w:spacing w:after="120" w:line="480" w:lineRule="auto"/>
        <w:jc w:val="both"/>
      </w:pPr>
      <w:r>
        <w:t>Despite the formal expansion of WLB provisions, there has been a gap between their provision and utilisation</w:t>
      </w:r>
      <w:r w:rsidR="00A71E5E" w:rsidRPr="00A71E5E">
        <w:t xml:space="preserve">. According to McDonald, Brown, and Bradley (2005), there are managerial and structural obstacles to access, and according to Dick (2009), formal flexibility is filtered by managerial discretion into disproportionate outcomes. The overall question is not </w:t>
      </w:r>
      <w:r>
        <w:t xml:space="preserve">about the existence of WLB policies but about their experience, either </w:t>
      </w:r>
      <w:r w:rsidR="001915D3">
        <w:t xml:space="preserve">sincere or a </w:t>
      </w:r>
      <w:r>
        <w:t>form of tokenism</w:t>
      </w:r>
      <w:r w:rsidR="00A71E5E" w:rsidRPr="00A71E5E">
        <w:t>.</w:t>
      </w:r>
    </w:p>
    <w:p w14:paraId="4722524A" w14:textId="77777777" w:rsidR="009773C8" w:rsidRDefault="00C64280" w:rsidP="00086C29">
      <w:pPr>
        <w:pStyle w:val="Heading2"/>
        <w:spacing w:before="0" w:line="480" w:lineRule="auto"/>
      </w:pPr>
      <w:bookmarkStart w:id="5" w:name="_Toc225816392"/>
      <w:r>
        <w:t>1.3 Significance of the Research</w:t>
      </w:r>
      <w:bookmarkEnd w:id="5"/>
    </w:p>
    <w:p w14:paraId="4722524B" w14:textId="638A10E3" w:rsidR="009773C8" w:rsidRDefault="00A71E5E" w:rsidP="00086C29">
      <w:pPr>
        <w:spacing w:after="120" w:line="480" w:lineRule="auto"/>
        <w:jc w:val="both"/>
      </w:pPr>
      <w:r w:rsidRPr="00A71E5E">
        <w:t xml:space="preserve">It is strategically important to understand the experience of the WLB policy. According to Maslach and Leiter (2016), chronic burnout is </w:t>
      </w:r>
      <w:r w:rsidR="00FB0B39">
        <w:t>associated with</w:t>
      </w:r>
      <w:r w:rsidRPr="00A71E5E">
        <w:t xml:space="preserve"> undermining of affective commitment and voluntary exit. </w:t>
      </w:r>
      <w:r w:rsidR="00FB0B39">
        <w:t xml:space="preserve">According to Hobfoll (1989), resource-threatened workers are expected to invest in self-protection rather than in </w:t>
      </w:r>
      <w:r w:rsidRPr="00A71E5E">
        <w:t xml:space="preserve">the organisation. Although NHS England (2025) states better retention, these numbers conceal occupational differences that require a more detailed description. Yamoah (2025) </w:t>
      </w:r>
      <w:r w:rsidR="00FB0B39">
        <w:t xml:space="preserve">demonstrates that WLB is a strategic resource, making genuine implementation </w:t>
      </w:r>
      <w:r w:rsidRPr="00A71E5E">
        <w:t>a priority for the workforce.</w:t>
      </w:r>
    </w:p>
    <w:p w14:paraId="2B7E763B" w14:textId="77777777" w:rsidR="00086C29" w:rsidRDefault="00086C29" w:rsidP="00086C29">
      <w:pPr>
        <w:spacing w:after="120" w:line="480" w:lineRule="auto"/>
        <w:jc w:val="both"/>
      </w:pPr>
    </w:p>
    <w:p w14:paraId="35571CBE" w14:textId="77777777" w:rsidR="00086C29" w:rsidRDefault="00086C29" w:rsidP="00086C29">
      <w:pPr>
        <w:spacing w:after="120" w:line="480" w:lineRule="auto"/>
        <w:jc w:val="both"/>
      </w:pPr>
    </w:p>
    <w:p w14:paraId="5F6F4643" w14:textId="77777777" w:rsidR="00086C29" w:rsidRDefault="00086C29" w:rsidP="00086C29">
      <w:pPr>
        <w:spacing w:after="120" w:line="480" w:lineRule="auto"/>
        <w:jc w:val="both"/>
      </w:pPr>
    </w:p>
    <w:p w14:paraId="4722524C" w14:textId="77777777" w:rsidR="009773C8" w:rsidRDefault="00C64280" w:rsidP="00086C29">
      <w:pPr>
        <w:pStyle w:val="Heading2"/>
        <w:spacing w:before="0" w:line="276" w:lineRule="auto"/>
      </w:pPr>
      <w:bookmarkStart w:id="6" w:name="_Toc225816393"/>
      <w:r>
        <w:lastRenderedPageBreak/>
        <w:t>1.4 Definition of Key Terms</w:t>
      </w:r>
      <w:bookmarkEnd w:id="6"/>
    </w:p>
    <w:p w14:paraId="7518A5C6" w14:textId="6251D5FE" w:rsidR="0090675B" w:rsidRDefault="00CC2FCC" w:rsidP="00086C29">
      <w:pPr>
        <w:pStyle w:val="ListParagraph"/>
        <w:spacing w:line="360" w:lineRule="auto"/>
      </w:pPr>
      <w:r w:rsidRPr="00CC2FCC">
        <w:rPr>
          <w:noProof/>
          <w:lang w:eastAsia="zh-CN"/>
        </w:rPr>
        <w:drawing>
          <wp:inline distT="0" distB="0" distL="0" distR="0" wp14:anchorId="78AE4101" wp14:editId="5000AAD7">
            <wp:extent cx="5763429" cy="3219899"/>
            <wp:effectExtent l="0" t="0" r="8890" b="0"/>
            <wp:docPr id="35893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33658" name=""/>
                    <pic:cNvPicPr/>
                  </pic:nvPicPr>
                  <pic:blipFill>
                    <a:blip r:embed="rId9"/>
                    <a:stretch>
                      <a:fillRect/>
                    </a:stretch>
                  </pic:blipFill>
                  <pic:spPr>
                    <a:xfrm>
                      <a:off x="0" y="0"/>
                      <a:ext cx="5763429" cy="3219899"/>
                    </a:xfrm>
                    <a:prstGeom prst="rect">
                      <a:avLst/>
                    </a:prstGeom>
                  </pic:spPr>
                </pic:pic>
              </a:graphicData>
            </a:graphic>
          </wp:inline>
        </w:drawing>
      </w:r>
    </w:p>
    <w:p w14:paraId="4722525C" w14:textId="77777777" w:rsidR="009773C8" w:rsidRDefault="00C64280" w:rsidP="00086C29">
      <w:pPr>
        <w:spacing w:line="360" w:lineRule="auto"/>
        <w:jc w:val="center"/>
      </w:pPr>
      <w:r>
        <w:rPr>
          <w:i/>
          <w:iCs/>
          <w:color w:val="595959"/>
        </w:rPr>
        <w:t>Table 1: Definition of key terms</w:t>
      </w:r>
    </w:p>
    <w:p w14:paraId="4722525D" w14:textId="77777777" w:rsidR="009773C8" w:rsidRDefault="00C64280" w:rsidP="00086C29">
      <w:pPr>
        <w:pStyle w:val="Heading2"/>
        <w:spacing w:before="0" w:after="0" w:line="360" w:lineRule="auto"/>
      </w:pPr>
      <w:bookmarkStart w:id="7" w:name="_Toc225816394"/>
      <w:r>
        <w:t>1.5 Research Aim</w:t>
      </w:r>
      <w:bookmarkEnd w:id="7"/>
    </w:p>
    <w:p w14:paraId="4722525E" w14:textId="394A08D1" w:rsidR="009773C8" w:rsidRDefault="00345CEB" w:rsidP="00086C29">
      <w:pPr>
        <w:spacing w:line="480" w:lineRule="auto"/>
        <w:jc w:val="both"/>
      </w:pPr>
      <w:r w:rsidRPr="00345CEB">
        <w:t xml:space="preserve">The proposed study will examine the lived experiences of NHS employees </w:t>
      </w:r>
      <w:r w:rsidR="00FB0B39">
        <w:t>regarding WLB policies and explore the impacts of those experiences on organisational commitment across</w:t>
      </w:r>
      <w:r w:rsidRPr="00345CEB">
        <w:t xml:space="preserve"> NHS England and NHS Foundation Trusts.</w:t>
      </w:r>
    </w:p>
    <w:p w14:paraId="4722525F" w14:textId="77777777" w:rsidR="009773C8" w:rsidRDefault="00C64280" w:rsidP="00086C29">
      <w:pPr>
        <w:pStyle w:val="Heading2"/>
        <w:spacing w:before="0" w:line="276" w:lineRule="auto"/>
      </w:pPr>
      <w:bookmarkStart w:id="8" w:name="_Toc225816395"/>
      <w:r>
        <w:t>1.6 Research Objectives</w:t>
      </w:r>
      <w:bookmarkEnd w:id="8"/>
    </w:p>
    <w:p w14:paraId="1B38756A" w14:textId="7A399EE2" w:rsidR="00A8546C" w:rsidRDefault="00743684" w:rsidP="00086C29">
      <w:pPr>
        <w:spacing w:after="120" w:line="480" w:lineRule="auto"/>
        <w:jc w:val="center"/>
        <w:rPr>
          <w:i/>
          <w:iCs/>
          <w:color w:val="595959"/>
        </w:rPr>
      </w:pPr>
      <w:r w:rsidRPr="00743684">
        <w:rPr>
          <w:i/>
          <w:iCs/>
          <w:noProof/>
          <w:color w:val="595959"/>
          <w:lang w:eastAsia="zh-CN"/>
        </w:rPr>
        <w:drawing>
          <wp:inline distT="0" distB="0" distL="0" distR="0" wp14:anchorId="0F91341F" wp14:editId="58D292B8">
            <wp:extent cx="5839640" cy="3096057"/>
            <wp:effectExtent l="0" t="0" r="8890" b="9525"/>
            <wp:docPr id="116429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9891" name=""/>
                    <pic:cNvPicPr/>
                  </pic:nvPicPr>
                  <pic:blipFill>
                    <a:blip r:embed="rId10"/>
                    <a:stretch>
                      <a:fillRect/>
                    </a:stretch>
                  </pic:blipFill>
                  <pic:spPr>
                    <a:xfrm>
                      <a:off x="0" y="0"/>
                      <a:ext cx="5839640" cy="3096057"/>
                    </a:xfrm>
                    <a:prstGeom prst="rect">
                      <a:avLst/>
                    </a:prstGeom>
                  </pic:spPr>
                </pic:pic>
              </a:graphicData>
            </a:graphic>
          </wp:inline>
        </w:drawing>
      </w:r>
    </w:p>
    <w:p w14:paraId="4722526F" w14:textId="68ABA07B" w:rsidR="009773C8" w:rsidRDefault="00C64280" w:rsidP="00086C29">
      <w:pPr>
        <w:spacing w:after="120" w:line="480" w:lineRule="auto"/>
        <w:jc w:val="center"/>
      </w:pPr>
      <w:r>
        <w:rPr>
          <w:i/>
          <w:iCs/>
          <w:color w:val="595959"/>
        </w:rPr>
        <w:t>Table 2: Research Objectives</w:t>
      </w:r>
    </w:p>
    <w:p w14:paraId="47225270" w14:textId="77777777" w:rsidR="009773C8" w:rsidRDefault="00C64280" w:rsidP="00086C29">
      <w:pPr>
        <w:pStyle w:val="Heading2"/>
        <w:spacing w:before="0" w:line="480" w:lineRule="auto"/>
      </w:pPr>
      <w:bookmarkStart w:id="9" w:name="_Toc225816396"/>
      <w:r>
        <w:lastRenderedPageBreak/>
        <w:t>1.7 Research Questions</w:t>
      </w:r>
      <w:bookmarkEnd w:id="9"/>
    </w:p>
    <w:p w14:paraId="4133E4B0" w14:textId="77777777" w:rsidR="00BD3EA2" w:rsidRDefault="00BD3EA2" w:rsidP="00086C29">
      <w:pPr>
        <w:spacing w:after="120" w:line="480" w:lineRule="auto"/>
        <w:jc w:val="both"/>
      </w:pPr>
      <w:r>
        <w:t>RQ1: What is the lived experience of WLB policies of NHS employees in the areas of nursing, administration, and allied health professionals?</w:t>
      </w:r>
    </w:p>
    <w:p w14:paraId="7ED90B4D" w14:textId="74A67FE8" w:rsidR="00BD3EA2" w:rsidRDefault="00BD3EA2" w:rsidP="00086C29">
      <w:pPr>
        <w:spacing w:after="120" w:line="480" w:lineRule="auto"/>
        <w:jc w:val="both"/>
      </w:pPr>
      <w:r>
        <w:t xml:space="preserve">RQ2: How are WLB policies viewed as substantive or tokenistic, and how </w:t>
      </w:r>
      <w:r w:rsidR="00FB0B39">
        <w:t>do organisational and managerial factors mediate such views</w:t>
      </w:r>
      <w:r>
        <w:t>?</w:t>
      </w:r>
    </w:p>
    <w:p w14:paraId="6793813B" w14:textId="77777777" w:rsidR="00BD3EA2" w:rsidRDefault="00BD3EA2" w:rsidP="00086C29">
      <w:pPr>
        <w:spacing w:after="120" w:line="480" w:lineRule="auto"/>
        <w:jc w:val="both"/>
      </w:pPr>
      <w:r>
        <w:t>RQ3: In what ways do WLB policy experiences affect affective, continuance, and normative organisational commitment of the employees within NHS settings?</w:t>
      </w:r>
    </w:p>
    <w:p w14:paraId="47225275" w14:textId="20D1A2CE" w:rsidR="009773C8" w:rsidRDefault="00BD3EA2" w:rsidP="00086C29">
      <w:pPr>
        <w:spacing w:after="120" w:line="480" w:lineRule="auto"/>
        <w:jc w:val="both"/>
      </w:pPr>
      <w:r>
        <w:t>RQ4: How much do the gender, caregiving issues, and post-COVID working expectations overlap with WLB policy experiences and outcomes of commitment?</w:t>
      </w:r>
      <w:r>
        <w:br w:type="page"/>
      </w:r>
    </w:p>
    <w:p w14:paraId="47225276" w14:textId="77777777" w:rsidR="009773C8" w:rsidRDefault="00C64280" w:rsidP="00086C29">
      <w:pPr>
        <w:pStyle w:val="Heading1"/>
        <w:spacing w:before="0" w:after="120" w:line="480" w:lineRule="auto"/>
      </w:pPr>
      <w:bookmarkStart w:id="10" w:name="_Toc225816397"/>
      <w:r>
        <w:lastRenderedPageBreak/>
        <w:t>Section 2: Literature Review</w:t>
      </w:r>
      <w:bookmarkEnd w:id="10"/>
    </w:p>
    <w:p w14:paraId="47225277" w14:textId="77777777" w:rsidR="009773C8" w:rsidRDefault="00C64280" w:rsidP="00086C29">
      <w:pPr>
        <w:pStyle w:val="Heading2"/>
        <w:spacing w:before="0" w:line="480" w:lineRule="auto"/>
      </w:pPr>
      <w:bookmarkStart w:id="11" w:name="_Toc225816398"/>
      <w:r>
        <w:t>2.1 Theoretical and Conceptual Foundations</w:t>
      </w:r>
      <w:bookmarkEnd w:id="11"/>
    </w:p>
    <w:p w14:paraId="47225278" w14:textId="77777777" w:rsidR="009773C8" w:rsidRDefault="00C64280" w:rsidP="00086C29">
      <w:pPr>
        <w:pStyle w:val="Heading3"/>
        <w:spacing w:before="0" w:after="120" w:line="480" w:lineRule="auto"/>
      </w:pPr>
      <w:bookmarkStart w:id="12" w:name="_Toc225816399"/>
      <w:r>
        <w:t>2.1.1 Work-Life Border Theory</w:t>
      </w:r>
      <w:bookmarkEnd w:id="12"/>
    </w:p>
    <w:p w14:paraId="53C9393A" w14:textId="7C24C2D7" w:rsidR="000C5E05" w:rsidRDefault="000C5E05" w:rsidP="00086C29">
      <w:pPr>
        <w:spacing w:after="120" w:line="480" w:lineRule="auto"/>
        <w:jc w:val="both"/>
      </w:pPr>
      <w:r>
        <w:t xml:space="preserve">The conceptualisation of work-life Border Theory, formulated by Clark (2000), assumes </w:t>
      </w:r>
      <w:r w:rsidR="00FB0B39">
        <w:t>that the boundary between work and personal life is</w:t>
      </w:r>
      <w:r>
        <w:t xml:space="preserve"> permeable, malleable, and negotiable. The workers are seen as </w:t>
      </w:r>
      <w:r w:rsidR="00FB0B39">
        <w:t xml:space="preserve">boundary crossers who move between work and home realms; the extent of their ability to cross </w:t>
      </w:r>
      <w:r>
        <w:t xml:space="preserve">boundaries is an initial factor in determining WLB satisfaction. The Clark framework can be used to </w:t>
      </w:r>
      <w:r w:rsidR="00FB0B39">
        <w:t>provide specific vocabulary for interpreting participant accounts in an NHS environment where shift work and on-call duties are routine</w:t>
      </w:r>
      <w:r w:rsidR="001915D3">
        <w:t>,</w:t>
      </w:r>
      <w:r w:rsidR="00FB0B39">
        <w:t xml:space="preserve"> and domain boundaries tend to be blurred</w:t>
      </w:r>
      <w:r>
        <w:t xml:space="preserve">. The theory </w:t>
      </w:r>
      <w:r w:rsidR="00FB0B39">
        <w:t>holds that employees whose borders are viewed as created by managerial or operational compulsions rather than personal choice will report lower satisfaction, even when what official policy says is directly applicable, even</w:t>
      </w:r>
      <w:r>
        <w:t xml:space="preserve"> in the face of impractical constraints.</w:t>
      </w:r>
    </w:p>
    <w:p w14:paraId="4722527A" w14:textId="583B6542" w:rsidR="009773C8" w:rsidRDefault="000C5E05" w:rsidP="00086C29">
      <w:pPr>
        <w:spacing w:after="120" w:line="480" w:lineRule="auto"/>
        <w:jc w:val="both"/>
      </w:pPr>
      <w:r>
        <w:t xml:space="preserve">Adisa, Gbadamosi, and Osabutey (2017) build </w:t>
      </w:r>
      <w:r w:rsidR="001915D3">
        <w:t>on Clark's model in an empirical study that establishes that mobile information technology blurs the boundaries between work and life and creates boundary conflict among employees who lack</w:t>
      </w:r>
      <w:r>
        <w:t xml:space="preserve"> control over their digital connections. Their results can be directly applied to </w:t>
      </w:r>
      <w:r w:rsidR="001915D3">
        <w:t>NHS contexts in which administrative staff receive out-of-hours communication very often, and clinicians are also supposed to be available outside contracted hours, a form of informal norm that the current policy on WLB has yet to address</w:t>
      </w:r>
      <w:r>
        <w:t xml:space="preserve"> properly. This implication of the </w:t>
      </w:r>
      <w:r w:rsidR="00FB0B39">
        <w:t xml:space="preserve">study is that the interview questions should not only explore formal policy awareness but also informal digital norms that have </w:t>
      </w:r>
      <w:r w:rsidR="001915D3">
        <w:t>enabled daily experiences of the border</w:t>
      </w:r>
      <w:r>
        <w:t>.</w:t>
      </w:r>
    </w:p>
    <w:p w14:paraId="4722527B" w14:textId="77777777" w:rsidR="009773C8" w:rsidRDefault="00C64280" w:rsidP="00086C29">
      <w:pPr>
        <w:pStyle w:val="Heading3"/>
        <w:spacing w:before="0" w:after="120" w:line="480" w:lineRule="auto"/>
      </w:pPr>
      <w:bookmarkStart w:id="13" w:name="_Toc225816400"/>
      <w:r>
        <w:t>2.1.2 Three-Component Organisational Commitment Model</w:t>
      </w:r>
      <w:bookmarkEnd w:id="13"/>
    </w:p>
    <w:p w14:paraId="61599868" w14:textId="7D699317" w:rsidR="00264931" w:rsidRDefault="00264931" w:rsidP="00086C29">
      <w:pPr>
        <w:spacing w:after="120" w:line="480" w:lineRule="auto"/>
        <w:jc w:val="both"/>
      </w:pPr>
      <w:r>
        <w:t xml:space="preserve">According to Meyer and Allen (1991), it is suggested by the authors that commitment is conceptually and empirically divided into three parts: affective commitment which refers to a feeling of emotional attachment and connection with the organisation; continuance commitment </w:t>
      </w:r>
      <w:r>
        <w:lastRenderedPageBreak/>
        <w:t xml:space="preserve">which refers to a calculative evaluation of the perceived costs of quitting; and normative commitment which refers to a sense of being obligated to stay and is usually based on internalised professional or ethical values. The aspects are independent of each other; an employee can have high affective and normative commitments </w:t>
      </w:r>
      <w:r w:rsidR="001915D3">
        <w:t>simultaneously, and they can have different implications for</w:t>
      </w:r>
      <w:r>
        <w:t xml:space="preserve"> retention behaviour and discretionary effort. The initial empirical basis </w:t>
      </w:r>
      <w:r w:rsidR="001915D3">
        <w:t>for the model is provided by Allen and Meyer (1990), who demonstrate its</w:t>
      </w:r>
      <w:r>
        <w:t xml:space="preserve"> measurement properties</w:t>
      </w:r>
      <w:r w:rsidR="001915D3">
        <w:t>. Meyer et al. (2002) reported findings from more than 155 independent studies indicating that affective commitment is the most consistent predictor of low voluntary turnover and high discretionary effort. Thus,</w:t>
      </w:r>
      <w:r>
        <w:t xml:space="preserve"> it is the most strategically significant dimension in NHS retention studies.</w:t>
      </w:r>
    </w:p>
    <w:p w14:paraId="4722527D" w14:textId="030CE181" w:rsidR="009773C8" w:rsidRDefault="00264931" w:rsidP="00086C29">
      <w:pPr>
        <w:spacing w:after="120" w:line="480" w:lineRule="auto"/>
        <w:jc w:val="both"/>
      </w:pPr>
      <w:r>
        <w:t xml:space="preserve">The three-component model has also </w:t>
      </w:r>
      <w:r w:rsidR="001915D3">
        <w:t>received strong validation across both service and public-sector</w:t>
      </w:r>
      <w:r>
        <w:t xml:space="preserve"> environments. The </w:t>
      </w:r>
      <w:r w:rsidR="001915D3">
        <w:t>three-component</w:t>
      </w:r>
      <w:r>
        <w:t xml:space="preserve"> structure is confirmed by Azdha, Jusoh</w:t>
      </w:r>
      <w:r w:rsidR="001915D3">
        <w:t>, and Tham (2023) in the context of resort and hospitality settings, thereby demonstrating measurement equivalence with</w:t>
      </w:r>
      <w:r>
        <w:t xml:space="preserve"> the original scales by Meyer and Allen</w:t>
      </w:r>
      <w:r w:rsidR="001915D3">
        <w:t>. Still, Fantahun</w:t>
      </w:r>
      <w:r>
        <w:t xml:space="preserve"> et al. (2023) directly apply the model to health professionals in the public hospital setting, with working conditions and perceived organisational support showing strong predictors of the three commitment components. In particular, Bandyopadhyay (2024) </w:t>
      </w:r>
      <w:r w:rsidR="00FB0B39">
        <w:t>recognises</w:t>
      </w:r>
      <w:r>
        <w:t xml:space="preserve"> affective commitment as a mediating variable </w:t>
      </w:r>
      <w:r w:rsidR="001915D3">
        <w:t>linking job satisfaction and intent to stay among technical hospital employees, thereby establishing</w:t>
      </w:r>
      <w:r>
        <w:t xml:space="preserve"> a causal relationship that directly applies to the current research. All three dimensions of commitment will be used to interpret this study </w:t>
      </w:r>
      <w:r w:rsidR="00FB0B39">
        <w:t>and identify how the experience of WLB policy (whether it is perceived as an authentic investment</w:t>
      </w:r>
      <w:r>
        <w:t xml:space="preserve"> or wholly tokenistic) will influence commitment orientations differentially.</w:t>
      </w:r>
    </w:p>
    <w:p w14:paraId="4722527E" w14:textId="77777777" w:rsidR="009773C8" w:rsidRDefault="00C64280" w:rsidP="00086C29">
      <w:pPr>
        <w:pStyle w:val="Heading3"/>
        <w:spacing w:before="0" w:after="120" w:line="480" w:lineRule="auto"/>
      </w:pPr>
      <w:bookmarkStart w:id="14" w:name="_Toc225816401"/>
      <w:r>
        <w:t>2.1.3 Social Exchange Theory</w:t>
      </w:r>
      <w:bookmarkEnd w:id="14"/>
    </w:p>
    <w:p w14:paraId="399EDDBD" w14:textId="3FAB6B0C" w:rsidR="00191FA4" w:rsidRDefault="00191FA4" w:rsidP="00086C29">
      <w:pPr>
        <w:spacing w:after="120" w:line="480" w:lineRule="auto"/>
        <w:jc w:val="both"/>
      </w:pPr>
      <w:r>
        <w:t xml:space="preserve">A relational mechanism that converts the experiences gained in WLB policy to commitment orientations is the Social Exchange Theory (SET). Within an organisational context, SET believes that there are continuous mutual interactions between employees and their organisations: organisations that </w:t>
      </w:r>
      <w:r w:rsidR="00FB0B39">
        <w:t xml:space="preserve">demonstrate dedication to employee well-being </w:t>
      </w:r>
      <w:r>
        <w:t xml:space="preserve">are met with </w:t>
      </w:r>
      <w:r>
        <w:lastRenderedPageBreak/>
        <w:t xml:space="preserve">employee loyalty, engagement, and affectionate attachment (Chiniara and Bentein, 2018). The explanatory nature of the theory </w:t>
      </w:r>
      <w:r w:rsidR="001915D3">
        <w:t xml:space="preserve">lies in its description of the downstream outcomes of </w:t>
      </w:r>
      <w:r>
        <w:t xml:space="preserve">perceived reciprocity violations. When workers feel that organisational commitments, such as WLB commitments, are null, </w:t>
      </w:r>
      <w:r w:rsidR="00FB0B39">
        <w:t>inconsistently exploited, or role-unavailable, the exchange relationship would be disrupted, and the effects would be quantitatively measured in</w:t>
      </w:r>
      <w:r>
        <w:t xml:space="preserve"> commitment intention and retention intention.</w:t>
      </w:r>
    </w:p>
    <w:p w14:paraId="47225280" w14:textId="7FAB4E96" w:rsidR="009773C8" w:rsidRDefault="00191FA4" w:rsidP="00086C29">
      <w:pPr>
        <w:spacing w:after="120" w:line="480" w:lineRule="auto"/>
        <w:jc w:val="both"/>
      </w:pPr>
      <w:r>
        <w:t xml:space="preserve">Thompson, Beauvais, and Lyness (1999) prove that work-family culture, as the informal normative environment in which the WLB policy is executed, has more impact on organisational attachment than the formal text of the policy and, hence, two NHS Trusts having the same set of policy texts can produce fundamentally different outcomes of commitment. This is supported by Blair-Loy and Wharton (2002), who indicate that the making of organisational support to depend on formal provisions to feel organisational support depends on the decisive variables of manager support and peer norms. A combination of these studies transforms the object of study into a lived social environment </w:t>
      </w:r>
      <w:r w:rsidR="00FB0B39">
        <w:t>in which policy takes on</w:t>
      </w:r>
      <w:r>
        <w:t xml:space="preserve"> a true sense.</w:t>
      </w:r>
    </w:p>
    <w:p w14:paraId="31803F7F" w14:textId="43767F9C" w:rsidR="006D03A1" w:rsidRDefault="006D03A1" w:rsidP="00086C29">
      <w:pPr>
        <w:spacing w:after="120" w:line="480" w:lineRule="auto"/>
        <w:jc w:val="center"/>
      </w:pPr>
      <w:r>
        <w:rPr>
          <w:noProof/>
          <w:lang w:eastAsia="zh-CN"/>
        </w:rPr>
        <w:drawing>
          <wp:inline distT="0" distB="0" distL="0" distR="0" wp14:anchorId="340A533F" wp14:editId="404ACF86">
            <wp:extent cx="5571461" cy="338307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12443" cy="3407957"/>
                    </a:xfrm>
                    <a:prstGeom prst="rect">
                      <a:avLst/>
                    </a:prstGeom>
                  </pic:spPr>
                </pic:pic>
              </a:graphicData>
            </a:graphic>
          </wp:inline>
        </w:drawing>
      </w:r>
    </w:p>
    <w:p w14:paraId="47225286" w14:textId="7A64C2A6" w:rsidR="009773C8" w:rsidRDefault="00C64280" w:rsidP="00086C29">
      <w:pPr>
        <w:spacing w:after="120" w:line="480" w:lineRule="auto"/>
        <w:jc w:val="center"/>
      </w:pPr>
      <w:r>
        <w:rPr>
          <w:i/>
          <w:iCs/>
          <w:color w:val="595959"/>
        </w:rPr>
        <w:t>Figure 1: Conceptual framework linking WLB policy experience to organisational commitment</w:t>
      </w:r>
      <w:r w:rsidR="006D03A1">
        <w:rPr>
          <w:i/>
          <w:iCs/>
          <w:color w:val="595959"/>
        </w:rPr>
        <w:t xml:space="preserve"> (Self-Made)</w:t>
      </w:r>
    </w:p>
    <w:p w14:paraId="47225287" w14:textId="77777777" w:rsidR="009773C8" w:rsidRDefault="00C64280" w:rsidP="00086C29">
      <w:pPr>
        <w:pStyle w:val="Heading2"/>
        <w:spacing w:before="0" w:line="480" w:lineRule="auto"/>
      </w:pPr>
      <w:bookmarkStart w:id="15" w:name="_Toc225816402"/>
      <w:r>
        <w:lastRenderedPageBreak/>
        <w:t>2.2 WLB Policy: Provision, Utilisation, and the Gap Between Them</w:t>
      </w:r>
      <w:bookmarkEnd w:id="15"/>
    </w:p>
    <w:p w14:paraId="4D22294C" w14:textId="77777777" w:rsidR="00241B8F" w:rsidRDefault="00241B8F" w:rsidP="00086C29">
      <w:pPr>
        <w:spacing w:after="120" w:line="480" w:lineRule="auto"/>
        <w:jc w:val="both"/>
      </w:pPr>
      <w:r>
        <w:t>The official WLB structure of the NHS has increased significantly during the last decade. NHS Employers (2021) consider flexible working a strategic board-level priority, not a concession made by operations, whereas Beauregard and Henry (2009) believe that the mere existence of a policy does not automatically produce organisational or individual benefits, the key determining factors are the use of the policy by employees and its active encouragement by the organisational culture, with no social penalty. This difference between policy provision and policy experience is the analytical point of the current research. The three interlocking variables that create the provision-utilisation gap outlined by McDonald, Brown, and Bradley (2005) include the perceptions of career cost related to the flexibility use, the attitudes of the managers towards requests for flexible working, and the existing social norms in the workplace, which can indicate the signal of incompatibility of flexibility with the true commitment to the job.</w:t>
      </w:r>
    </w:p>
    <w:p w14:paraId="47225289" w14:textId="7F165869" w:rsidR="009773C8" w:rsidRDefault="00241B8F" w:rsidP="00086C29">
      <w:pPr>
        <w:spacing w:after="120" w:line="480" w:lineRule="auto"/>
        <w:jc w:val="both"/>
      </w:pPr>
      <w:r>
        <w:t xml:space="preserve">According to Collins (2008), there are systematic differences in managerial workforce perceptions between public sector </w:t>
      </w:r>
      <w:r w:rsidR="001915D3">
        <w:t>work settings and other aspects, and in the level of seniority in perceptions of resourcing, communication</w:t>
      </w:r>
      <w:r>
        <w:t xml:space="preserve">, and factual gatekeeping of WLB provisions. Dick (2009) reports working practices of this gatekeeping at the UK police service - a situationally similar frontline public sector workforce - that informally flexibilities were subjected to a systematic filtering on the part of the attitudes of individual line managers to produce the results of little account on formal policy entitlement. Ballantine, Wall, and Ward (2022) confirm this trend among top managers across the public sector and show that they are limited in their practical flexibility, despite </w:t>
      </w:r>
      <w:r w:rsidR="00FB0B39">
        <w:t>a policy nominally allowing</w:t>
      </w:r>
      <w:r>
        <w:t xml:space="preserve"> it, by the operational cultures of presenteeism and hierarchical demand management. The overall implication is that managerial discretion is a weakness of </w:t>
      </w:r>
      <w:r w:rsidR="00FB0B39">
        <w:t>the NHS WLB policy architecture, and that its study</w:t>
      </w:r>
      <w:r>
        <w:t xml:space="preserve"> is best achieved through qualitative inquiry.</w:t>
      </w:r>
    </w:p>
    <w:p w14:paraId="4722528A" w14:textId="77777777" w:rsidR="009773C8" w:rsidRDefault="00C64280" w:rsidP="00086C29">
      <w:pPr>
        <w:pStyle w:val="Heading2"/>
        <w:spacing w:before="0" w:line="480" w:lineRule="auto"/>
      </w:pPr>
      <w:bookmarkStart w:id="16" w:name="_Toc225816403"/>
      <w:r>
        <w:t>2.3 Controversy I: Work Intensification Versus Genuine Flexibility</w:t>
      </w:r>
      <w:bookmarkEnd w:id="16"/>
    </w:p>
    <w:p w14:paraId="455ED08E" w14:textId="0750DEFD" w:rsidR="00D5362A" w:rsidRDefault="00D5362A" w:rsidP="00086C29">
      <w:pPr>
        <w:spacing w:after="120" w:line="480" w:lineRule="auto"/>
        <w:jc w:val="both"/>
      </w:pPr>
      <w:r>
        <w:lastRenderedPageBreak/>
        <w:t xml:space="preserve">Among the biggest and least </w:t>
      </w:r>
      <w:r w:rsidR="00FB0B39">
        <w:t>recognised</w:t>
      </w:r>
      <w:r>
        <w:t xml:space="preserve"> controversies </w:t>
      </w:r>
      <w:r w:rsidR="00FB0B39">
        <w:t>in WLB research is that flexible work practices do not actually enhance employees' work-life balance, but instead duplicate and exacerbate the very issues they are</w:t>
      </w:r>
      <w:r>
        <w:t xml:space="preserve"> supposed to solve. Kelliher and Anderson (2010) argue most vehemently with their argument concerning the notion of flexible working within the context of professional services, in which they declare that when employees are given the flexibility, they often give it back in a reciprocity norm, which relates to working more, longer, and with more cognitive availability, as implied payment in response to the accommodation made. Their most interesting result, that flexible work tends to increase work, not decrease it, is a direct contradiction to the assumption that WLB directly translates into better employee experience.</w:t>
      </w:r>
    </w:p>
    <w:p w14:paraId="4722528C" w14:textId="4B79D5D4" w:rsidR="009773C8" w:rsidRDefault="00D5362A" w:rsidP="00086C29">
      <w:pPr>
        <w:spacing w:after="120" w:line="480" w:lineRule="auto"/>
        <w:jc w:val="both"/>
      </w:pPr>
      <w:r>
        <w:t xml:space="preserve">The post-COVID working demands also complicate this dynamic. In their longitudinal </w:t>
      </w:r>
      <w:r w:rsidR="00FB0B39">
        <w:t xml:space="preserve">study, Bloom et al. (2015) state that remote working can be effective in improving productivity and </w:t>
      </w:r>
      <w:r w:rsidR="001915D3">
        <w:t>well-being</w:t>
      </w:r>
      <w:r w:rsidR="00FB0B39">
        <w:t xml:space="preserve"> when implemented sincerely</w:t>
      </w:r>
      <w:r>
        <w:t xml:space="preserve">; however, they warn that culture and implementation fidelity are decisive. This is supported by Bhargavi (2025), who </w:t>
      </w:r>
      <w:r w:rsidR="00FB0B39">
        <w:t>found that post-pandemic arrangements yielded heterogeneous well-being,</w:t>
      </w:r>
      <w:r>
        <w:t xml:space="preserve"> associated with the intensity of managerial trust experienced. In the case of NHS research, the fundamental question is thus </w:t>
      </w:r>
      <w:r w:rsidR="00FB0B39">
        <w:t xml:space="preserve">whether workers utilising WLB schemes also report feeling an </w:t>
      </w:r>
      <w:r>
        <w:t>increased burden and whether this impacts their narratives of commitment.</w:t>
      </w:r>
    </w:p>
    <w:p w14:paraId="4722528D" w14:textId="77777777" w:rsidR="009773C8" w:rsidRDefault="00C64280" w:rsidP="00086C29">
      <w:pPr>
        <w:pStyle w:val="Heading2"/>
        <w:spacing w:before="0" w:line="480" w:lineRule="auto"/>
      </w:pPr>
      <w:bookmarkStart w:id="17" w:name="_Toc225816404"/>
      <w:r>
        <w:t>2.4 Controversy II: Flexibility Stigma and Managerial Gatekeeping</w:t>
      </w:r>
      <w:bookmarkEnd w:id="17"/>
    </w:p>
    <w:p w14:paraId="5D3F3D5E" w14:textId="4DEE4139" w:rsidR="00BA4F42" w:rsidRDefault="00BA4F42" w:rsidP="00086C29">
      <w:pPr>
        <w:spacing w:after="120" w:line="480" w:lineRule="auto"/>
        <w:jc w:val="both"/>
      </w:pPr>
      <w:r>
        <w:t xml:space="preserve">Williams, Blair-Loy, and Berdahl (2013) coined the term </w:t>
      </w:r>
      <w:r w:rsidR="00FB0B39">
        <w:t>"flexibility stigma" to explain how cultural schemas perceive employees who use flexible work</w:t>
      </w:r>
      <w:r>
        <w:t xml:space="preserve"> arrangements as less committed, less productive, and more incompetent. Significantly, they show that this stigma has maximum power in situations that are defined by a strong ideal worker norm -the belief that the true commitment to the organisation is only possible when a person is as available in time as possible. Their study shows that </w:t>
      </w:r>
      <w:r w:rsidR="001915D3">
        <w:t>stigma is not as widespread: it is more pronounced among employees in lower-status jobs and, intersectionally, among women with visible caregiving duties</w:t>
      </w:r>
      <w:r>
        <w:t>. This presents a structural paradox</w:t>
      </w:r>
      <w:r w:rsidR="00FB0B39">
        <w:t>: associating the most needful employees with WLB accommodation with the most at risk of cultural reversal</w:t>
      </w:r>
      <w:r>
        <w:t>.</w:t>
      </w:r>
    </w:p>
    <w:p w14:paraId="5E223263" w14:textId="6A9B372A" w:rsidR="00BA4F42" w:rsidRDefault="00BA4F42" w:rsidP="00086C29">
      <w:pPr>
        <w:spacing w:after="120" w:line="480" w:lineRule="auto"/>
        <w:jc w:val="both"/>
      </w:pPr>
      <w:r>
        <w:lastRenderedPageBreak/>
        <w:t>The theory of emotional labour</w:t>
      </w:r>
      <w:r w:rsidR="00FB0B39">
        <w:t>, developed by Arlie Russell Hochschild (1983),</w:t>
      </w:r>
      <w:r>
        <w:t xml:space="preserve"> is used to support this paradox. The management, suppression, and employment of emotional states as an aspect of professional role is constitutively mandatory among NHS employees, specifically nurses and allied health professionals. This diffused labour has an accumulating cost on individual resources that is </w:t>
      </w:r>
      <w:r w:rsidR="00FB0B39">
        <w:t xml:space="preserve">rarely recognised in </w:t>
      </w:r>
      <w:r>
        <w:t xml:space="preserve">official WLB models. The inauthenticity of policies that do not </w:t>
      </w:r>
      <w:r w:rsidR="00FB0B39">
        <w:t xml:space="preserve">account for the extra burden of emotional labour is experienced not only as a hassle by the administration but also </w:t>
      </w:r>
      <w:r>
        <w:t xml:space="preserve">as institutional non-recognition. The affective aspect of WLB policy experience, such as the extent to which employees perceive themselves as being noticed and </w:t>
      </w:r>
      <w:r w:rsidR="00FB0B39">
        <w:t>treated</w:t>
      </w:r>
      <w:r>
        <w:t xml:space="preserve"> as whole persons, is analytically central to </w:t>
      </w:r>
      <w:r w:rsidR="00FB0B39">
        <w:t>conceptualising</w:t>
      </w:r>
      <w:r>
        <w:t xml:space="preserve"> the relationship between the WLB experience and affective commitment.</w:t>
      </w:r>
    </w:p>
    <w:p w14:paraId="47225290" w14:textId="31F89C29" w:rsidR="009773C8" w:rsidRDefault="00BA4F42" w:rsidP="00086C29">
      <w:pPr>
        <w:spacing w:after="120" w:line="480" w:lineRule="auto"/>
        <w:jc w:val="both"/>
      </w:pPr>
      <w:r>
        <w:t xml:space="preserve">The flexibility stigma argument </w:t>
      </w:r>
      <w:r w:rsidR="00FB0B39">
        <w:t>is related to Kossek and Lautsch (2018), who illustrate their point</w:t>
      </w:r>
      <w:r>
        <w:t xml:space="preserve"> with a large-scale analysis and show that WLB flexibility is extremely stratified by occupational status. Employees of lower status, such as much of the NHS administrative and support staff, are always the ones who are least practically availed of flexibility provisions, even where formally they all have equal claims, due to the social and cultural situational factors that do not grant them the freedom to make practical use of the flexibility without stigma. Lyonette and Crompton (2014) even extend this to </w:t>
      </w:r>
      <w:r w:rsidR="00FB0B39">
        <w:t>the gendered division of labour in the home and discover that women in dual-earner</w:t>
      </w:r>
      <w:r>
        <w:t xml:space="preserve"> families still have a disproportionate caregiving burden, with implications that WLB policy stakes and meanings in the NHS workforce varied by gender. This is structurally supported </w:t>
      </w:r>
      <w:r w:rsidR="00FB0B39">
        <w:t xml:space="preserve">by the ONS (2024), which recorded inequalities in time use in the public sector that cut across </w:t>
      </w:r>
      <w:r>
        <w:t>gender and seniority lines.</w:t>
      </w:r>
    </w:p>
    <w:p w14:paraId="47225291" w14:textId="77777777" w:rsidR="009773C8" w:rsidRDefault="00C64280" w:rsidP="00086C29">
      <w:pPr>
        <w:pStyle w:val="Heading2"/>
        <w:spacing w:before="0" w:line="480" w:lineRule="auto"/>
      </w:pPr>
      <w:bookmarkStart w:id="18" w:name="_Toc225816405"/>
      <w:r>
        <w:t>2.5 Post-COVID Flexible Working and NHS Workforce Expectations</w:t>
      </w:r>
      <w:bookmarkEnd w:id="18"/>
    </w:p>
    <w:p w14:paraId="47225292" w14:textId="32C408F8" w:rsidR="009773C8" w:rsidRPr="00BA4F42" w:rsidRDefault="00BA4F42" w:rsidP="00086C29">
      <w:pPr>
        <w:spacing w:after="120" w:line="480" w:lineRule="auto"/>
        <w:jc w:val="both"/>
      </w:pPr>
      <w:r w:rsidRPr="00BA4F42">
        <w:t xml:space="preserve">Greenberg et al. (2020) </w:t>
      </w:r>
      <w:r w:rsidR="001915D3">
        <w:t xml:space="preserve">report the immense psychological price the pandemic imposes on NHS staff, which is multidimensional, whereas NIHR (2024) claims that organisational factors at the system level are critical to enhancing staff psychological well-being </w:t>
      </w:r>
      <w:r w:rsidRPr="00BA4F42">
        <w:t xml:space="preserve">in the post-pandemic phase. The pandemic established stratified WLB courses </w:t>
      </w:r>
      <w:r w:rsidR="00FB0B39">
        <w:t>across the NHS workforce: some administrative and allied health workers had access to hybrid or remote work</w:t>
      </w:r>
      <w:r w:rsidR="001915D3">
        <w:t>. In contrast,</w:t>
      </w:r>
      <w:r w:rsidR="00FB0B39">
        <w:t xml:space="preserve"> the </w:t>
      </w:r>
      <w:r w:rsidR="00FB0B39">
        <w:lastRenderedPageBreak/>
        <w:t xml:space="preserve">ward-based nursing workforce </w:t>
      </w:r>
      <w:r w:rsidR="001915D3">
        <w:t>was unable to address the situation due to increased demand without an equivalent reduction in WLB</w:t>
      </w:r>
      <w:r w:rsidRPr="00BA4F42">
        <w:t xml:space="preserve">. Using the Job Demands-Resources framework, Bakker and Demerouti (2017) anticipate that the lack of sufficient job resources, such as the supportive WLB provisions, will increasingly undermine the motivational engagement in the high-demand context, which directly applies to the case of the NHS nursing staff who will experience a reduction of job-related resources post-pandemics. This prediction is consistent with Harding et al. (2025) </w:t>
      </w:r>
      <w:r w:rsidR="001915D3">
        <w:t>'s recording of up-to-date rates of stress and burnout among NHS psychological professionals that are high enough to justify a</w:t>
      </w:r>
      <w:r w:rsidRPr="00BA4F42">
        <w:t xml:space="preserve"> systemic intervention.</w:t>
      </w:r>
    </w:p>
    <w:p w14:paraId="47225293" w14:textId="77777777" w:rsidR="009773C8" w:rsidRDefault="00C64280" w:rsidP="00086C29">
      <w:pPr>
        <w:pStyle w:val="Heading2"/>
        <w:spacing w:before="0" w:line="480" w:lineRule="auto"/>
      </w:pPr>
      <w:bookmarkStart w:id="19" w:name="_Toc225816406"/>
      <w:r>
        <w:t>2.6 Gender, Caregiving, and the Unequal Distribution of WLB Benefits</w:t>
      </w:r>
      <w:bookmarkEnd w:id="19"/>
    </w:p>
    <w:p w14:paraId="47225294" w14:textId="61E7ED06" w:rsidR="009773C8" w:rsidRPr="005C31D0" w:rsidRDefault="005C31D0" w:rsidP="00086C29">
      <w:pPr>
        <w:spacing w:after="120" w:line="480" w:lineRule="auto"/>
        <w:jc w:val="both"/>
      </w:pPr>
      <w:r w:rsidRPr="005C31D0">
        <w:t xml:space="preserve">Haar et al. (2014) show, based on 7 countries, that the moderating role of </w:t>
      </w:r>
      <w:r w:rsidR="001915D3">
        <w:t>caregiving obligations in mediating WLB outcomes is not methodologically sound, as it treats</w:t>
      </w:r>
      <w:r w:rsidRPr="005C31D0">
        <w:t xml:space="preserve"> employees as a homogeneous group. Women </w:t>
      </w:r>
      <w:r w:rsidR="001915D3">
        <w:t>with substantial caregiving responsibilities consistently report reduced WLB satisfaction despite extensive formal supports, suggesting that policy design undervalues the domestic role</w:t>
      </w:r>
      <w:r w:rsidRPr="005C31D0">
        <w:t xml:space="preserve">, which determines access. This is paralleled </w:t>
      </w:r>
      <w:r w:rsidR="00FB0B39">
        <w:t>by the domestic labour analysis by Lyonette and Crompton (2014) and has direct implications for an NHS workforce, where gendered caregiving provides a sense of the lived meaning of WLB entitlement</w:t>
      </w:r>
      <w:r w:rsidRPr="005C31D0">
        <w:t xml:space="preserve">. Crossingham et al. (2023) provide a valuable opposing </w:t>
      </w:r>
      <w:r w:rsidR="00FB0B39">
        <w:t>view, arguing that</w:t>
      </w:r>
      <w:r w:rsidRPr="005C31D0">
        <w:t xml:space="preserve"> NHS staff excellence is often associated with experienced recognition, which may result in an upward commitment spiral and a downward attrition spiral.</w:t>
      </w:r>
    </w:p>
    <w:p w14:paraId="47225295" w14:textId="77777777" w:rsidR="009773C8" w:rsidRDefault="00C64280" w:rsidP="00086C29">
      <w:pPr>
        <w:pStyle w:val="Heading2"/>
        <w:spacing w:before="0" w:line="480" w:lineRule="auto"/>
      </w:pPr>
      <w:bookmarkStart w:id="20" w:name="_Toc225816407"/>
      <w:r>
        <w:t>2.7 Identification of the Research Gap</w:t>
      </w:r>
      <w:bookmarkEnd w:id="20"/>
    </w:p>
    <w:p w14:paraId="47225297" w14:textId="5A5DCF13" w:rsidR="009773C8" w:rsidRDefault="005C31D0" w:rsidP="00086C29">
      <w:pPr>
        <w:spacing w:after="120" w:line="480" w:lineRule="auto"/>
        <w:jc w:val="both"/>
      </w:pPr>
      <w:r w:rsidRPr="005C31D0">
        <w:t xml:space="preserve">The above literature review provides a logical, theoretical, and empirical ground and, at the same time, exposes the gap in the study. However, although considerable amounts of research exist on WLB policy provisions, quantitative results on commitment outcomes and NHS institutional pressures, the absence of qualitative research focusing on the subjective, lived lives of NHS employees working in different roles, not to mention the investigation of the role of WLB policy authenticity in developing disparate commitment orientations, is still evident. Clarkson et </w:t>
      </w:r>
      <w:r w:rsidRPr="005C31D0">
        <w:lastRenderedPageBreak/>
        <w:t>al. (2023) and Gautam, Nazir and Zhu (2026) show the rich methodological and scholarly quality of the qualitative study of NHS staff experience, whereas Hobbs and Wood (2025), Sambrook et al. (2025) and Remnant et al. (2025) all find WLB-adjacent institutional support to be The proposed study fulfills this gap by examining the experiential and interpretive aspects of WLB policy within the NHS backgrounds, what the employees, representing three occupational groups, understand about what their organisations actually provide, and how this understanding relates to their place of belonging and commitment.</w:t>
      </w:r>
    </w:p>
    <w:p w14:paraId="47225298" w14:textId="77777777" w:rsidR="009773C8" w:rsidRDefault="00C64280" w:rsidP="00086C29">
      <w:pPr>
        <w:pStyle w:val="Heading1"/>
        <w:spacing w:before="0" w:after="120" w:line="480" w:lineRule="auto"/>
      </w:pPr>
      <w:bookmarkStart w:id="21" w:name="_Toc225816408"/>
      <w:r>
        <w:t>Section 3: Research Methodology</w:t>
      </w:r>
      <w:bookmarkEnd w:id="21"/>
    </w:p>
    <w:p w14:paraId="47225299" w14:textId="77777777" w:rsidR="009773C8" w:rsidRDefault="00C64280" w:rsidP="00086C29">
      <w:pPr>
        <w:pStyle w:val="Heading2"/>
        <w:spacing w:before="0" w:line="480" w:lineRule="auto"/>
      </w:pPr>
      <w:bookmarkStart w:id="22" w:name="_Toc225816409"/>
      <w:r>
        <w:t>3.1 Research Philosophy</w:t>
      </w:r>
      <w:bookmarkEnd w:id="22"/>
    </w:p>
    <w:p w14:paraId="4F0659D1" w14:textId="183EB5E8" w:rsidR="00DE585A" w:rsidRDefault="00DE585A" w:rsidP="00086C29">
      <w:pPr>
        <w:spacing w:after="120" w:line="480" w:lineRule="auto"/>
        <w:jc w:val="both"/>
      </w:pPr>
      <w:r>
        <w:t xml:space="preserve">The research philosophy chosen in this study is an interpretivist one, based on the belief that </w:t>
      </w:r>
      <w:r w:rsidR="00FB0B39">
        <w:t>social reality is subjectively created by individuals through</w:t>
      </w:r>
      <w:r>
        <w:t xml:space="preserve"> their personal definitions and experiences (Blaikie, 2010; Bryman, 2016). Interpretivism prefigures the subjectivity of employee sense-making</w:t>
      </w:r>
      <w:r w:rsidR="00FB0B39">
        <w:t xml:space="preserve"> and its contextual position, and does not attempt to quantify causal relationships in an objectivist manner</w:t>
      </w:r>
      <w:r>
        <w:t xml:space="preserve">. This approach is based on a constructivist ontology: </w:t>
      </w:r>
      <w:r w:rsidR="00FB0B39">
        <w:t>employees' knowledge of WLB policy is perceived as a constructed phenomenon formed through</w:t>
      </w:r>
      <w:r>
        <w:t xml:space="preserve"> interaction with coworkers, managers, and </w:t>
      </w:r>
      <w:r w:rsidR="00FB0B39">
        <w:t>organisational</w:t>
      </w:r>
      <w:r>
        <w:t xml:space="preserve"> culture (Creswell and Poth, 2023; Denzin and Lincoln, 2011). This aligns with the </w:t>
      </w:r>
      <w:r w:rsidR="00FB0B39">
        <w:t>study's interest in perceived authenticity and the emotional meaning of the WLB experience, which is not possible with</w:t>
      </w:r>
      <w:r>
        <w:t xml:space="preserve"> a standardised measure.</w:t>
      </w:r>
    </w:p>
    <w:p w14:paraId="4722529B" w14:textId="63489182" w:rsidR="009773C8" w:rsidRDefault="00DE585A" w:rsidP="00086C29">
      <w:pPr>
        <w:spacing w:after="120" w:line="480" w:lineRule="auto"/>
        <w:jc w:val="both"/>
      </w:pPr>
      <w:r>
        <w:t xml:space="preserve">The adopted epistemological stand is thus directly anti-positivist. The researcher will not </w:t>
      </w:r>
      <w:r w:rsidR="00FB0B39">
        <w:t>test hypotheses or prove causal relationships, but will create theoretically informed,</w:t>
      </w:r>
      <w:r>
        <w:t xml:space="preserve"> contextually sensitive knowledge about a complex social phenomenon. Singh and Mukhopadhyay (2020) recommend addressing homeless individuals' needs through a multifaceted approach that encompasses healthcare, social support, and financial resources</w:t>
      </w:r>
      <w:r w:rsidR="001915D3">
        <w:t>, such as housing and benefits,</w:t>
      </w:r>
      <w:r>
        <w:t xml:space="preserve"> to prevent crime and delinquency.&lt;|human|&gt;To curb crime and delinquency, Singh and Mukhopadhyay (2020) suggest that the needs of homeless people should be met with a multidim </w:t>
      </w:r>
      <w:r>
        <w:lastRenderedPageBreak/>
        <w:t>Ochieng (2009) insists that qualitative paradigms are best applicable in research questions where the emphasis is more on depth of contextual insight rather than statistical coverage, which is directly applicable to the study since the research problem has lived experience and sense-making as its main subject.</w:t>
      </w:r>
    </w:p>
    <w:p w14:paraId="4722529C" w14:textId="77777777" w:rsidR="009773C8" w:rsidRDefault="00C64280" w:rsidP="00086C29">
      <w:pPr>
        <w:pStyle w:val="Heading2"/>
        <w:spacing w:before="0" w:line="480" w:lineRule="auto"/>
      </w:pPr>
      <w:bookmarkStart w:id="23" w:name="_Toc225816410"/>
      <w:r>
        <w:t>3.2 Research Approach</w:t>
      </w:r>
      <w:bookmarkEnd w:id="23"/>
    </w:p>
    <w:p w14:paraId="4722529D" w14:textId="68125363" w:rsidR="009773C8" w:rsidRDefault="001915D3" w:rsidP="00086C29">
      <w:pPr>
        <w:spacing w:after="120" w:line="480" w:lineRule="auto"/>
        <w:jc w:val="both"/>
      </w:pPr>
      <w:r>
        <w:t>An inductive methodology is used: the research proceeds toward general conceptualisation, based on participants' specific accounts, and allows data to generate themes whilst maintaining</w:t>
      </w:r>
      <w:r w:rsidR="00DE585A" w:rsidRPr="00DE585A">
        <w:t xml:space="preserve"> theoretical sensitisation to the methodologies presented in Section 2. This is </w:t>
      </w:r>
      <w:r w:rsidR="00FB0B39">
        <w:t>in contrast to a deductive approach, which would be tested, prespecified</w:t>
      </w:r>
      <w:r w:rsidR="00DE585A" w:rsidRPr="00DE585A">
        <w:t>, and epistemologically consistent with positivist, quantitative enquiry. Work-Life Border Theory, the three-component model of commitment, and Social Exchange Theory serve as analytical sensitising lenses, but not code-setting frameworks, allowing participants to have their own framings and vocabularies but offering the interpretive scaffolds that can help identify the relationship between results and the existing body of research (Braun and Clarke, 2021).</w:t>
      </w:r>
    </w:p>
    <w:p w14:paraId="0C0901B7" w14:textId="5124D6A2" w:rsidR="006D03A1" w:rsidRDefault="006D03A1" w:rsidP="00086C29">
      <w:pPr>
        <w:spacing w:after="120" w:line="480" w:lineRule="auto"/>
        <w:jc w:val="center"/>
      </w:pPr>
      <w:r>
        <w:rPr>
          <w:noProof/>
          <w:lang w:eastAsia="zh-CN"/>
        </w:rPr>
        <w:drawing>
          <wp:inline distT="0" distB="0" distL="0" distR="0" wp14:anchorId="0D4AE390" wp14:editId="34391DC9">
            <wp:extent cx="3486150" cy="2657475"/>
            <wp:effectExtent l="0" t="0" r="0" b="9525"/>
            <wp:docPr id="10509834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3486557" cy="2657785"/>
                    </a:xfrm>
                    <a:prstGeom prst="rect">
                      <a:avLst/>
                    </a:prstGeom>
                    <a:noFill/>
                    <a:ln>
                      <a:noFill/>
                    </a:ln>
                    <a:extLst>
                      <a:ext uri="{53640926-AAD7-44D8-BBD7-CCE9431645EC}">
                        <a14:shadowObscured xmlns:a14="http://schemas.microsoft.com/office/drawing/2010/main"/>
                      </a:ext>
                    </a:extLst>
                  </pic:spPr>
                </pic:pic>
              </a:graphicData>
            </a:graphic>
          </wp:inline>
        </w:drawing>
      </w:r>
    </w:p>
    <w:p w14:paraId="472252A3" w14:textId="7807E3C6" w:rsidR="009773C8" w:rsidRDefault="00C64280" w:rsidP="00086C29">
      <w:pPr>
        <w:spacing w:after="120" w:line="480" w:lineRule="auto"/>
        <w:jc w:val="center"/>
      </w:pPr>
      <w:r>
        <w:rPr>
          <w:i/>
          <w:iCs/>
          <w:color w:val="595959"/>
        </w:rPr>
        <w:t xml:space="preserve">Figure 2: Research onion </w:t>
      </w:r>
      <w:r w:rsidR="00597D8F">
        <w:rPr>
          <w:i/>
          <w:iCs/>
          <w:color w:val="595959"/>
        </w:rPr>
        <w:t>-</w:t>
      </w:r>
      <w:r>
        <w:rPr>
          <w:i/>
          <w:iCs/>
          <w:color w:val="595959"/>
        </w:rPr>
        <w:t xml:space="preserve"> philosophical positioning (adapted from Saunders et al., 2023)</w:t>
      </w:r>
    </w:p>
    <w:p w14:paraId="472252A4" w14:textId="77777777" w:rsidR="009773C8" w:rsidRDefault="00C64280" w:rsidP="00086C29">
      <w:pPr>
        <w:pStyle w:val="Heading2"/>
        <w:spacing w:before="0" w:line="480" w:lineRule="auto"/>
      </w:pPr>
      <w:bookmarkStart w:id="24" w:name="_Toc225816411"/>
      <w:r>
        <w:t>3.3 Research Strategy and Methodological Choice</w:t>
      </w:r>
      <w:bookmarkEnd w:id="24"/>
    </w:p>
    <w:p w14:paraId="472252A5" w14:textId="4717827E" w:rsidR="009773C8" w:rsidRDefault="00AF6C28" w:rsidP="00086C29">
      <w:pPr>
        <w:spacing w:after="120" w:line="480" w:lineRule="auto"/>
        <w:jc w:val="both"/>
      </w:pPr>
      <w:r w:rsidRPr="00AF6C28">
        <w:lastRenderedPageBreak/>
        <w:t xml:space="preserve">The qualitative research design will be used, in accordance with the interpretivist paradigm and the </w:t>
      </w:r>
      <w:r w:rsidR="001915D3">
        <w:t>study's focus on meaning and experience</w:t>
      </w:r>
      <w:r w:rsidR="00FB0B39">
        <w:t xml:space="preserve"> rather than</w:t>
      </w:r>
      <w:r w:rsidRPr="00AF6C28">
        <w:t xml:space="preserve"> frequency of use and causal accuracy. Qualitative inquiry is epistemologically </w:t>
      </w:r>
      <w:r w:rsidR="00FB0B39">
        <w:t>suited to researching the subtle, context-sensitive, and, in many cases, internally contradictory ways in which people build and articulate their notions of</w:t>
      </w:r>
      <w:r w:rsidRPr="00AF6C28">
        <w:t xml:space="preserve"> organisational life (Gubrium, 2012). The design pays more attention to depth than to breadth and tries to extract contextually rich accounts using a purposively chosen sample (Ahmad and Wilkins, 2024). The semi-structured interviews are chosen as the primary method of data collection </w:t>
      </w:r>
      <w:r w:rsidR="00FB0B39">
        <w:t xml:space="preserve">because they offer a balance between the structural consistency of all research questions and the flexibility needed to investigate participants' individual narratives and priorities </w:t>
      </w:r>
      <w:r w:rsidRPr="00AF6C28">
        <w:t xml:space="preserve">(Smith, Flowers, and Larkin, 2022). Such an approach is </w:t>
      </w:r>
      <w:r w:rsidR="00FB0B39">
        <w:t>preferable to focus groups, which can be subject to social conformity pressures that may inhibit the open expression of WLB impediments, and to participant observation, which cannot reach the subjective understanding dimension that is the key focus</w:t>
      </w:r>
      <w:r w:rsidRPr="00AF6C28">
        <w:t xml:space="preserve"> of the proposed study.</w:t>
      </w:r>
    </w:p>
    <w:p w14:paraId="472252A6" w14:textId="77777777" w:rsidR="009773C8" w:rsidRDefault="00C64280" w:rsidP="00086C29">
      <w:pPr>
        <w:pStyle w:val="Heading2"/>
        <w:spacing w:before="0" w:line="480" w:lineRule="auto"/>
      </w:pPr>
      <w:bookmarkStart w:id="25" w:name="_Toc225816412"/>
      <w:r>
        <w:t>3.4 Critical Evaluation of the Methodology</w:t>
      </w:r>
      <w:bookmarkEnd w:id="25"/>
    </w:p>
    <w:p w14:paraId="472252A7" w14:textId="62674B2E" w:rsidR="009773C8" w:rsidRDefault="00FB0B39" w:rsidP="00086C29">
      <w:pPr>
        <w:spacing w:after="120" w:line="480" w:lineRule="auto"/>
        <w:jc w:val="both"/>
      </w:pPr>
      <w:r>
        <w:t>Every</w:t>
      </w:r>
      <w:r w:rsidR="0057095D" w:rsidRPr="0057095D">
        <w:t xml:space="preserve"> methodological decision comes at a cost, which one must accept with analytical integrity. Qualitative interpretivist design provides context and richness of interpretation but limits the extrapolation of results. The right quality criteria </w:t>
      </w:r>
      <w:r>
        <w:t>for qualitative research in a realist paradigm are credibility, transferability, dependability, and confirmability, as suggested by Healy and Perry (2000) - not to be confused with the scales of reliability and validity in</w:t>
      </w:r>
      <w:r w:rsidR="0057095D" w:rsidRPr="0057095D">
        <w:t xml:space="preserve"> a positivist design. The limited size of the purposive sample renders transferability, as the results will be analytically applicable to theory development but not statistically applicable to the NHS workforce in general. Social desirability effects </w:t>
      </w:r>
      <w:r>
        <w:t xml:space="preserve">pose a natural threat to data obtained through self-reported interviews, as participants might tone down damaging accounts of </w:t>
      </w:r>
      <w:r w:rsidR="0057095D" w:rsidRPr="0057095D">
        <w:t xml:space="preserve">management to avoid identifying themselves professionally. This risk shall be </w:t>
      </w:r>
      <w:r>
        <w:t>minimised</w:t>
      </w:r>
      <w:r w:rsidR="0057095D" w:rsidRPr="0057095D">
        <w:t xml:space="preserve"> by: secure anonymity measures, a setting where the participant chooses where to conduct the interview, neutral framing of the question, and applying critical incident prompting to the responses through the use of the </w:t>
      </w:r>
      <w:r w:rsidR="0057095D" w:rsidRPr="0057095D">
        <w:lastRenderedPageBreak/>
        <w:t xml:space="preserve">question, Can you describe a particular occasion when...? to </w:t>
      </w:r>
      <w:r>
        <w:t>contextualise</w:t>
      </w:r>
      <w:r w:rsidR="0057095D" w:rsidRPr="0057095D">
        <w:t xml:space="preserve"> the responses on solid experience as opposed to abstract judgment</w:t>
      </w:r>
      <w:r w:rsidR="0057095D">
        <w:t>.</w:t>
      </w:r>
    </w:p>
    <w:p w14:paraId="472252A8" w14:textId="77777777" w:rsidR="009773C8" w:rsidRDefault="00C64280" w:rsidP="00086C29">
      <w:pPr>
        <w:pStyle w:val="Heading2"/>
        <w:spacing w:before="0" w:line="480" w:lineRule="auto"/>
      </w:pPr>
      <w:bookmarkStart w:id="26" w:name="_Toc225816413"/>
      <w:r>
        <w:t>3.5 Data Collection Methods and Piloting of the Interview Guide</w:t>
      </w:r>
      <w:bookmarkEnd w:id="26"/>
    </w:p>
    <w:p w14:paraId="697E67F7" w14:textId="174B8572" w:rsidR="00FA17B6" w:rsidRDefault="00FA17B6" w:rsidP="00086C29">
      <w:pPr>
        <w:spacing w:after="120" w:line="480" w:lineRule="auto"/>
        <w:jc w:val="both"/>
      </w:pPr>
      <w:r>
        <w:t xml:space="preserve">The interviews will be carried out using Microsoft Teams (approved by </w:t>
      </w:r>
      <w:r w:rsidR="00FB0B39">
        <w:t>the NHS) or face-to-face, at the request of each participant, ranging from 45 to 60 minutes, with voice recording, informed written consent, and verbatim transcription</w:t>
      </w:r>
      <w:r>
        <w:t xml:space="preserve">. The semi-structured interview guide (Appendix A) has five thematic areas: (1) awareness and knowledge of WLB policies; (2) experience of the attempt to access or use the provisions; (3) moderating role of the management and workplace culture; (4) emotional meaning of WLB experience and its association to the wellbeing; (5) relationship between the experience of WLB and organisational commitment. Flexible probe questions, such as 'Can you say more about that?', ' What did it feel like in practice, ' Was that a typical experience or an exception will be used throughout </w:t>
      </w:r>
      <w:r w:rsidR="00FB0B39">
        <w:t>to</w:t>
      </w:r>
      <w:r>
        <w:t xml:space="preserve"> help bring about narrative elaboration and surface experiences that direct questions might not access.</w:t>
      </w:r>
    </w:p>
    <w:p w14:paraId="472252AA" w14:textId="51712102" w:rsidR="009773C8" w:rsidRDefault="00FA17B6" w:rsidP="00086C29">
      <w:pPr>
        <w:spacing w:after="120" w:line="480" w:lineRule="auto"/>
        <w:jc w:val="both"/>
      </w:pPr>
      <w:r>
        <w:t xml:space="preserve">The interview guide will also be piloted </w:t>
      </w:r>
      <w:r w:rsidR="00FB0B39">
        <w:t>with two participants who meet the inclusion criteria</w:t>
      </w:r>
      <w:r w:rsidR="001915D3">
        <w:t>,</w:t>
      </w:r>
      <w:r w:rsidR="00FB0B39">
        <w:t xml:space="preserve"> but will not be included in the analysis if</w:t>
      </w:r>
      <w:r>
        <w:t xml:space="preserve"> the transcripts contain confidential information. The four functions of piloting are testing an effectively agreed and de facto and unintentionally leading-free questions; checking timing to enable the researcher to identify the feasibility of the 45-60 minute allotment; clarifying probe questions that get closed answers; and serving as prior reflexivity training to get the researcher conscious of his or her tendency to interpretation, </w:t>
      </w:r>
      <w:r w:rsidR="001915D3">
        <w:t>before</w:t>
      </w:r>
      <w:r>
        <w:t xml:space="preserve"> actual fieldwork. After piloting, the supervisor and the guide will go through it and revise it as required. (Saunders, Lewis, and Thornhill, 2023).</w:t>
      </w:r>
    </w:p>
    <w:p w14:paraId="629F7B93" w14:textId="039CDAA5" w:rsidR="006D03A1" w:rsidRDefault="006D03A1" w:rsidP="00086C29">
      <w:pPr>
        <w:spacing w:after="120" w:line="480" w:lineRule="auto"/>
        <w:jc w:val="both"/>
      </w:pPr>
      <w:r>
        <w:rPr>
          <w:noProof/>
          <w:lang w:eastAsia="zh-CN"/>
        </w:rPr>
        <w:drawing>
          <wp:inline distT="0" distB="0" distL="0" distR="0" wp14:anchorId="337C935B" wp14:editId="18489998">
            <wp:extent cx="5600700" cy="885825"/>
            <wp:effectExtent l="0" t="0" r="0" b="9525"/>
            <wp:docPr id="2212108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5601069" cy="885883"/>
                    </a:xfrm>
                    <a:prstGeom prst="rect">
                      <a:avLst/>
                    </a:prstGeom>
                    <a:noFill/>
                    <a:ln>
                      <a:noFill/>
                    </a:ln>
                    <a:extLst>
                      <a:ext uri="{53640926-AAD7-44D8-BBD7-CCE9431645EC}">
                        <a14:shadowObscured xmlns:a14="http://schemas.microsoft.com/office/drawing/2010/main"/>
                      </a:ext>
                    </a:extLst>
                  </pic:spPr>
                </pic:pic>
              </a:graphicData>
            </a:graphic>
          </wp:inline>
        </w:drawing>
      </w:r>
    </w:p>
    <w:p w14:paraId="472252B0" w14:textId="618A66C2" w:rsidR="009773C8" w:rsidRDefault="00C64280" w:rsidP="00086C29">
      <w:pPr>
        <w:spacing w:after="120" w:line="480" w:lineRule="auto"/>
        <w:jc w:val="center"/>
      </w:pPr>
      <w:r>
        <w:rPr>
          <w:i/>
          <w:iCs/>
          <w:color w:val="595959"/>
        </w:rPr>
        <w:t>Figure 3: Interview process flow including piloting stage</w:t>
      </w:r>
      <w:r w:rsidR="006D03A1">
        <w:rPr>
          <w:i/>
          <w:iCs/>
          <w:color w:val="595959"/>
        </w:rPr>
        <w:t xml:space="preserve"> (Self-Made)</w:t>
      </w:r>
    </w:p>
    <w:p w14:paraId="472252B1" w14:textId="77777777" w:rsidR="009773C8" w:rsidRDefault="00C64280" w:rsidP="00086C29">
      <w:pPr>
        <w:pStyle w:val="Heading2"/>
        <w:spacing w:before="0" w:line="480" w:lineRule="auto"/>
      </w:pPr>
      <w:bookmarkStart w:id="27" w:name="_Toc225816414"/>
      <w:r>
        <w:t>3.6 Sampling Strategy and Detailed Justification of Sample Size</w:t>
      </w:r>
      <w:bookmarkEnd w:id="27"/>
    </w:p>
    <w:p w14:paraId="472252B2" w14:textId="46D61EB3" w:rsidR="009773C8" w:rsidRDefault="00523F2D" w:rsidP="00086C29">
      <w:pPr>
        <w:spacing w:after="120" w:line="480" w:lineRule="auto"/>
        <w:jc w:val="both"/>
      </w:pPr>
      <w:r w:rsidRPr="00523F2D">
        <w:lastRenderedPageBreak/>
        <w:t>The sampling strategy will be based on the purposive sampling approach</w:t>
      </w:r>
      <w:r w:rsidR="001915D3">
        <w:t>, as maximum information, theoretical relevance, and not statistical representativeness will drive the selection of</w:t>
      </w:r>
      <w:r w:rsidRPr="00523F2D">
        <w:t xml:space="preserve"> the sample (Ahmad and Wilkins, 2024). To include the range of roles, genders, caring status, and organisational location (NHS England or NHS Foundation Trust), participants will be recruited into 3 groups of the NHS staff members: nursing staff at Bands 5-7, the administrative and clerical staff, and allied health professionals, and this will be reflected in Table 3. The participants also need to have at least </w:t>
      </w:r>
      <w:r w:rsidR="001915D3">
        <w:t>12 months of employment in their current NHS environment, and this would require them to have adequate experiential background in the organisation's WLB policy environment</w:t>
      </w:r>
      <w:r w:rsidRPr="00523F2D">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68"/>
        <w:gridCol w:w="1553"/>
        <w:gridCol w:w="1774"/>
        <w:gridCol w:w="2178"/>
        <w:gridCol w:w="1153"/>
      </w:tblGrid>
      <w:tr w:rsidR="009773C8" w14:paraId="472252B8" w14:textId="77777777" w:rsidTr="0015391E">
        <w:tc>
          <w:tcPr>
            <w:tcW w:w="2200"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B3" w14:textId="77777777" w:rsidR="009773C8" w:rsidRPr="0015391E" w:rsidRDefault="00C64280" w:rsidP="00086C29">
            <w:pPr>
              <w:spacing w:after="120" w:line="480" w:lineRule="auto"/>
              <w:rPr>
                <w:color w:val="000000" w:themeColor="text1"/>
              </w:rPr>
            </w:pPr>
            <w:r w:rsidRPr="0015391E">
              <w:rPr>
                <w:b/>
                <w:bCs/>
                <w:color w:val="000000" w:themeColor="text1"/>
              </w:rPr>
              <w:t>Role Group</w:t>
            </w:r>
          </w:p>
        </w:tc>
        <w:tc>
          <w:tcPr>
            <w:tcW w:w="1600"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B4" w14:textId="77777777" w:rsidR="009773C8" w:rsidRPr="0015391E" w:rsidRDefault="00C64280" w:rsidP="00086C29">
            <w:pPr>
              <w:spacing w:after="120" w:line="480" w:lineRule="auto"/>
              <w:rPr>
                <w:color w:val="000000" w:themeColor="text1"/>
              </w:rPr>
            </w:pPr>
            <w:r w:rsidRPr="0015391E">
              <w:rPr>
                <w:b/>
                <w:bCs/>
                <w:color w:val="000000" w:themeColor="text1"/>
              </w:rPr>
              <w:t>Band</w:t>
            </w:r>
          </w:p>
        </w:tc>
        <w:tc>
          <w:tcPr>
            <w:tcW w:w="1800"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B5" w14:textId="77777777" w:rsidR="009773C8" w:rsidRPr="0015391E" w:rsidRDefault="00C64280" w:rsidP="00086C29">
            <w:pPr>
              <w:spacing w:after="120" w:line="480" w:lineRule="auto"/>
              <w:rPr>
                <w:color w:val="000000" w:themeColor="text1"/>
              </w:rPr>
            </w:pPr>
            <w:r w:rsidRPr="0015391E">
              <w:rPr>
                <w:b/>
                <w:bCs/>
                <w:color w:val="000000" w:themeColor="text1"/>
              </w:rPr>
              <w:t>NHS Setting</w:t>
            </w:r>
          </w:p>
        </w:tc>
        <w:tc>
          <w:tcPr>
            <w:tcW w:w="222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B6" w14:textId="77777777" w:rsidR="009773C8" w:rsidRPr="0015391E" w:rsidRDefault="00C64280" w:rsidP="00086C29">
            <w:pPr>
              <w:spacing w:after="120" w:line="480" w:lineRule="auto"/>
              <w:rPr>
                <w:color w:val="000000" w:themeColor="text1"/>
              </w:rPr>
            </w:pPr>
            <w:r w:rsidRPr="0015391E">
              <w:rPr>
                <w:b/>
                <w:bCs/>
                <w:color w:val="000000" w:themeColor="text1"/>
              </w:rPr>
              <w:t>Caregiving Status</w:t>
            </w:r>
          </w:p>
        </w:tc>
        <w:tc>
          <w:tcPr>
            <w:tcW w:w="1200"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B7" w14:textId="77777777" w:rsidR="009773C8" w:rsidRPr="0015391E" w:rsidRDefault="00C64280" w:rsidP="00086C29">
            <w:pPr>
              <w:spacing w:after="120" w:line="480" w:lineRule="auto"/>
              <w:rPr>
                <w:color w:val="000000" w:themeColor="text1"/>
              </w:rPr>
            </w:pPr>
            <w:r w:rsidRPr="0015391E">
              <w:rPr>
                <w:b/>
                <w:bCs/>
                <w:color w:val="000000" w:themeColor="text1"/>
              </w:rPr>
              <w:t>n</w:t>
            </w:r>
          </w:p>
        </w:tc>
      </w:tr>
      <w:tr w:rsidR="009773C8" w14:paraId="472252BE" w14:textId="77777777">
        <w:tc>
          <w:tcPr>
            <w:tcW w:w="2200" w:type="dxa"/>
            <w:tcBorders>
              <w:top w:val="single" w:sz="4" w:space="0" w:color="2E75B6"/>
              <w:left w:val="single" w:sz="4" w:space="0" w:color="2E75B6"/>
              <w:bottom w:val="single" w:sz="4" w:space="0" w:color="2E75B6"/>
              <w:right w:val="single" w:sz="4" w:space="0" w:color="2E75B6"/>
            </w:tcBorders>
            <w:shd w:val="clear" w:color="auto" w:fill="DAEEF3"/>
            <w:tcMar>
              <w:top w:w="80" w:type="dxa"/>
              <w:left w:w="120" w:type="dxa"/>
              <w:bottom w:w="80" w:type="dxa"/>
              <w:right w:w="120" w:type="dxa"/>
            </w:tcMar>
          </w:tcPr>
          <w:p w14:paraId="472252B9" w14:textId="77777777" w:rsidR="009773C8" w:rsidRDefault="00C64280" w:rsidP="00086C29">
            <w:pPr>
              <w:spacing w:after="120" w:line="480" w:lineRule="auto"/>
              <w:jc w:val="both"/>
            </w:pPr>
            <w:r>
              <w:t>Nursing staff (RN)</w:t>
            </w:r>
          </w:p>
        </w:tc>
        <w:tc>
          <w:tcPr>
            <w:tcW w:w="16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BA" w14:textId="25FA85BF" w:rsidR="009773C8" w:rsidRDefault="00C64280" w:rsidP="00086C29">
            <w:pPr>
              <w:spacing w:after="120" w:line="480" w:lineRule="auto"/>
              <w:jc w:val="both"/>
            </w:pPr>
            <w:r>
              <w:t>Band 5</w:t>
            </w:r>
            <w:r w:rsidR="00523F2D">
              <w:t>-</w:t>
            </w:r>
            <w:r>
              <w:t>6</w:t>
            </w:r>
          </w:p>
        </w:tc>
        <w:tc>
          <w:tcPr>
            <w:tcW w:w="18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BB" w14:textId="77777777" w:rsidR="009773C8" w:rsidRDefault="00C64280" w:rsidP="00086C29">
            <w:pPr>
              <w:spacing w:after="120" w:line="480" w:lineRule="auto"/>
              <w:jc w:val="both"/>
            </w:pPr>
            <w:r>
              <w:t>Foundation Trust</w:t>
            </w:r>
          </w:p>
        </w:tc>
        <w:tc>
          <w:tcPr>
            <w:tcW w:w="2226"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BC" w14:textId="77777777" w:rsidR="009773C8" w:rsidRDefault="00C64280" w:rsidP="00086C29">
            <w:pPr>
              <w:spacing w:after="120" w:line="480" w:lineRule="auto"/>
              <w:jc w:val="both"/>
            </w:pPr>
            <w:r>
              <w:t>With caregiving duties</w:t>
            </w:r>
          </w:p>
        </w:tc>
        <w:tc>
          <w:tcPr>
            <w:tcW w:w="1200" w:type="dxa"/>
            <w:tcBorders>
              <w:top w:val="single" w:sz="4" w:space="0" w:color="2E75B6"/>
              <w:left w:val="single" w:sz="4" w:space="0" w:color="2E75B6"/>
              <w:bottom w:val="single" w:sz="4" w:space="0" w:color="2E75B6"/>
              <w:right w:val="single" w:sz="4" w:space="0" w:color="2E75B6"/>
            </w:tcBorders>
            <w:shd w:val="clear" w:color="auto" w:fill="FCE4D6"/>
            <w:tcMar>
              <w:top w:w="80" w:type="dxa"/>
              <w:left w:w="120" w:type="dxa"/>
              <w:bottom w:w="80" w:type="dxa"/>
              <w:right w:w="120" w:type="dxa"/>
            </w:tcMar>
          </w:tcPr>
          <w:p w14:paraId="472252BD" w14:textId="77777777" w:rsidR="009773C8" w:rsidRDefault="00C64280" w:rsidP="00086C29">
            <w:pPr>
              <w:spacing w:after="120" w:line="480" w:lineRule="auto"/>
              <w:jc w:val="center"/>
            </w:pPr>
            <w:r>
              <w:rPr>
                <w:b/>
                <w:bCs/>
                <w:color w:val="1F3864"/>
              </w:rPr>
              <w:t>2</w:t>
            </w:r>
          </w:p>
        </w:tc>
      </w:tr>
      <w:tr w:rsidR="009773C8" w14:paraId="472252C4" w14:textId="77777777">
        <w:tc>
          <w:tcPr>
            <w:tcW w:w="2200" w:type="dxa"/>
            <w:tcBorders>
              <w:top w:val="single" w:sz="4" w:space="0" w:color="2E75B6"/>
              <w:left w:val="single" w:sz="4" w:space="0" w:color="2E75B6"/>
              <w:bottom w:val="single" w:sz="4" w:space="0" w:color="2E75B6"/>
              <w:right w:val="single" w:sz="4" w:space="0" w:color="2E75B6"/>
            </w:tcBorders>
            <w:shd w:val="clear" w:color="auto" w:fill="DAEEF3"/>
            <w:tcMar>
              <w:top w:w="80" w:type="dxa"/>
              <w:left w:w="120" w:type="dxa"/>
              <w:bottom w:w="80" w:type="dxa"/>
              <w:right w:w="120" w:type="dxa"/>
            </w:tcMar>
          </w:tcPr>
          <w:p w14:paraId="472252BF" w14:textId="77777777" w:rsidR="009773C8" w:rsidRDefault="00C64280" w:rsidP="00086C29">
            <w:pPr>
              <w:spacing w:after="120" w:line="480" w:lineRule="auto"/>
              <w:jc w:val="both"/>
            </w:pPr>
            <w:r>
              <w:t>Nursing staff (senior)</w:t>
            </w:r>
          </w:p>
        </w:tc>
        <w:tc>
          <w:tcPr>
            <w:tcW w:w="16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0" w14:textId="77777777" w:rsidR="009773C8" w:rsidRDefault="00C64280" w:rsidP="00086C29">
            <w:pPr>
              <w:spacing w:after="120" w:line="480" w:lineRule="auto"/>
              <w:jc w:val="both"/>
            </w:pPr>
            <w:r>
              <w:t>Band 7</w:t>
            </w:r>
          </w:p>
        </w:tc>
        <w:tc>
          <w:tcPr>
            <w:tcW w:w="18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1" w14:textId="77777777" w:rsidR="009773C8" w:rsidRDefault="00C64280" w:rsidP="00086C29">
            <w:pPr>
              <w:spacing w:after="120" w:line="480" w:lineRule="auto"/>
              <w:jc w:val="both"/>
            </w:pPr>
            <w:r>
              <w:t>NHS England / Trust</w:t>
            </w:r>
          </w:p>
        </w:tc>
        <w:tc>
          <w:tcPr>
            <w:tcW w:w="2226"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2" w14:textId="77777777" w:rsidR="009773C8" w:rsidRDefault="00C64280" w:rsidP="00086C29">
            <w:pPr>
              <w:spacing w:after="120" w:line="480" w:lineRule="auto"/>
              <w:jc w:val="both"/>
            </w:pPr>
            <w:r>
              <w:t>Varied</w:t>
            </w:r>
          </w:p>
        </w:tc>
        <w:tc>
          <w:tcPr>
            <w:tcW w:w="1200" w:type="dxa"/>
            <w:tcBorders>
              <w:top w:val="single" w:sz="4" w:space="0" w:color="2E75B6"/>
              <w:left w:val="single" w:sz="4" w:space="0" w:color="2E75B6"/>
              <w:bottom w:val="single" w:sz="4" w:space="0" w:color="2E75B6"/>
              <w:right w:val="single" w:sz="4" w:space="0" w:color="2E75B6"/>
            </w:tcBorders>
            <w:shd w:val="clear" w:color="auto" w:fill="FCE4D6"/>
            <w:tcMar>
              <w:top w:w="80" w:type="dxa"/>
              <w:left w:w="120" w:type="dxa"/>
              <w:bottom w:w="80" w:type="dxa"/>
              <w:right w:w="120" w:type="dxa"/>
            </w:tcMar>
          </w:tcPr>
          <w:p w14:paraId="472252C3" w14:textId="77777777" w:rsidR="009773C8" w:rsidRDefault="00C64280" w:rsidP="00086C29">
            <w:pPr>
              <w:spacing w:after="120" w:line="480" w:lineRule="auto"/>
              <w:jc w:val="center"/>
            </w:pPr>
            <w:r>
              <w:rPr>
                <w:b/>
                <w:bCs/>
                <w:color w:val="1F3864"/>
              </w:rPr>
              <w:t>1</w:t>
            </w:r>
          </w:p>
        </w:tc>
      </w:tr>
      <w:tr w:rsidR="009773C8" w14:paraId="472252CA" w14:textId="77777777">
        <w:tc>
          <w:tcPr>
            <w:tcW w:w="2200" w:type="dxa"/>
            <w:tcBorders>
              <w:top w:val="single" w:sz="4" w:space="0" w:color="2E75B6"/>
              <w:left w:val="single" w:sz="4" w:space="0" w:color="2E75B6"/>
              <w:bottom w:val="single" w:sz="4" w:space="0" w:color="2E75B6"/>
              <w:right w:val="single" w:sz="4" w:space="0" w:color="2E75B6"/>
            </w:tcBorders>
            <w:shd w:val="clear" w:color="auto" w:fill="E2F0D9"/>
            <w:tcMar>
              <w:top w:w="80" w:type="dxa"/>
              <w:left w:w="120" w:type="dxa"/>
              <w:bottom w:w="80" w:type="dxa"/>
              <w:right w:w="120" w:type="dxa"/>
            </w:tcMar>
          </w:tcPr>
          <w:p w14:paraId="472252C5" w14:textId="6A55B086" w:rsidR="009773C8" w:rsidRDefault="00FB0B39" w:rsidP="00086C29">
            <w:pPr>
              <w:spacing w:after="120" w:line="480" w:lineRule="auto"/>
              <w:jc w:val="both"/>
            </w:pPr>
            <w:r>
              <w:t>Administrative/clerical</w:t>
            </w:r>
          </w:p>
        </w:tc>
        <w:tc>
          <w:tcPr>
            <w:tcW w:w="16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6" w14:textId="2005FB81" w:rsidR="009773C8" w:rsidRDefault="00C64280" w:rsidP="00086C29">
            <w:pPr>
              <w:spacing w:after="120" w:line="480" w:lineRule="auto"/>
              <w:jc w:val="both"/>
            </w:pPr>
            <w:r>
              <w:t>Band 3</w:t>
            </w:r>
            <w:r w:rsidR="00523F2D">
              <w:t>-</w:t>
            </w:r>
            <w:r>
              <w:t>5</w:t>
            </w:r>
          </w:p>
        </w:tc>
        <w:tc>
          <w:tcPr>
            <w:tcW w:w="18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7" w14:textId="77777777" w:rsidR="009773C8" w:rsidRDefault="00C64280" w:rsidP="00086C29">
            <w:pPr>
              <w:spacing w:after="120" w:line="480" w:lineRule="auto"/>
              <w:jc w:val="both"/>
            </w:pPr>
            <w:r>
              <w:t>NHS England</w:t>
            </w:r>
          </w:p>
        </w:tc>
        <w:tc>
          <w:tcPr>
            <w:tcW w:w="2226"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8" w14:textId="77777777" w:rsidR="009773C8" w:rsidRDefault="00C64280" w:rsidP="00086C29">
            <w:pPr>
              <w:spacing w:after="120" w:line="480" w:lineRule="auto"/>
              <w:jc w:val="both"/>
            </w:pPr>
            <w:r>
              <w:t>With caregiving duties</w:t>
            </w:r>
          </w:p>
        </w:tc>
        <w:tc>
          <w:tcPr>
            <w:tcW w:w="1200" w:type="dxa"/>
            <w:tcBorders>
              <w:top w:val="single" w:sz="4" w:space="0" w:color="2E75B6"/>
              <w:left w:val="single" w:sz="4" w:space="0" w:color="2E75B6"/>
              <w:bottom w:val="single" w:sz="4" w:space="0" w:color="2E75B6"/>
              <w:right w:val="single" w:sz="4" w:space="0" w:color="2E75B6"/>
            </w:tcBorders>
            <w:shd w:val="clear" w:color="auto" w:fill="FCE4D6"/>
            <w:tcMar>
              <w:top w:w="80" w:type="dxa"/>
              <w:left w:w="120" w:type="dxa"/>
              <w:bottom w:w="80" w:type="dxa"/>
              <w:right w:w="120" w:type="dxa"/>
            </w:tcMar>
          </w:tcPr>
          <w:p w14:paraId="472252C9" w14:textId="77777777" w:rsidR="009773C8" w:rsidRDefault="00C64280" w:rsidP="00086C29">
            <w:pPr>
              <w:spacing w:after="120" w:line="480" w:lineRule="auto"/>
              <w:jc w:val="center"/>
            </w:pPr>
            <w:r>
              <w:rPr>
                <w:b/>
                <w:bCs/>
                <w:color w:val="1F3864"/>
              </w:rPr>
              <w:t>2</w:t>
            </w:r>
          </w:p>
        </w:tc>
      </w:tr>
      <w:tr w:rsidR="009773C8" w14:paraId="472252D0" w14:textId="77777777">
        <w:tc>
          <w:tcPr>
            <w:tcW w:w="2200" w:type="dxa"/>
            <w:tcBorders>
              <w:top w:val="single" w:sz="4" w:space="0" w:color="2E75B6"/>
              <w:left w:val="single" w:sz="4" w:space="0" w:color="2E75B6"/>
              <w:bottom w:val="single" w:sz="4" w:space="0" w:color="2E75B6"/>
              <w:right w:val="single" w:sz="4" w:space="0" w:color="2E75B6"/>
            </w:tcBorders>
            <w:shd w:val="clear" w:color="auto" w:fill="FFF2CC"/>
            <w:tcMar>
              <w:top w:w="80" w:type="dxa"/>
              <w:left w:w="120" w:type="dxa"/>
              <w:bottom w:w="80" w:type="dxa"/>
              <w:right w:w="120" w:type="dxa"/>
            </w:tcMar>
          </w:tcPr>
          <w:p w14:paraId="472252CB" w14:textId="77777777" w:rsidR="009773C8" w:rsidRDefault="00C64280" w:rsidP="00086C29">
            <w:pPr>
              <w:spacing w:after="120" w:line="480" w:lineRule="auto"/>
              <w:jc w:val="both"/>
            </w:pPr>
            <w:r>
              <w:t>Allied health professional</w:t>
            </w:r>
          </w:p>
        </w:tc>
        <w:tc>
          <w:tcPr>
            <w:tcW w:w="16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C" w14:textId="10125B0D" w:rsidR="009773C8" w:rsidRDefault="00C64280" w:rsidP="00086C29">
            <w:pPr>
              <w:spacing w:after="120" w:line="480" w:lineRule="auto"/>
              <w:jc w:val="both"/>
            </w:pPr>
            <w:r>
              <w:t>Band 6</w:t>
            </w:r>
            <w:r w:rsidR="00523F2D">
              <w:t>-</w:t>
            </w:r>
            <w:r>
              <w:t>7</w:t>
            </w:r>
          </w:p>
        </w:tc>
        <w:tc>
          <w:tcPr>
            <w:tcW w:w="18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D" w14:textId="77777777" w:rsidR="009773C8" w:rsidRDefault="00C64280" w:rsidP="00086C29">
            <w:pPr>
              <w:spacing w:after="120" w:line="480" w:lineRule="auto"/>
              <w:jc w:val="both"/>
            </w:pPr>
            <w:r>
              <w:t>Foundation Trust</w:t>
            </w:r>
          </w:p>
        </w:tc>
        <w:tc>
          <w:tcPr>
            <w:tcW w:w="2226"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CE" w14:textId="77777777" w:rsidR="009773C8" w:rsidRDefault="00C64280" w:rsidP="00086C29">
            <w:pPr>
              <w:spacing w:after="120" w:line="480" w:lineRule="auto"/>
              <w:jc w:val="both"/>
            </w:pPr>
            <w:r>
              <w:t>Varied</w:t>
            </w:r>
          </w:p>
        </w:tc>
        <w:tc>
          <w:tcPr>
            <w:tcW w:w="1200" w:type="dxa"/>
            <w:tcBorders>
              <w:top w:val="single" w:sz="4" w:space="0" w:color="2E75B6"/>
              <w:left w:val="single" w:sz="4" w:space="0" w:color="2E75B6"/>
              <w:bottom w:val="single" w:sz="4" w:space="0" w:color="2E75B6"/>
              <w:right w:val="single" w:sz="4" w:space="0" w:color="2E75B6"/>
            </w:tcBorders>
            <w:shd w:val="clear" w:color="auto" w:fill="FCE4D6"/>
            <w:tcMar>
              <w:top w:w="80" w:type="dxa"/>
              <w:left w:w="120" w:type="dxa"/>
              <w:bottom w:w="80" w:type="dxa"/>
              <w:right w:w="120" w:type="dxa"/>
            </w:tcMar>
          </w:tcPr>
          <w:p w14:paraId="472252CF" w14:textId="77777777" w:rsidR="009773C8" w:rsidRDefault="00C64280" w:rsidP="00086C29">
            <w:pPr>
              <w:spacing w:after="120" w:line="480" w:lineRule="auto"/>
              <w:jc w:val="center"/>
            </w:pPr>
            <w:r>
              <w:rPr>
                <w:b/>
                <w:bCs/>
                <w:color w:val="1F3864"/>
              </w:rPr>
              <w:t>2</w:t>
            </w:r>
          </w:p>
        </w:tc>
      </w:tr>
      <w:tr w:rsidR="009773C8" w14:paraId="472252D6" w14:textId="77777777">
        <w:tc>
          <w:tcPr>
            <w:tcW w:w="2200" w:type="dxa"/>
            <w:tcBorders>
              <w:top w:val="single" w:sz="4" w:space="0" w:color="2E75B6"/>
              <w:left w:val="single" w:sz="4" w:space="0" w:color="2E75B6"/>
              <w:bottom w:val="single" w:sz="4" w:space="0" w:color="2E75B6"/>
              <w:right w:val="single" w:sz="4" w:space="0" w:color="2E75B6"/>
            </w:tcBorders>
            <w:shd w:val="clear" w:color="auto" w:fill="FFF2CC"/>
            <w:tcMar>
              <w:top w:w="80" w:type="dxa"/>
              <w:left w:w="120" w:type="dxa"/>
              <w:bottom w:w="80" w:type="dxa"/>
              <w:right w:w="120" w:type="dxa"/>
            </w:tcMar>
          </w:tcPr>
          <w:p w14:paraId="472252D1" w14:textId="77777777" w:rsidR="009773C8" w:rsidRDefault="00C64280" w:rsidP="00086C29">
            <w:pPr>
              <w:spacing w:after="120" w:line="480" w:lineRule="auto"/>
              <w:jc w:val="both"/>
            </w:pPr>
            <w:r>
              <w:t>Allied health professional</w:t>
            </w:r>
          </w:p>
        </w:tc>
        <w:tc>
          <w:tcPr>
            <w:tcW w:w="16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D2" w14:textId="77777777" w:rsidR="009773C8" w:rsidRDefault="00C64280" w:rsidP="00086C29">
            <w:pPr>
              <w:spacing w:after="120" w:line="480" w:lineRule="auto"/>
              <w:jc w:val="both"/>
            </w:pPr>
            <w:r>
              <w:t>Band 5</w:t>
            </w:r>
          </w:p>
        </w:tc>
        <w:tc>
          <w:tcPr>
            <w:tcW w:w="1800"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D3" w14:textId="77777777" w:rsidR="009773C8" w:rsidRDefault="00C64280" w:rsidP="00086C29">
            <w:pPr>
              <w:spacing w:after="120" w:line="480" w:lineRule="auto"/>
              <w:jc w:val="both"/>
            </w:pPr>
            <w:r>
              <w:t>NHS England</w:t>
            </w:r>
          </w:p>
        </w:tc>
        <w:tc>
          <w:tcPr>
            <w:tcW w:w="2226" w:type="dxa"/>
            <w:tcBorders>
              <w:top w:val="single" w:sz="4" w:space="0" w:color="2E75B6"/>
              <w:left w:val="single" w:sz="4" w:space="0" w:color="2E75B6"/>
              <w:bottom w:val="single" w:sz="4" w:space="0" w:color="2E75B6"/>
              <w:right w:val="single" w:sz="4" w:space="0" w:color="2E75B6"/>
            </w:tcBorders>
            <w:shd w:val="clear" w:color="auto" w:fill="FFFFFF"/>
            <w:tcMar>
              <w:top w:w="80" w:type="dxa"/>
              <w:left w:w="120" w:type="dxa"/>
              <w:bottom w:w="80" w:type="dxa"/>
              <w:right w:w="120" w:type="dxa"/>
            </w:tcMar>
          </w:tcPr>
          <w:p w14:paraId="472252D4" w14:textId="77777777" w:rsidR="009773C8" w:rsidRDefault="00C64280" w:rsidP="00086C29">
            <w:pPr>
              <w:spacing w:after="120" w:line="480" w:lineRule="auto"/>
              <w:jc w:val="both"/>
            </w:pPr>
            <w:r>
              <w:t>Without caregiving duties</w:t>
            </w:r>
          </w:p>
        </w:tc>
        <w:tc>
          <w:tcPr>
            <w:tcW w:w="1200" w:type="dxa"/>
            <w:tcBorders>
              <w:top w:val="single" w:sz="4" w:space="0" w:color="2E75B6"/>
              <w:left w:val="single" w:sz="4" w:space="0" w:color="2E75B6"/>
              <w:bottom w:val="single" w:sz="4" w:space="0" w:color="2E75B6"/>
              <w:right w:val="single" w:sz="4" w:space="0" w:color="2E75B6"/>
            </w:tcBorders>
            <w:shd w:val="clear" w:color="auto" w:fill="FCE4D6"/>
            <w:tcMar>
              <w:top w:w="80" w:type="dxa"/>
              <w:left w:w="120" w:type="dxa"/>
              <w:bottom w:w="80" w:type="dxa"/>
              <w:right w:w="120" w:type="dxa"/>
            </w:tcMar>
          </w:tcPr>
          <w:p w14:paraId="472252D5" w14:textId="77777777" w:rsidR="009773C8" w:rsidRDefault="00C64280" w:rsidP="00086C29">
            <w:pPr>
              <w:spacing w:after="120" w:line="480" w:lineRule="auto"/>
              <w:jc w:val="center"/>
            </w:pPr>
            <w:r>
              <w:rPr>
                <w:b/>
                <w:bCs/>
                <w:color w:val="1F3864"/>
              </w:rPr>
              <w:t>1</w:t>
            </w:r>
          </w:p>
        </w:tc>
      </w:tr>
    </w:tbl>
    <w:p w14:paraId="472252D7" w14:textId="77777777" w:rsidR="009773C8" w:rsidRDefault="00C64280" w:rsidP="00086C29">
      <w:pPr>
        <w:spacing w:after="120" w:line="480" w:lineRule="auto"/>
        <w:jc w:val="center"/>
      </w:pPr>
      <w:r>
        <w:rPr>
          <w:i/>
          <w:iCs/>
          <w:color w:val="595959"/>
        </w:rPr>
        <w:t>Table 3: Proposed participant sampling matrix</w:t>
      </w:r>
    </w:p>
    <w:p w14:paraId="0A860208" w14:textId="5B5310FA" w:rsidR="00B8430E" w:rsidRDefault="00B8430E" w:rsidP="00086C29">
      <w:pPr>
        <w:spacing w:after="120" w:line="480" w:lineRule="auto"/>
        <w:jc w:val="both"/>
      </w:pPr>
      <w:r>
        <w:t xml:space="preserve">The choice of eight interviews as a target sample can be </w:t>
      </w:r>
      <w:r w:rsidR="00FB0B39">
        <w:t>justified on multiple grounds, especially because sample size in qualitative research has methodological and epistemological implications that</w:t>
      </w:r>
      <w:r>
        <w:t xml:space="preserve"> are usually poorly addressed. The main reason is theoretical saturation, i.e., </w:t>
      </w:r>
      <w:r>
        <w:lastRenderedPageBreak/>
        <w:t xml:space="preserve">the </w:t>
      </w:r>
      <w:r w:rsidR="00FB0B39">
        <w:t>point in the iterative analysis at which new conceptual knowledge is no longer produced with additional</w:t>
      </w:r>
      <w:r>
        <w:t xml:space="preserve"> data. The most systematic review of evidence </w:t>
      </w:r>
      <w:r w:rsidR="001915D3">
        <w:t xml:space="preserve">on saturation was conducted by Hennink and Kaiser (2022), who analysed 23 empirical studies that directly tested the hypothesis of saturation when it </w:t>
      </w:r>
      <w:r>
        <w:t xml:space="preserve">was met. Their main point is that there is a saturation of the codes, i.e., the level at which they stop appearing, and which is typically reached with the number of six to twelve interviews in </w:t>
      </w:r>
      <w:r w:rsidR="00FB0B39">
        <w:t>specialised</w:t>
      </w:r>
      <w:r>
        <w:t xml:space="preserve"> qualitative research on well-defined categories of participants. To achieve </w:t>
      </w:r>
      <w:r w:rsidR="00FB0B39">
        <w:t>a deeper level of analysis of theme saturation, where the meaning and relations between themes have stabilised, a somewhat larger sample is occasionally required, but, once more, Hennink and Kaiser conclude that 12 interviews may be a solid upper limit for a</w:t>
      </w:r>
      <w:r>
        <w:t xml:space="preserve"> population with fairly homogeneous occupational situations.</w:t>
      </w:r>
    </w:p>
    <w:p w14:paraId="472252D9" w14:textId="0609A868" w:rsidR="009773C8" w:rsidRDefault="00B8430E" w:rsidP="00086C29">
      <w:pPr>
        <w:spacing w:after="120" w:line="480" w:lineRule="auto"/>
        <w:jc w:val="both"/>
      </w:pPr>
      <w:r>
        <w:t xml:space="preserve">Nevertheless, the research is not based </w:t>
      </w:r>
      <w:r w:rsidR="001915D3">
        <w:t>solely on the evidence of Hennink and Kaiser</w:t>
      </w:r>
      <w:r>
        <w:t xml:space="preserve">. </w:t>
      </w:r>
      <w:r w:rsidR="001915D3">
        <w:t>Two additional reasons justify</w:t>
      </w:r>
      <w:r>
        <w:t xml:space="preserve"> the target of eight interviews. The sample is first </w:t>
      </w:r>
      <w:r w:rsidR="001915D3">
        <w:t>purposively selected to maximise internal variation across</w:t>
      </w:r>
      <w:r>
        <w:t xml:space="preserve"> three significant dimensions of analysis: occupational role, caregiving status, and type of NHS setting. This is because, with this logic of maximum variation, each interview is not </w:t>
      </w:r>
      <w:r w:rsidR="00FB0B39">
        <w:t xml:space="preserve">accumulated numerically, but rather chosen </w:t>
      </w:r>
      <w:r>
        <w:t>to shed light on a particular combination of qualities of experience. The carefully selected 8 participants</w:t>
      </w:r>
      <w:r w:rsidR="00FB0B39">
        <w:t xml:space="preserve">, chosen to cover these three dimensions, are likely to provide </w:t>
      </w:r>
      <w:r>
        <w:t>greater conceptual variation than a more convenient sample. Second, the comparatively narrow and constrained character of the research questions (</w:t>
      </w:r>
      <w:r w:rsidR="00FB0B39">
        <w:t>regarding perceptions of given named WLB policies in a narrowly defined organisational setting) means that there would be little more thematic ground for the further interviews to</w:t>
      </w:r>
      <w:r>
        <w:t xml:space="preserve"> cover. This is in line with the fact that, as Braun and Clarke (2021) admit, RTA research papers </w:t>
      </w:r>
      <w:r w:rsidR="00FB0B39">
        <w:t xml:space="preserve">with narrow research questions often reach thematic saturation </w:t>
      </w:r>
      <w:r>
        <w:t>at the lower end of the six-to-twelve spectrum.</w:t>
      </w:r>
    </w:p>
    <w:p w14:paraId="472252DA" w14:textId="77777777" w:rsidR="009773C8" w:rsidRDefault="00C64280" w:rsidP="00086C29">
      <w:pPr>
        <w:pStyle w:val="Heading2"/>
        <w:spacing w:before="0" w:line="480" w:lineRule="auto"/>
      </w:pPr>
      <w:bookmarkStart w:id="28" w:name="_Toc225816415"/>
      <w:r>
        <w:t>3.7 Data Analysis: Reflexive Thematic Analysis</w:t>
      </w:r>
      <w:bookmarkEnd w:id="28"/>
    </w:p>
    <w:p w14:paraId="472252DB" w14:textId="5E7B7E5E" w:rsidR="009773C8" w:rsidRDefault="00EE7578" w:rsidP="00086C29">
      <w:pPr>
        <w:spacing w:after="120" w:line="480" w:lineRule="auto"/>
        <w:jc w:val="both"/>
      </w:pPr>
      <w:r w:rsidRPr="00EE7578">
        <w:t>Interpretation of interview data will be performed using reflexive thematic analysis (RTA)</w:t>
      </w:r>
      <w:r w:rsidR="00FB0B39">
        <w:t xml:space="preserve">, developed by Braun and Clarke (2006) and further </w:t>
      </w:r>
      <w:r w:rsidRPr="00EE7578">
        <w:t xml:space="preserve">explained in Braun and Clarke (2022; 2024). In line with the </w:t>
      </w:r>
      <w:r w:rsidR="00FB0B39">
        <w:t xml:space="preserve">study's constructivist ontology, RTA anticipates the researcher's theoretical </w:t>
      </w:r>
      <w:r w:rsidR="00FB0B39">
        <w:lastRenderedPageBreak/>
        <w:t>involvement in active engagement with data, assuming that the researcher's interpretive subjectivity is an epistemological asset rather than a bias to be eliminated, as required by the research's constructivist ontology</w:t>
      </w:r>
      <w:r w:rsidRPr="00EE7578">
        <w:t xml:space="preserve">. The six-stage process, familiarisation, systematic coding, generating initial themes, reviewing and refining themes, defining and naming themes, producing the written analysis, will occur in an iterative but not linear sequence, with a recursive movement of the stages occurring as analytical knowledge is further developed. NVivo data analysis software shall be applied </w:t>
      </w:r>
      <w:r w:rsidR="00FB0B39">
        <w:t>to manage codes, organise themes, and preserve</w:t>
      </w:r>
      <w:r w:rsidRPr="00EE7578">
        <w:t xml:space="preserve"> an auditable trail of analysis.</w:t>
      </w:r>
    </w:p>
    <w:p w14:paraId="4BCA0C15" w14:textId="07146DCB" w:rsidR="006D03A1" w:rsidRDefault="006D03A1" w:rsidP="00086C29">
      <w:pPr>
        <w:spacing w:after="120" w:line="480" w:lineRule="auto"/>
        <w:jc w:val="center"/>
      </w:pPr>
      <w:r>
        <w:rPr>
          <w:noProof/>
          <w:lang w:eastAsia="zh-CN"/>
        </w:rPr>
        <w:drawing>
          <wp:inline distT="0" distB="0" distL="0" distR="0" wp14:anchorId="35C4C58F" wp14:editId="021FC802">
            <wp:extent cx="4257675" cy="3127375"/>
            <wp:effectExtent l="0" t="0" r="9525" b="0"/>
            <wp:docPr id="15593256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4259875" cy="3128991"/>
                    </a:xfrm>
                    <a:prstGeom prst="rect">
                      <a:avLst/>
                    </a:prstGeom>
                    <a:noFill/>
                    <a:ln>
                      <a:noFill/>
                    </a:ln>
                    <a:extLst>
                      <a:ext uri="{53640926-AAD7-44D8-BBD7-CCE9431645EC}">
                        <a14:shadowObscured xmlns:a14="http://schemas.microsoft.com/office/drawing/2010/main"/>
                      </a:ext>
                    </a:extLst>
                  </pic:spPr>
                </pic:pic>
              </a:graphicData>
            </a:graphic>
          </wp:inline>
        </w:drawing>
      </w:r>
    </w:p>
    <w:p w14:paraId="472252E1" w14:textId="77777777" w:rsidR="009773C8" w:rsidRDefault="00C64280" w:rsidP="00086C29">
      <w:pPr>
        <w:spacing w:after="120" w:line="480" w:lineRule="auto"/>
        <w:jc w:val="center"/>
      </w:pPr>
      <w:r>
        <w:rPr>
          <w:i/>
          <w:iCs/>
          <w:color w:val="595959"/>
        </w:rPr>
        <w:t>Figure 4: Six-phase reflexive thematic analysis cycle (Braun and Clarke, 2006; 2022)</w:t>
      </w:r>
    </w:p>
    <w:p w14:paraId="472252E2" w14:textId="780ECE8B" w:rsidR="009773C8" w:rsidRDefault="005E2F8A" w:rsidP="00086C29">
      <w:pPr>
        <w:spacing w:after="120" w:line="480" w:lineRule="auto"/>
        <w:jc w:val="both"/>
      </w:pPr>
      <w:r w:rsidRPr="005E2F8A">
        <w:t xml:space="preserve">Member checking will be employed </w:t>
      </w:r>
      <w:r w:rsidR="00FB0B39">
        <w:t xml:space="preserve">to aid quality, such as providing summary theme descriptions to two or three members and asking them to confirm and verify the descriptions; and </w:t>
      </w:r>
      <w:r w:rsidRPr="005E2F8A">
        <w:t>a researcher's reflexivity journal, which is kept during fieldwork and analysis. When one uses RTA in preference to other methods (e.g., interpretive phenomenological analysis</w:t>
      </w:r>
      <w:r w:rsidR="00FB0B39">
        <w:t>; Smith, Flowers, and Larkin, 2022), which aims to achieve a deep idiographic understanding of a particular individual experience, the interest in common-sense</w:t>
      </w:r>
      <w:r w:rsidRPr="005E2F8A">
        <w:t xml:space="preserve"> meaning among a delimited group of participants is evident. The particular recommendation that can be applied in this study, </w:t>
      </w:r>
      <w:r w:rsidR="00FB0B39">
        <w:lastRenderedPageBreak/>
        <w:t>advanced by Braun and Clarke (2024), is the use of RTA to achieve the goal</w:t>
      </w:r>
      <w:r w:rsidRPr="005E2F8A">
        <w:t xml:space="preserve"> of understanding the social construction of meaning among groups of participants, which is also applicable here.</w:t>
      </w:r>
    </w:p>
    <w:p w14:paraId="472252E3" w14:textId="77777777" w:rsidR="009773C8" w:rsidRDefault="00C64280" w:rsidP="00086C29">
      <w:pPr>
        <w:pStyle w:val="Heading2"/>
        <w:spacing w:before="0" w:line="480" w:lineRule="auto"/>
      </w:pPr>
      <w:bookmarkStart w:id="29" w:name="_Toc225816416"/>
      <w:r>
        <w:t>3.8 Ethical Considerations</w:t>
      </w:r>
      <w:bookmarkEnd w:id="29"/>
    </w:p>
    <w:p w14:paraId="472252E4" w14:textId="01E44912" w:rsidR="009773C8" w:rsidRDefault="009333C0" w:rsidP="00086C29">
      <w:pPr>
        <w:spacing w:after="120" w:line="480" w:lineRule="auto"/>
        <w:jc w:val="both"/>
      </w:pPr>
      <w:r w:rsidRPr="009333C0">
        <w:t xml:space="preserve">All </w:t>
      </w:r>
      <w:r w:rsidR="00FB0B39">
        <w:t xml:space="preserve">procedures will be undertaken in line with the requirements of the University's Research Ethics Committee, the BPS Code of Ethics and Conduct, the </w:t>
      </w:r>
      <w:r w:rsidRPr="009333C0">
        <w:t xml:space="preserve">UK GDPR, and the Equality Act 2010. According to Israel and Hay (2006), ethical practice in social research goes beyond </w:t>
      </w:r>
      <w:r w:rsidR="00FB0B39">
        <w:t>procedural compliance to an ongoing concern for the well-being of participants and the responsible utilisation</w:t>
      </w:r>
      <w:r w:rsidRPr="009333C0">
        <w:t xml:space="preserve"> of the findings. Written consent will be obtained at least one week </w:t>
      </w:r>
      <w:r w:rsidR="00FB0B39">
        <w:t>before</w:t>
      </w:r>
      <w:r w:rsidRPr="009333C0">
        <w:t xml:space="preserve"> the interview, and an information sheet will be </w:t>
      </w:r>
      <w:r w:rsidR="00FB0B39">
        <w:t>provided detailing the nature of the interview and that participation is fully voluntary</w:t>
      </w:r>
      <w:r w:rsidRPr="009333C0">
        <w:t xml:space="preserve">. </w:t>
      </w:r>
      <w:r w:rsidR="00FB0B39">
        <w:t>Participants will be reminded that they have the right to withdraw at any time,</w:t>
      </w:r>
      <w:r w:rsidRPr="009333C0">
        <w:t xml:space="preserve"> with no professional implications. The data will be pseudonymised and stored in </w:t>
      </w:r>
      <w:r w:rsidR="00FB0B39">
        <w:t xml:space="preserve">password-protected, encrypted cloud storage, as approved by the University, accessible only to the researcher and supervisor, and only for </w:t>
      </w:r>
      <w:r w:rsidRPr="009333C0">
        <w:t xml:space="preserve">as long as the research is carried out. </w:t>
      </w:r>
      <w:r w:rsidR="00FB0B39">
        <w:t>Signposting to NHS wellbeing services and the Employee Assistance Programme will be provided to participants at the end of every interview via</w:t>
      </w:r>
      <w:r w:rsidRPr="009333C0">
        <w:t xml:space="preserve"> a participant support sheet. The </w:t>
      </w:r>
      <w:r w:rsidR="00FB0B39">
        <w:t>recruitment process will be carried out solely via research and professional avenues, rather than via managerial avenues, to avoid any perceived professional obligation under</w:t>
      </w:r>
      <w:r w:rsidRPr="009333C0">
        <w:t xml:space="preserve"> the Equality Act 2010.</w:t>
      </w:r>
    </w:p>
    <w:p w14:paraId="472252E5" w14:textId="77777777" w:rsidR="009773C8" w:rsidRDefault="00C64280" w:rsidP="00086C29">
      <w:pPr>
        <w:pStyle w:val="Heading2"/>
        <w:spacing w:before="0" w:line="480" w:lineRule="auto"/>
      </w:pPr>
      <w:bookmarkStart w:id="30" w:name="_Toc225816417"/>
      <w:r>
        <w:t>3.9 Researcher Reflexivity and Positionality</w:t>
      </w:r>
      <w:bookmarkEnd w:id="30"/>
    </w:p>
    <w:p w14:paraId="472252E7" w14:textId="0E1C6575" w:rsidR="009773C8" w:rsidRDefault="009333C0" w:rsidP="00086C29">
      <w:pPr>
        <w:spacing w:after="120" w:line="480" w:lineRule="auto"/>
        <w:jc w:val="both"/>
      </w:pPr>
      <w:r w:rsidRPr="009333C0">
        <w:t xml:space="preserve">One of the key methodological tasks </w:t>
      </w:r>
      <w:r w:rsidR="00FB0B39">
        <w:t>in a qualitative inquiry is the reflexive engagement with the researcher's positionality</w:t>
      </w:r>
      <w:r w:rsidRPr="009333C0">
        <w:t xml:space="preserve"> (Creswell and Poth, 2023). </w:t>
      </w:r>
      <w:r w:rsidR="001915D3">
        <w:t>Approaching the NHS WLB externality with analytical distance reduces</w:t>
      </w:r>
      <w:r w:rsidR="00FB0B39">
        <w:t xml:space="preserve"> some forms of professional deference</w:t>
      </w:r>
      <w:r w:rsidR="001915D3">
        <w:t>. Still, it imposes</w:t>
      </w:r>
      <w:r w:rsidR="00FB0B39">
        <w:t xml:space="preserve"> interpretative constraints when </w:t>
      </w:r>
      <w:r w:rsidRPr="009333C0">
        <w:t xml:space="preserve">working with the lived specificity of nursing or allied health work. Reflexivity will encompass the long-term, systematic concern about how the assumptions, theoretical commitments, and interpretive selections of the researcher might influence the creation of themes, such as the danger of focusing too much on the accountability of the managerial deficit </w:t>
      </w:r>
      <w:r w:rsidRPr="009333C0">
        <w:lastRenderedPageBreak/>
        <w:t xml:space="preserve">in case of being critically oriented, or vice versa, of introducing managerial accounts of deficit to the analysis. A reflexivity journal will be kept during </w:t>
      </w:r>
      <w:r w:rsidR="00FB0B39">
        <w:t>fieldwork and analysis, and interpretations will be sent back to two or three participants for member checking (Braun and Clarke, 2022), with frequent supervisor checks serving as an additional</w:t>
      </w:r>
      <w:r w:rsidRPr="009333C0">
        <w:t xml:space="preserve"> source of analytical responsibility.</w:t>
      </w:r>
    </w:p>
    <w:p w14:paraId="472252E8" w14:textId="77777777" w:rsidR="009773C8" w:rsidRDefault="00C64280" w:rsidP="00086C29">
      <w:pPr>
        <w:pStyle w:val="Heading1"/>
        <w:spacing w:before="0" w:after="120" w:line="480" w:lineRule="auto"/>
      </w:pPr>
      <w:bookmarkStart w:id="31" w:name="_Toc225816418"/>
      <w:r>
        <w:t>Section 4: Outcomes and Timetable</w:t>
      </w:r>
      <w:bookmarkEnd w:id="31"/>
    </w:p>
    <w:p w14:paraId="472252E9" w14:textId="77777777" w:rsidR="009773C8" w:rsidRDefault="00C64280" w:rsidP="00086C29">
      <w:pPr>
        <w:pStyle w:val="Heading2"/>
        <w:spacing w:before="0" w:line="480" w:lineRule="auto"/>
      </w:pPr>
      <w:bookmarkStart w:id="32" w:name="_Toc225816419"/>
      <w:r>
        <w:t>4.1 Anticipated Outcomes and Research Contribution</w:t>
      </w:r>
      <w:bookmarkEnd w:id="32"/>
    </w:p>
    <w:p w14:paraId="7DD97315" w14:textId="484225F3" w:rsidR="00DF5BD1" w:rsidRDefault="00DF5BD1" w:rsidP="00086C29">
      <w:pPr>
        <w:spacing w:after="120" w:line="480" w:lineRule="auto"/>
        <w:jc w:val="both"/>
      </w:pPr>
      <w:r>
        <w:t xml:space="preserve">It is expected that there will be three types of contributions in this study. Hypothetically, it will use the post-COVID NHS setting to test whether the three-component model of commitment and Work-Life Border Theory also needs contextualization </w:t>
      </w:r>
      <w:r w:rsidR="00FB0B39">
        <w:t>to address</w:t>
      </w:r>
      <w:r>
        <w:t xml:space="preserve"> the unique demands of the healthcare work setting, such as the nature of emotional labour requirements, rotation systems, and changes in post-pandemic expectations. According to Harding et al. (2025) and Sambrook et al. (2025), the development of grounded theories in the study of the NHS workforce remains a </w:t>
      </w:r>
      <w:r w:rsidR="00FB0B39">
        <w:t>pressing need, and the current study has the potential to contribute</w:t>
      </w:r>
      <w:r>
        <w:t xml:space="preserve"> to this new agenda.</w:t>
      </w:r>
    </w:p>
    <w:p w14:paraId="472252EB" w14:textId="646151B9" w:rsidR="009773C8" w:rsidRDefault="00DF5BD1" w:rsidP="00086C29">
      <w:pPr>
        <w:spacing w:after="120" w:line="480" w:lineRule="auto"/>
        <w:jc w:val="both"/>
      </w:pPr>
      <w:r>
        <w:t xml:space="preserve">In fact, the research will provide empirical data on the effects of WLB policies on NHS employees </w:t>
      </w:r>
      <w:r w:rsidR="00FB0B39">
        <w:t xml:space="preserve">across three staff categories, using interview data, which is currently </w:t>
      </w:r>
      <w:r>
        <w:t xml:space="preserve">largely lacking in the peer-reviewed literature. It will find that the results </w:t>
      </w:r>
      <w:r w:rsidR="00FB0B39">
        <w:t xml:space="preserve">shed light on how managers' discretion, workplace culture, and post-COVID expectations shape formal policy into </w:t>
      </w:r>
      <w:r>
        <w:t>a lived experience. In practical terms, the results will produce policy-relevant knowledge on NHS workforce strategy by informing the provision of WLB communication, implementation, and monitoring. Qualitative workforce research is of practical value</w:t>
      </w:r>
      <w:r w:rsidR="00FB0B39">
        <w:t xml:space="preserve">, according to Remnant et al. (2025), and this study will emulate the model in developing </w:t>
      </w:r>
      <w:r>
        <w:t>NHS retention strategies.</w:t>
      </w:r>
    </w:p>
    <w:p w14:paraId="472252EC" w14:textId="77777777" w:rsidR="009773C8" w:rsidRDefault="00C64280" w:rsidP="00086C29">
      <w:pPr>
        <w:pStyle w:val="Heading2"/>
        <w:spacing w:before="0" w:line="480" w:lineRule="auto"/>
      </w:pPr>
      <w:bookmarkStart w:id="33" w:name="_Toc225816420"/>
      <w:r>
        <w:t>4.2 Research Timetable</w:t>
      </w:r>
      <w:bookmarkEnd w:id="33"/>
    </w:p>
    <w:p w14:paraId="0D656BF3" w14:textId="110816A8" w:rsidR="0015391E" w:rsidRDefault="00DF5BD1" w:rsidP="00086C29">
      <w:pPr>
        <w:spacing w:after="120" w:line="480" w:lineRule="auto"/>
        <w:jc w:val="both"/>
      </w:pPr>
      <w:r w:rsidRPr="00DF5BD1">
        <w:t xml:space="preserve">The eight-month plan is proposed to be </w:t>
      </w:r>
      <w:r w:rsidR="00FB0B39">
        <w:t>carried out according to the formal ethics endorsement schedule, which allows sufficient time for each step, except</w:t>
      </w:r>
      <w:r w:rsidRPr="00DF5BD1">
        <w:t xml:space="preserve"> the piloting stage, which will take </w:t>
      </w:r>
      <w:r w:rsidRPr="00DF5BD1">
        <w:lastRenderedPageBreak/>
        <w:t>place in months three and four. The repetitive nature of qualitative data collection and analysis is integrated into the timeframe.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526"/>
        <w:gridCol w:w="696"/>
        <w:gridCol w:w="696"/>
        <w:gridCol w:w="696"/>
        <w:gridCol w:w="696"/>
        <w:gridCol w:w="696"/>
        <w:gridCol w:w="696"/>
        <w:gridCol w:w="696"/>
        <w:gridCol w:w="628"/>
      </w:tblGrid>
      <w:tr w:rsidR="009773C8" w14:paraId="472252F7" w14:textId="77777777" w:rsidTr="0015391E">
        <w:tc>
          <w:tcPr>
            <w:tcW w:w="352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EE" w14:textId="77777777" w:rsidR="009773C8" w:rsidRPr="0015391E" w:rsidRDefault="00C64280" w:rsidP="00086C29">
            <w:pPr>
              <w:spacing w:after="120" w:line="276" w:lineRule="auto"/>
              <w:rPr>
                <w:color w:val="000000" w:themeColor="text1"/>
              </w:rPr>
            </w:pPr>
            <w:r w:rsidRPr="0015391E">
              <w:rPr>
                <w:b/>
                <w:bCs/>
                <w:color w:val="000000" w:themeColor="text1"/>
              </w:rPr>
              <w:t>Activity</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EF" w14:textId="77777777" w:rsidR="009773C8" w:rsidRPr="0015391E" w:rsidRDefault="00C64280" w:rsidP="00086C29">
            <w:pPr>
              <w:spacing w:after="120" w:line="276" w:lineRule="auto"/>
              <w:rPr>
                <w:color w:val="000000" w:themeColor="text1"/>
              </w:rPr>
            </w:pPr>
            <w:r w:rsidRPr="0015391E">
              <w:rPr>
                <w:b/>
                <w:bCs/>
                <w:color w:val="000000" w:themeColor="text1"/>
              </w:rPr>
              <w:t>M1</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0" w14:textId="77777777" w:rsidR="009773C8" w:rsidRPr="0015391E" w:rsidRDefault="00C64280" w:rsidP="00086C29">
            <w:pPr>
              <w:spacing w:after="120" w:line="276" w:lineRule="auto"/>
              <w:rPr>
                <w:color w:val="000000" w:themeColor="text1"/>
              </w:rPr>
            </w:pPr>
            <w:r w:rsidRPr="0015391E">
              <w:rPr>
                <w:b/>
                <w:bCs/>
                <w:color w:val="000000" w:themeColor="text1"/>
              </w:rPr>
              <w:t>M2</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1" w14:textId="77777777" w:rsidR="009773C8" w:rsidRPr="0015391E" w:rsidRDefault="00C64280" w:rsidP="00086C29">
            <w:pPr>
              <w:spacing w:after="120" w:line="276" w:lineRule="auto"/>
              <w:rPr>
                <w:color w:val="000000" w:themeColor="text1"/>
              </w:rPr>
            </w:pPr>
            <w:r w:rsidRPr="0015391E">
              <w:rPr>
                <w:b/>
                <w:bCs/>
                <w:color w:val="000000" w:themeColor="text1"/>
              </w:rPr>
              <w:t>M3</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2" w14:textId="77777777" w:rsidR="009773C8" w:rsidRPr="0015391E" w:rsidRDefault="00C64280" w:rsidP="00086C29">
            <w:pPr>
              <w:spacing w:after="120" w:line="276" w:lineRule="auto"/>
              <w:rPr>
                <w:color w:val="000000" w:themeColor="text1"/>
              </w:rPr>
            </w:pPr>
            <w:r w:rsidRPr="0015391E">
              <w:rPr>
                <w:b/>
                <w:bCs/>
                <w:color w:val="000000" w:themeColor="text1"/>
              </w:rPr>
              <w:t>M4</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3" w14:textId="77777777" w:rsidR="009773C8" w:rsidRPr="0015391E" w:rsidRDefault="00C64280" w:rsidP="00086C29">
            <w:pPr>
              <w:spacing w:after="120" w:line="276" w:lineRule="auto"/>
              <w:rPr>
                <w:color w:val="000000" w:themeColor="text1"/>
              </w:rPr>
            </w:pPr>
            <w:r w:rsidRPr="0015391E">
              <w:rPr>
                <w:b/>
                <w:bCs/>
                <w:color w:val="000000" w:themeColor="text1"/>
              </w:rPr>
              <w:t>M5</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4" w14:textId="77777777" w:rsidR="009773C8" w:rsidRPr="0015391E" w:rsidRDefault="00C64280" w:rsidP="00086C29">
            <w:pPr>
              <w:spacing w:after="120" w:line="276" w:lineRule="auto"/>
              <w:rPr>
                <w:color w:val="000000" w:themeColor="text1"/>
              </w:rPr>
            </w:pPr>
            <w:r w:rsidRPr="0015391E">
              <w:rPr>
                <w:b/>
                <w:bCs/>
                <w:color w:val="000000" w:themeColor="text1"/>
              </w:rPr>
              <w:t>M6</w:t>
            </w:r>
          </w:p>
        </w:tc>
        <w:tc>
          <w:tcPr>
            <w:tcW w:w="696"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5" w14:textId="77777777" w:rsidR="009773C8" w:rsidRPr="0015391E" w:rsidRDefault="00C64280" w:rsidP="00086C29">
            <w:pPr>
              <w:spacing w:after="120" w:line="276" w:lineRule="auto"/>
              <w:rPr>
                <w:color w:val="000000" w:themeColor="text1"/>
              </w:rPr>
            </w:pPr>
            <w:r w:rsidRPr="0015391E">
              <w:rPr>
                <w:b/>
                <w:bCs/>
                <w:color w:val="000000" w:themeColor="text1"/>
              </w:rPr>
              <w:t>M7</w:t>
            </w:r>
          </w:p>
        </w:tc>
        <w:tc>
          <w:tcPr>
            <w:tcW w:w="628" w:type="dxa"/>
            <w:tcBorders>
              <w:top w:val="single" w:sz="4" w:space="0" w:color="2E75B6"/>
              <w:left w:val="single" w:sz="4" w:space="0" w:color="2E75B6"/>
              <w:bottom w:val="single" w:sz="4" w:space="0" w:color="2E75B6"/>
              <w:right w:val="single" w:sz="4" w:space="0" w:color="2E75B6"/>
            </w:tcBorders>
            <w:shd w:val="clear" w:color="auto" w:fill="DEEAF6" w:themeFill="accent5" w:themeFillTint="33"/>
            <w:tcMar>
              <w:top w:w="80" w:type="dxa"/>
              <w:left w:w="120" w:type="dxa"/>
              <w:bottom w:w="80" w:type="dxa"/>
              <w:right w:w="120" w:type="dxa"/>
            </w:tcMar>
          </w:tcPr>
          <w:p w14:paraId="472252F6" w14:textId="77777777" w:rsidR="009773C8" w:rsidRPr="0015391E" w:rsidRDefault="00C64280" w:rsidP="00086C29">
            <w:pPr>
              <w:spacing w:after="120" w:line="276" w:lineRule="auto"/>
              <w:rPr>
                <w:color w:val="000000" w:themeColor="text1"/>
              </w:rPr>
            </w:pPr>
            <w:r w:rsidRPr="0015391E">
              <w:rPr>
                <w:b/>
                <w:bCs/>
                <w:color w:val="000000" w:themeColor="text1"/>
              </w:rPr>
              <w:t>M8</w:t>
            </w:r>
          </w:p>
        </w:tc>
      </w:tr>
      <w:tr w:rsidR="009773C8" w14:paraId="47225301" w14:textId="77777777">
        <w:tc>
          <w:tcPr>
            <w:tcW w:w="3526" w:type="dxa"/>
            <w:tcBorders>
              <w:top w:val="single" w:sz="4" w:space="0" w:color="2E75B6"/>
              <w:left w:val="single" w:sz="4" w:space="0" w:color="2E75B6"/>
              <w:bottom w:val="single" w:sz="4" w:space="0" w:color="2E75B6"/>
              <w:right w:val="single" w:sz="4" w:space="0" w:color="2E75B6"/>
            </w:tcBorders>
            <w:shd w:val="clear" w:color="auto" w:fill="DAEEF3"/>
            <w:tcMar>
              <w:top w:w="80" w:type="dxa"/>
              <w:left w:w="120" w:type="dxa"/>
              <w:bottom w:w="80" w:type="dxa"/>
              <w:right w:w="120" w:type="dxa"/>
            </w:tcMar>
          </w:tcPr>
          <w:p w14:paraId="472252F8" w14:textId="77777777" w:rsidR="009773C8" w:rsidRDefault="00C64280" w:rsidP="00086C29">
            <w:pPr>
              <w:spacing w:after="120" w:line="276" w:lineRule="auto"/>
              <w:jc w:val="both"/>
            </w:pPr>
            <w:r>
              <w:rPr>
                <w:sz w:val="19"/>
                <w:szCs w:val="19"/>
              </w:rPr>
              <w:t>Literature review and proposal refinement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2F9"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2FA"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2FB"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2FC"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2FD"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2FE"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2FF" w14:textId="77777777" w:rsidR="009773C8" w:rsidRDefault="009773C8" w:rsidP="00086C29">
            <w:pPr>
              <w:spacing w:after="120" w:line="276" w:lineRule="auto"/>
              <w:jc w:val="center"/>
            </w:pP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0" w14:textId="77777777" w:rsidR="009773C8" w:rsidRDefault="009773C8" w:rsidP="00086C29">
            <w:pPr>
              <w:spacing w:after="120" w:line="276" w:lineRule="auto"/>
              <w:jc w:val="center"/>
            </w:pPr>
          </w:p>
        </w:tc>
      </w:tr>
      <w:tr w:rsidR="009773C8" w14:paraId="4722530B" w14:textId="77777777">
        <w:tc>
          <w:tcPr>
            <w:tcW w:w="3526" w:type="dxa"/>
            <w:tcBorders>
              <w:top w:val="single" w:sz="4" w:space="0" w:color="2E75B6"/>
              <w:left w:val="single" w:sz="4" w:space="0" w:color="2E75B6"/>
              <w:bottom w:val="single" w:sz="4" w:space="0" w:color="2E75B6"/>
              <w:right w:val="single" w:sz="4" w:space="0" w:color="2E75B6"/>
            </w:tcBorders>
            <w:shd w:val="clear" w:color="auto" w:fill="E2F0D9"/>
            <w:tcMar>
              <w:top w:w="80" w:type="dxa"/>
              <w:left w:w="120" w:type="dxa"/>
              <w:bottom w:w="80" w:type="dxa"/>
              <w:right w:w="120" w:type="dxa"/>
            </w:tcMar>
          </w:tcPr>
          <w:p w14:paraId="47225302" w14:textId="77777777" w:rsidR="009773C8" w:rsidRDefault="00C64280" w:rsidP="00086C29">
            <w:pPr>
              <w:spacing w:after="120" w:line="276" w:lineRule="auto"/>
              <w:jc w:val="both"/>
            </w:pPr>
            <w:r>
              <w:rPr>
                <w:sz w:val="19"/>
                <w:szCs w:val="19"/>
              </w:rPr>
              <w:t>Ethics application and approval</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3"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04"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05"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6"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7"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8"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9" w14:textId="77777777" w:rsidR="009773C8" w:rsidRDefault="009773C8" w:rsidP="00086C29">
            <w:pPr>
              <w:spacing w:after="120" w:line="276" w:lineRule="auto"/>
              <w:jc w:val="center"/>
            </w:pP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A" w14:textId="77777777" w:rsidR="009773C8" w:rsidRDefault="009773C8" w:rsidP="00086C29">
            <w:pPr>
              <w:spacing w:after="120" w:line="276" w:lineRule="auto"/>
              <w:jc w:val="center"/>
            </w:pPr>
          </w:p>
        </w:tc>
      </w:tr>
      <w:tr w:rsidR="009773C8" w14:paraId="47225315" w14:textId="77777777">
        <w:tc>
          <w:tcPr>
            <w:tcW w:w="3526" w:type="dxa"/>
            <w:tcBorders>
              <w:top w:val="single" w:sz="4" w:space="0" w:color="2E75B6"/>
              <w:left w:val="single" w:sz="4" w:space="0" w:color="2E75B6"/>
              <w:bottom w:val="single" w:sz="4" w:space="0" w:color="2E75B6"/>
              <w:right w:val="single" w:sz="4" w:space="0" w:color="2E75B6"/>
            </w:tcBorders>
            <w:shd w:val="clear" w:color="auto" w:fill="FFF2CC"/>
            <w:tcMar>
              <w:top w:w="80" w:type="dxa"/>
              <w:left w:w="120" w:type="dxa"/>
              <w:bottom w:w="80" w:type="dxa"/>
              <w:right w:w="120" w:type="dxa"/>
            </w:tcMar>
          </w:tcPr>
          <w:p w14:paraId="4722530C" w14:textId="77777777" w:rsidR="009773C8" w:rsidRDefault="00C64280" w:rsidP="00086C29">
            <w:pPr>
              <w:spacing w:after="120" w:line="276" w:lineRule="auto"/>
              <w:jc w:val="both"/>
            </w:pPr>
            <w:r>
              <w:rPr>
                <w:sz w:val="19"/>
                <w:szCs w:val="19"/>
              </w:rPr>
              <w:t>Pilot interviews (n=2) and guide revision</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D"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0E"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0F"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10"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1"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2"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3" w14:textId="77777777" w:rsidR="009773C8" w:rsidRDefault="009773C8" w:rsidP="00086C29">
            <w:pPr>
              <w:spacing w:after="120" w:line="276" w:lineRule="auto"/>
              <w:jc w:val="center"/>
            </w:pP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4" w14:textId="77777777" w:rsidR="009773C8" w:rsidRDefault="009773C8" w:rsidP="00086C29">
            <w:pPr>
              <w:spacing w:after="120" w:line="276" w:lineRule="auto"/>
              <w:jc w:val="center"/>
            </w:pPr>
          </w:p>
        </w:tc>
      </w:tr>
      <w:tr w:rsidR="009773C8" w14:paraId="4722531F" w14:textId="77777777">
        <w:tc>
          <w:tcPr>
            <w:tcW w:w="3526" w:type="dxa"/>
            <w:tcBorders>
              <w:top w:val="single" w:sz="4" w:space="0" w:color="2E75B6"/>
              <w:left w:val="single" w:sz="4" w:space="0" w:color="2E75B6"/>
              <w:bottom w:val="single" w:sz="4" w:space="0" w:color="2E75B6"/>
              <w:right w:val="single" w:sz="4" w:space="0" w:color="2E75B6"/>
            </w:tcBorders>
            <w:shd w:val="clear" w:color="auto" w:fill="FCE4D6"/>
            <w:tcMar>
              <w:top w:w="80" w:type="dxa"/>
              <w:left w:w="120" w:type="dxa"/>
              <w:bottom w:w="80" w:type="dxa"/>
              <w:right w:w="120" w:type="dxa"/>
            </w:tcMar>
          </w:tcPr>
          <w:p w14:paraId="47225316" w14:textId="77777777" w:rsidR="009773C8" w:rsidRDefault="00C64280" w:rsidP="00086C29">
            <w:pPr>
              <w:spacing w:after="120" w:line="276" w:lineRule="auto"/>
              <w:jc w:val="both"/>
            </w:pPr>
            <w:r>
              <w:rPr>
                <w:sz w:val="19"/>
                <w:szCs w:val="19"/>
              </w:rPr>
              <w:t>Participant recruitment and access</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7"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8"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19"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1A"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B"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C"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D" w14:textId="77777777" w:rsidR="009773C8" w:rsidRDefault="009773C8" w:rsidP="00086C29">
            <w:pPr>
              <w:spacing w:after="120" w:line="276" w:lineRule="auto"/>
              <w:jc w:val="center"/>
            </w:pP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1E" w14:textId="77777777" w:rsidR="009773C8" w:rsidRDefault="009773C8" w:rsidP="00086C29">
            <w:pPr>
              <w:spacing w:after="120" w:line="276" w:lineRule="auto"/>
              <w:jc w:val="center"/>
            </w:pPr>
          </w:p>
        </w:tc>
      </w:tr>
      <w:tr w:rsidR="009773C8" w14:paraId="47225329" w14:textId="77777777">
        <w:tc>
          <w:tcPr>
            <w:tcW w:w="3526" w:type="dxa"/>
            <w:tcBorders>
              <w:top w:val="single" w:sz="4" w:space="0" w:color="2E75B6"/>
              <w:left w:val="single" w:sz="4" w:space="0" w:color="2E75B6"/>
              <w:bottom w:val="single" w:sz="4" w:space="0" w:color="2E75B6"/>
              <w:right w:val="single" w:sz="4" w:space="0" w:color="2E75B6"/>
            </w:tcBorders>
            <w:shd w:val="clear" w:color="auto" w:fill="EAD1DC"/>
            <w:tcMar>
              <w:top w:w="80" w:type="dxa"/>
              <w:left w:w="120" w:type="dxa"/>
              <w:bottom w:w="80" w:type="dxa"/>
              <w:right w:w="120" w:type="dxa"/>
            </w:tcMar>
          </w:tcPr>
          <w:p w14:paraId="47225320" w14:textId="77777777" w:rsidR="009773C8" w:rsidRDefault="00C64280" w:rsidP="00086C29">
            <w:pPr>
              <w:spacing w:after="120" w:line="276" w:lineRule="auto"/>
              <w:jc w:val="both"/>
            </w:pPr>
            <w:r>
              <w:rPr>
                <w:sz w:val="19"/>
                <w:szCs w:val="19"/>
              </w:rPr>
              <w:t>Main interviews (n=8)</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1"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2"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3"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24"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25"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6"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7" w14:textId="77777777" w:rsidR="009773C8" w:rsidRDefault="009773C8" w:rsidP="00086C29">
            <w:pPr>
              <w:spacing w:after="120" w:line="276" w:lineRule="auto"/>
              <w:jc w:val="center"/>
            </w:pP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8" w14:textId="77777777" w:rsidR="009773C8" w:rsidRDefault="009773C8" w:rsidP="00086C29">
            <w:pPr>
              <w:spacing w:after="120" w:line="276" w:lineRule="auto"/>
              <w:jc w:val="center"/>
            </w:pPr>
          </w:p>
        </w:tc>
      </w:tr>
      <w:tr w:rsidR="009773C8" w14:paraId="47225333" w14:textId="77777777">
        <w:tc>
          <w:tcPr>
            <w:tcW w:w="3526" w:type="dxa"/>
            <w:tcBorders>
              <w:top w:val="single" w:sz="4" w:space="0" w:color="2E75B6"/>
              <w:left w:val="single" w:sz="4" w:space="0" w:color="2E75B6"/>
              <w:bottom w:val="single" w:sz="4" w:space="0" w:color="2E75B6"/>
              <w:right w:val="single" w:sz="4" w:space="0" w:color="2E75B6"/>
            </w:tcBorders>
            <w:shd w:val="clear" w:color="auto" w:fill="D9EAD3"/>
            <w:tcMar>
              <w:top w:w="80" w:type="dxa"/>
              <w:left w:w="120" w:type="dxa"/>
              <w:bottom w:w="80" w:type="dxa"/>
              <w:right w:w="120" w:type="dxa"/>
            </w:tcMar>
          </w:tcPr>
          <w:p w14:paraId="4722532A" w14:textId="77777777" w:rsidR="009773C8" w:rsidRDefault="00C64280" w:rsidP="00086C29">
            <w:pPr>
              <w:spacing w:after="120" w:line="276" w:lineRule="auto"/>
              <w:jc w:val="both"/>
            </w:pPr>
            <w:r>
              <w:rPr>
                <w:sz w:val="19"/>
                <w:szCs w:val="19"/>
              </w:rPr>
              <w:t>Transcription and data management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B"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C"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D"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2E"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2F"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30"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1" w14:textId="77777777" w:rsidR="009773C8" w:rsidRDefault="009773C8" w:rsidP="00086C29">
            <w:pPr>
              <w:spacing w:after="120" w:line="276" w:lineRule="auto"/>
              <w:jc w:val="center"/>
            </w:pP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2" w14:textId="77777777" w:rsidR="009773C8" w:rsidRDefault="009773C8" w:rsidP="00086C29">
            <w:pPr>
              <w:spacing w:after="120" w:line="276" w:lineRule="auto"/>
              <w:jc w:val="center"/>
            </w:pPr>
          </w:p>
        </w:tc>
      </w:tr>
      <w:tr w:rsidR="009773C8" w14:paraId="4722533D" w14:textId="77777777">
        <w:tc>
          <w:tcPr>
            <w:tcW w:w="3526" w:type="dxa"/>
            <w:tcBorders>
              <w:top w:val="single" w:sz="4" w:space="0" w:color="2E75B6"/>
              <w:left w:val="single" w:sz="4" w:space="0" w:color="2E75B6"/>
              <w:bottom w:val="single" w:sz="4" w:space="0" w:color="2E75B6"/>
              <w:right w:val="single" w:sz="4" w:space="0" w:color="2E75B6"/>
            </w:tcBorders>
            <w:shd w:val="clear" w:color="auto" w:fill="DAEEF3"/>
            <w:tcMar>
              <w:top w:w="80" w:type="dxa"/>
              <w:left w:w="120" w:type="dxa"/>
              <w:bottom w:w="80" w:type="dxa"/>
              <w:right w:w="120" w:type="dxa"/>
            </w:tcMar>
          </w:tcPr>
          <w:p w14:paraId="47225334" w14:textId="77777777" w:rsidR="009773C8" w:rsidRDefault="00C64280" w:rsidP="00086C29">
            <w:pPr>
              <w:spacing w:after="120" w:line="276" w:lineRule="auto"/>
              <w:jc w:val="both"/>
            </w:pPr>
            <w:r>
              <w:rPr>
                <w:sz w:val="19"/>
                <w:szCs w:val="19"/>
              </w:rPr>
              <w:t>Reflexive thematic analysis (NVivo)</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5"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6"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7"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8"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9"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3A" w14:textId="77777777" w:rsidR="009773C8" w:rsidRDefault="00C64280" w:rsidP="00086C29">
            <w:pPr>
              <w:spacing w:after="120" w:line="276" w:lineRule="auto"/>
              <w:jc w:val="center"/>
            </w:pPr>
            <w:r>
              <w:rPr>
                <w:color w:val="FFFFFF"/>
                <w:sz w:val="18"/>
                <w:szCs w:val="18"/>
              </w:rPr>
              <w:t>✓</w:t>
            </w: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3B" w14:textId="77777777" w:rsidR="009773C8" w:rsidRDefault="00C64280" w:rsidP="00086C29">
            <w:pPr>
              <w:spacing w:after="120" w:line="276" w:lineRule="auto"/>
              <w:jc w:val="center"/>
            </w:pPr>
            <w:r>
              <w:rPr>
                <w:color w:val="FFFFFF"/>
                <w:sz w:val="18"/>
                <w:szCs w:val="18"/>
              </w:rPr>
              <w:t>✓</w:t>
            </w:r>
          </w:p>
        </w:tc>
        <w:tc>
          <w:tcPr>
            <w:tcW w:w="628"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C" w14:textId="77777777" w:rsidR="009773C8" w:rsidRDefault="009773C8" w:rsidP="00086C29">
            <w:pPr>
              <w:spacing w:after="120" w:line="276" w:lineRule="auto"/>
              <w:jc w:val="center"/>
            </w:pPr>
          </w:p>
        </w:tc>
      </w:tr>
      <w:tr w:rsidR="009773C8" w14:paraId="47225347" w14:textId="77777777">
        <w:tc>
          <w:tcPr>
            <w:tcW w:w="3526" w:type="dxa"/>
            <w:tcBorders>
              <w:top w:val="single" w:sz="4" w:space="0" w:color="2E75B6"/>
              <w:left w:val="single" w:sz="4" w:space="0" w:color="2E75B6"/>
              <w:bottom w:val="single" w:sz="4" w:space="0" w:color="2E75B6"/>
              <w:right w:val="single" w:sz="4" w:space="0" w:color="2E75B6"/>
            </w:tcBorders>
            <w:shd w:val="clear" w:color="auto" w:fill="E2F0D9"/>
            <w:tcMar>
              <w:top w:w="80" w:type="dxa"/>
              <w:left w:w="120" w:type="dxa"/>
              <w:bottom w:w="80" w:type="dxa"/>
              <w:right w:w="120" w:type="dxa"/>
            </w:tcMar>
          </w:tcPr>
          <w:p w14:paraId="4722533E" w14:textId="77777777" w:rsidR="009773C8" w:rsidRDefault="00C64280" w:rsidP="00086C29">
            <w:pPr>
              <w:spacing w:after="120" w:line="276" w:lineRule="auto"/>
              <w:jc w:val="both"/>
            </w:pPr>
            <w:r>
              <w:rPr>
                <w:sz w:val="19"/>
                <w:szCs w:val="19"/>
              </w:rPr>
              <w:t>Writing up, supervisor review, revisions</w:t>
            </w: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3F"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40"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41"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42"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43"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FFFFFF"/>
            <w:tcMar>
              <w:top w:w="60" w:type="dxa"/>
              <w:left w:w="60" w:type="dxa"/>
              <w:bottom w:w="60" w:type="dxa"/>
              <w:right w:w="60" w:type="dxa"/>
            </w:tcMar>
          </w:tcPr>
          <w:p w14:paraId="47225344" w14:textId="77777777" w:rsidR="009773C8" w:rsidRDefault="009773C8" w:rsidP="00086C29">
            <w:pPr>
              <w:spacing w:after="120" w:line="276" w:lineRule="auto"/>
              <w:jc w:val="center"/>
            </w:pPr>
          </w:p>
        </w:tc>
        <w:tc>
          <w:tcPr>
            <w:tcW w:w="696"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45" w14:textId="77777777" w:rsidR="009773C8" w:rsidRDefault="00C64280" w:rsidP="00086C29">
            <w:pPr>
              <w:spacing w:after="120" w:line="276" w:lineRule="auto"/>
              <w:jc w:val="center"/>
            </w:pPr>
            <w:r>
              <w:rPr>
                <w:color w:val="FFFFFF"/>
                <w:sz w:val="18"/>
                <w:szCs w:val="18"/>
              </w:rPr>
              <w:t>✓</w:t>
            </w:r>
          </w:p>
        </w:tc>
        <w:tc>
          <w:tcPr>
            <w:tcW w:w="628" w:type="dxa"/>
            <w:tcBorders>
              <w:top w:val="single" w:sz="4" w:space="0" w:color="2E75B6"/>
              <w:left w:val="single" w:sz="4" w:space="0" w:color="2E75B6"/>
              <w:bottom w:val="single" w:sz="4" w:space="0" w:color="2E75B6"/>
              <w:right w:val="single" w:sz="4" w:space="0" w:color="2E75B6"/>
            </w:tcBorders>
            <w:shd w:val="clear" w:color="auto" w:fill="2E75B6"/>
            <w:tcMar>
              <w:top w:w="60" w:type="dxa"/>
              <w:left w:w="60" w:type="dxa"/>
              <w:bottom w:w="60" w:type="dxa"/>
              <w:right w:w="60" w:type="dxa"/>
            </w:tcMar>
          </w:tcPr>
          <w:p w14:paraId="47225346" w14:textId="77777777" w:rsidR="009773C8" w:rsidRDefault="00C64280" w:rsidP="00086C29">
            <w:pPr>
              <w:spacing w:after="120" w:line="276" w:lineRule="auto"/>
              <w:jc w:val="center"/>
            </w:pPr>
            <w:r>
              <w:rPr>
                <w:color w:val="FFFFFF"/>
                <w:sz w:val="18"/>
                <w:szCs w:val="18"/>
              </w:rPr>
              <w:t>✓</w:t>
            </w:r>
          </w:p>
        </w:tc>
      </w:tr>
    </w:tbl>
    <w:p w14:paraId="47225348" w14:textId="77777777" w:rsidR="009773C8" w:rsidRDefault="00C64280" w:rsidP="00086C29">
      <w:pPr>
        <w:spacing w:after="120" w:line="480" w:lineRule="auto"/>
        <w:jc w:val="center"/>
      </w:pPr>
      <w:r>
        <w:rPr>
          <w:i/>
          <w:iCs/>
          <w:color w:val="595959"/>
        </w:rPr>
        <w:t>Table 4: Proposed eight-month research timeline (Gantt chart format)</w:t>
      </w:r>
    </w:p>
    <w:p w14:paraId="47225349" w14:textId="77777777" w:rsidR="009773C8" w:rsidRDefault="00C64280" w:rsidP="00086C29">
      <w:pPr>
        <w:pStyle w:val="Heading2"/>
        <w:spacing w:before="0" w:line="480" w:lineRule="auto"/>
      </w:pPr>
      <w:bookmarkStart w:id="34" w:name="_Toc225816421"/>
      <w:r>
        <w:t>4.3 Resources and Feasibility</w:t>
      </w:r>
      <w:bookmarkEnd w:id="34"/>
    </w:p>
    <w:p w14:paraId="4722534A" w14:textId="3432E3F7" w:rsidR="009773C8" w:rsidRDefault="00B70EEC" w:rsidP="00086C29">
      <w:pPr>
        <w:spacing w:after="120" w:line="480" w:lineRule="auto"/>
        <w:jc w:val="both"/>
      </w:pPr>
      <w:r w:rsidRPr="00B70EEC">
        <w:t xml:space="preserve">The research is calibrated </w:t>
      </w:r>
      <w:r w:rsidR="00FB0B39">
        <w:t>to a realistic scope for</w:t>
      </w:r>
      <w:r w:rsidRPr="00B70EEC">
        <w:t xml:space="preserve"> postgraduate MBA research. It will not demand any external financing. The support </w:t>
      </w:r>
      <w:r w:rsidR="00FB0B39">
        <w:t>for feasibility includes: NHS professional networks accessible via academic connections; no NHS REC consent required; reflexive thematic analysis is analytically self-sufficient; and the fact that eight purposely chosen interviews suffice to achieve theoretical saturation in narrow qualitative research, as</w:t>
      </w:r>
      <w:r w:rsidRPr="00B70EEC">
        <w:t xml:space="preserve"> cited by Hennink and Kaiser (2022). Table 5 sets out all the resource requirements.</w:t>
      </w:r>
    </w:p>
    <w:p w14:paraId="08F707E4" w14:textId="04146D51" w:rsidR="001849BA" w:rsidRDefault="001849BA" w:rsidP="00086C29">
      <w:pPr>
        <w:spacing w:after="120" w:line="480" w:lineRule="auto"/>
        <w:jc w:val="center"/>
        <w:rPr>
          <w:i/>
          <w:iCs/>
          <w:color w:val="595959"/>
        </w:rPr>
      </w:pPr>
      <w:r w:rsidRPr="001849BA">
        <w:rPr>
          <w:i/>
          <w:iCs/>
          <w:noProof/>
          <w:color w:val="595959"/>
          <w:lang w:eastAsia="zh-CN"/>
        </w:rPr>
        <w:lastRenderedPageBreak/>
        <w:drawing>
          <wp:inline distT="0" distB="0" distL="0" distR="0" wp14:anchorId="1EB26D6E" wp14:editId="3E1CE6DC">
            <wp:extent cx="5772956" cy="3534268"/>
            <wp:effectExtent l="0" t="0" r="0" b="9525"/>
            <wp:docPr id="1062776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76514" name=""/>
                    <pic:cNvPicPr/>
                  </pic:nvPicPr>
                  <pic:blipFill>
                    <a:blip r:embed="rId15"/>
                    <a:stretch>
                      <a:fillRect/>
                    </a:stretch>
                  </pic:blipFill>
                  <pic:spPr>
                    <a:xfrm>
                      <a:off x="0" y="0"/>
                      <a:ext cx="5772956" cy="3534268"/>
                    </a:xfrm>
                    <a:prstGeom prst="rect">
                      <a:avLst/>
                    </a:prstGeom>
                  </pic:spPr>
                </pic:pic>
              </a:graphicData>
            </a:graphic>
          </wp:inline>
        </w:drawing>
      </w:r>
    </w:p>
    <w:p w14:paraId="47225367" w14:textId="7ED33DCE" w:rsidR="009773C8" w:rsidRDefault="00C64280" w:rsidP="00086C29">
      <w:pPr>
        <w:spacing w:after="120" w:line="480" w:lineRule="auto"/>
        <w:jc w:val="center"/>
      </w:pPr>
      <w:r>
        <w:rPr>
          <w:i/>
          <w:iCs/>
          <w:color w:val="595959"/>
        </w:rPr>
        <w:t>Table 5: Resource requirements and feasibility assessment</w:t>
      </w:r>
    </w:p>
    <w:p w14:paraId="47225368" w14:textId="77777777" w:rsidR="009773C8" w:rsidRDefault="00C64280" w:rsidP="00086C29">
      <w:pPr>
        <w:spacing w:after="120" w:line="480" w:lineRule="auto"/>
      </w:pPr>
      <w:r>
        <w:br w:type="page"/>
      </w:r>
    </w:p>
    <w:p w14:paraId="47225369" w14:textId="77777777" w:rsidR="009773C8" w:rsidRDefault="00C64280" w:rsidP="00086C29">
      <w:pPr>
        <w:pStyle w:val="Heading1"/>
        <w:spacing w:before="0" w:after="120" w:line="480" w:lineRule="auto"/>
      </w:pPr>
      <w:bookmarkStart w:id="35" w:name="_Toc225816422"/>
      <w:r>
        <w:lastRenderedPageBreak/>
        <w:t>Reference List</w:t>
      </w:r>
      <w:bookmarkEnd w:id="35"/>
    </w:p>
    <w:p w14:paraId="4722536A" w14:textId="3A81D96C" w:rsidR="009773C8" w:rsidRDefault="00C64280" w:rsidP="00086C29">
      <w:pPr>
        <w:pStyle w:val="ListParagraph"/>
        <w:numPr>
          <w:ilvl w:val="0"/>
          <w:numId w:val="2"/>
        </w:numPr>
        <w:spacing w:after="120" w:line="480" w:lineRule="auto"/>
        <w:ind w:left="360"/>
        <w:jc w:val="both"/>
      </w:pPr>
      <w:r w:rsidRPr="004E0533">
        <w:rPr>
          <w:sz w:val="20"/>
          <w:szCs w:val="20"/>
        </w:rPr>
        <w:t>Adisa, T.A., Gbadamosi, G. and Osabutey, E.L.C. (2017)</w:t>
      </w:r>
      <w:r w:rsidR="00FB0B39">
        <w:rPr>
          <w:sz w:val="20"/>
          <w:szCs w:val="20"/>
        </w:rPr>
        <w:t>.</w:t>
      </w:r>
      <w:r w:rsidRPr="004E0533">
        <w:rPr>
          <w:sz w:val="20"/>
          <w:szCs w:val="20"/>
        </w:rPr>
        <w:t xml:space="preserve"> What happened to the border? The role of mobile information technology devices on employees’ work-life balance. Personnel Review, 46(8), pp.1651–1671. doi:10.1108/pr-08-2016-0222.</w:t>
      </w:r>
    </w:p>
    <w:p w14:paraId="4722536B" w14:textId="7F20B29E" w:rsidR="009773C8" w:rsidRDefault="00C64280" w:rsidP="00086C29">
      <w:pPr>
        <w:pStyle w:val="ListParagraph"/>
        <w:numPr>
          <w:ilvl w:val="0"/>
          <w:numId w:val="2"/>
        </w:numPr>
        <w:spacing w:after="120" w:line="480" w:lineRule="auto"/>
        <w:ind w:left="360"/>
        <w:jc w:val="both"/>
      </w:pPr>
      <w:r w:rsidRPr="004E0533">
        <w:rPr>
          <w:sz w:val="20"/>
          <w:szCs w:val="20"/>
        </w:rPr>
        <w:t>Ahmad, M. and Wilkins, S. (2024)</w:t>
      </w:r>
      <w:r w:rsidR="00FB0B39">
        <w:rPr>
          <w:sz w:val="20"/>
          <w:szCs w:val="20"/>
        </w:rPr>
        <w:t>.</w:t>
      </w:r>
      <w:r w:rsidRPr="004E0533">
        <w:rPr>
          <w:sz w:val="20"/>
          <w:szCs w:val="20"/>
        </w:rPr>
        <w:t xml:space="preserve"> Purposive sampling in qualitative research: a framework for the entire journey. Quality &amp; Quantity, 59(2). Available at: https://link.springer.com/article/10.1007/s11135-024-02022-5 [Accessed 29 March 2026].</w:t>
      </w:r>
    </w:p>
    <w:p w14:paraId="4722536C" w14:textId="77777777" w:rsidR="009773C8" w:rsidRDefault="00C64280" w:rsidP="00086C29">
      <w:pPr>
        <w:pStyle w:val="ListParagraph"/>
        <w:numPr>
          <w:ilvl w:val="0"/>
          <w:numId w:val="2"/>
        </w:numPr>
        <w:spacing w:after="120" w:line="480" w:lineRule="auto"/>
        <w:ind w:left="360"/>
        <w:jc w:val="both"/>
      </w:pPr>
      <w:r w:rsidRPr="004E0533">
        <w:rPr>
          <w:sz w:val="20"/>
          <w:szCs w:val="20"/>
        </w:rPr>
        <w:t>Allen, N.J. and Meyer, J.P. (1990) The measurement and antecedents of affective, continuance and normative commitment to the organization. Journal of Occupational Psychology, 63(1), pp.1–18.</w:t>
      </w:r>
    </w:p>
    <w:p w14:paraId="4722536D" w14:textId="0CBBF9D8" w:rsidR="009773C8" w:rsidRDefault="00C64280" w:rsidP="00086C29">
      <w:pPr>
        <w:pStyle w:val="ListParagraph"/>
        <w:numPr>
          <w:ilvl w:val="0"/>
          <w:numId w:val="2"/>
        </w:numPr>
        <w:spacing w:after="120" w:line="480" w:lineRule="auto"/>
        <w:ind w:left="360"/>
        <w:jc w:val="both"/>
      </w:pPr>
      <w:r w:rsidRPr="004E0533">
        <w:rPr>
          <w:sz w:val="20"/>
          <w:szCs w:val="20"/>
        </w:rPr>
        <w:t>Arlie Russell Hochschild (1983)</w:t>
      </w:r>
      <w:r w:rsidR="001915D3">
        <w:rPr>
          <w:sz w:val="20"/>
          <w:szCs w:val="20"/>
        </w:rPr>
        <w:t>.</w:t>
      </w:r>
      <w:r w:rsidRPr="004E0533">
        <w:rPr>
          <w:sz w:val="20"/>
          <w:szCs w:val="20"/>
        </w:rPr>
        <w:t xml:space="preserve"> The managed heart: </w:t>
      </w:r>
      <w:r w:rsidR="001915D3">
        <w:rPr>
          <w:sz w:val="20"/>
          <w:szCs w:val="20"/>
        </w:rPr>
        <w:t>commercialisation</w:t>
      </w:r>
      <w:r w:rsidRPr="004E0533">
        <w:rPr>
          <w:sz w:val="20"/>
          <w:szCs w:val="20"/>
        </w:rPr>
        <w:t xml:space="preserve"> of human feeling. Berkeley: University of California Press.</w:t>
      </w:r>
    </w:p>
    <w:p w14:paraId="4722536E" w14:textId="77777777" w:rsidR="009773C8" w:rsidRDefault="00C64280" w:rsidP="00086C29">
      <w:pPr>
        <w:pStyle w:val="ListParagraph"/>
        <w:numPr>
          <w:ilvl w:val="0"/>
          <w:numId w:val="2"/>
        </w:numPr>
        <w:spacing w:after="120" w:line="480" w:lineRule="auto"/>
        <w:ind w:left="360"/>
        <w:jc w:val="both"/>
      </w:pPr>
      <w:r w:rsidRPr="004E0533">
        <w:rPr>
          <w:sz w:val="20"/>
          <w:szCs w:val="20"/>
        </w:rPr>
        <w:t>Asfahani, A.M. (2024) Beyond tokenism: the substantive impact of women directors on competitive dimensions. Journal of Infrastructure, Policy and Development, 8(13), p.9156. doi:10.24294/jipd9156.</w:t>
      </w:r>
    </w:p>
    <w:p w14:paraId="4722536F" w14:textId="77777777" w:rsidR="009773C8" w:rsidRDefault="00C64280" w:rsidP="00086C29">
      <w:pPr>
        <w:pStyle w:val="ListParagraph"/>
        <w:numPr>
          <w:ilvl w:val="0"/>
          <w:numId w:val="2"/>
        </w:numPr>
        <w:spacing w:after="120" w:line="480" w:lineRule="auto"/>
        <w:ind w:left="360"/>
        <w:jc w:val="both"/>
      </w:pPr>
      <w:r w:rsidRPr="004E0533">
        <w:rPr>
          <w:sz w:val="20"/>
          <w:szCs w:val="20"/>
        </w:rPr>
        <w:t>Azdha, A., Jusoh, M. and Tham, J. (2023) Validating Meyer and Allen’s Three Component Model Employee Commitment Survey in the context of the resort sector of the Maldives. The Maldives National Journal of Research, 11(2), pp.65–82. doi:10.62338/5pgtsy05.</w:t>
      </w:r>
    </w:p>
    <w:p w14:paraId="47225370" w14:textId="77777777" w:rsidR="009773C8" w:rsidRDefault="00C64280" w:rsidP="00086C29">
      <w:pPr>
        <w:pStyle w:val="ListParagraph"/>
        <w:numPr>
          <w:ilvl w:val="0"/>
          <w:numId w:val="2"/>
        </w:numPr>
        <w:spacing w:after="120" w:line="480" w:lineRule="auto"/>
        <w:ind w:left="360"/>
        <w:jc w:val="both"/>
      </w:pPr>
      <w:r w:rsidRPr="004E0533">
        <w:rPr>
          <w:sz w:val="20"/>
          <w:szCs w:val="20"/>
        </w:rPr>
        <w:t>Bakker, A.B. and Demerouti, E. (2017) Job demands–resources theory: taking stock and looking forward. Journal of Occupational Health Psychology, 22(3), pp.273–285. doi:10.1037/ocp0000056.</w:t>
      </w:r>
    </w:p>
    <w:p w14:paraId="47225371" w14:textId="77777777" w:rsidR="009773C8" w:rsidRDefault="00C64280" w:rsidP="00086C29">
      <w:pPr>
        <w:pStyle w:val="ListParagraph"/>
        <w:numPr>
          <w:ilvl w:val="0"/>
          <w:numId w:val="2"/>
        </w:numPr>
        <w:spacing w:after="120" w:line="480" w:lineRule="auto"/>
        <w:ind w:left="360"/>
        <w:jc w:val="both"/>
      </w:pPr>
      <w:r w:rsidRPr="004E0533">
        <w:rPr>
          <w:sz w:val="20"/>
          <w:szCs w:val="20"/>
        </w:rPr>
        <w:t>Ballantine, J.A., Wall, T. and Ward, A.M. (2022) Flexible working in the public sector – a case of inflexibility: senior managers’ experiences. Employee Relations: The International Journal, 44(6), pp.1273–1289. doi:10.1108/er-08-2020-0379.</w:t>
      </w:r>
    </w:p>
    <w:p w14:paraId="47225372" w14:textId="77777777" w:rsidR="009773C8" w:rsidRDefault="00C64280" w:rsidP="00086C29">
      <w:pPr>
        <w:pStyle w:val="ListParagraph"/>
        <w:numPr>
          <w:ilvl w:val="0"/>
          <w:numId w:val="2"/>
        </w:numPr>
        <w:spacing w:after="120" w:line="480" w:lineRule="auto"/>
        <w:ind w:left="360"/>
        <w:jc w:val="both"/>
      </w:pPr>
      <w:r w:rsidRPr="004E0533">
        <w:rPr>
          <w:sz w:val="20"/>
          <w:szCs w:val="20"/>
        </w:rPr>
        <w:t>Bandyopadhyay, C. (2024) Examining the moderating role of affective commitment on the influence of job satisfaction on intent to stay: evidence from healthcare technical staff. Annals of Neurosciences. doi:10.1177/09727531241302573.</w:t>
      </w:r>
    </w:p>
    <w:p w14:paraId="47225373" w14:textId="77777777" w:rsidR="009773C8" w:rsidRDefault="00C64280" w:rsidP="00086C29">
      <w:pPr>
        <w:pStyle w:val="ListParagraph"/>
        <w:numPr>
          <w:ilvl w:val="0"/>
          <w:numId w:val="2"/>
        </w:numPr>
        <w:spacing w:after="120" w:line="480" w:lineRule="auto"/>
        <w:ind w:left="360"/>
        <w:jc w:val="both"/>
      </w:pPr>
      <w:r w:rsidRPr="004E0533">
        <w:rPr>
          <w:sz w:val="20"/>
          <w:szCs w:val="20"/>
        </w:rPr>
        <w:t>Beauregard, T.A. and Henry, L.C. (2009) Making the link between work-life balance practices and organisational performance. Human Resource Management Review, 19(1), pp.9–22. doi:10.1016/j.hrmr.2008.09.001.</w:t>
      </w:r>
    </w:p>
    <w:p w14:paraId="47225374" w14:textId="77777777" w:rsidR="009773C8" w:rsidRDefault="00C64280" w:rsidP="00086C29">
      <w:pPr>
        <w:pStyle w:val="ListParagraph"/>
        <w:numPr>
          <w:ilvl w:val="0"/>
          <w:numId w:val="2"/>
        </w:numPr>
        <w:spacing w:after="120" w:line="480" w:lineRule="auto"/>
        <w:ind w:left="360"/>
        <w:jc w:val="both"/>
      </w:pPr>
      <w:r w:rsidRPr="004E0533">
        <w:rPr>
          <w:sz w:val="20"/>
          <w:szCs w:val="20"/>
        </w:rPr>
        <w:lastRenderedPageBreak/>
        <w:t>Bhargavi, B. (2025) Influence of remote work on employee well-being and productivity at software companies. International Journal of Research Publication and Reviews, 6(1), pp.166–173. doi:10.55248/gengpi.6.0125.0231.</w:t>
      </w:r>
    </w:p>
    <w:p w14:paraId="47225375" w14:textId="77777777" w:rsidR="009773C8" w:rsidRDefault="00C64280" w:rsidP="00086C29">
      <w:pPr>
        <w:pStyle w:val="ListParagraph"/>
        <w:numPr>
          <w:ilvl w:val="0"/>
          <w:numId w:val="2"/>
        </w:numPr>
        <w:spacing w:after="120" w:line="480" w:lineRule="auto"/>
        <w:ind w:left="360"/>
        <w:jc w:val="both"/>
      </w:pPr>
      <w:r w:rsidRPr="004E0533">
        <w:rPr>
          <w:sz w:val="20"/>
          <w:szCs w:val="20"/>
        </w:rPr>
        <w:t>Blaikie, N.W.H. (2010) Designing social research: the logic of anticipation. Cambridge: Polity Press.</w:t>
      </w:r>
    </w:p>
    <w:p w14:paraId="47225376" w14:textId="77777777" w:rsidR="009773C8" w:rsidRDefault="00C64280" w:rsidP="00086C29">
      <w:pPr>
        <w:pStyle w:val="ListParagraph"/>
        <w:numPr>
          <w:ilvl w:val="0"/>
          <w:numId w:val="2"/>
        </w:numPr>
        <w:spacing w:after="120" w:line="480" w:lineRule="auto"/>
        <w:ind w:left="360"/>
        <w:jc w:val="both"/>
      </w:pPr>
      <w:r w:rsidRPr="004E0533">
        <w:rPr>
          <w:sz w:val="20"/>
          <w:szCs w:val="20"/>
        </w:rPr>
        <w:t>Blair-Loy, M. and Wharton, A.S. (2002) Employees’ use of work-family policies and the workplace social context. Social Forces, 80(3), pp.813–845. doi:10.1353/sof.2002.0002.</w:t>
      </w:r>
    </w:p>
    <w:p w14:paraId="47225377" w14:textId="77777777" w:rsidR="009773C8" w:rsidRDefault="00C64280" w:rsidP="00086C29">
      <w:pPr>
        <w:pStyle w:val="ListParagraph"/>
        <w:numPr>
          <w:ilvl w:val="0"/>
          <w:numId w:val="2"/>
        </w:numPr>
        <w:spacing w:after="120" w:line="480" w:lineRule="auto"/>
        <w:ind w:left="360"/>
        <w:jc w:val="both"/>
      </w:pPr>
      <w:r w:rsidRPr="004E0533">
        <w:rPr>
          <w:sz w:val="20"/>
          <w:szCs w:val="20"/>
        </w:rPr>
        <w:t>Bloom, N., Liang, J., Roberts, J. and Ying, Z.J. (2015) Does working from home work? Evidence from a Chinese experiment. The Quarterly Journal of Economics, 130(1), pp.165–218. doi:10.1093/qje/qju032.</w:t>
      </w:r>
    </w:p>
    <w:p w14:paraId="47225378" w14:textId="77777777" w:rsidR="009773C8" w:rsidRDefault="00C64280" w:rsidP="00086C29">
      <w:pPr>
        <w:pStyle w:val="ListParagraph"/>
        <w:numPr>
          <w:ilvl w:val="0"/>
          <w:numId w:val="2"/>
        </w:numPr>
        <w:spacing w:after="120" w:line="480" w:lineRule="auto"/>
        <w:ind w:left="360"/>
        <w:jc w:val="both"/>
      </w:pPr>
      <w:r w:rsidRPr="004E0533">
        <w:rPr>
          <w:sz w:val="20"/>
          <w:szCs w:val="20"/>
        </w:rPr>
        <w:t>Braun, V. and Clarke, V. (2006) Using thematic analysis in psychology. Qualitative Research in Psychology, 3(2), pp.77–101. doi:10.1191/1478088706qp063oa.</w:t>
      </w:r>
    </w:p>
    <w:p w14:paraId="47225379" w14:textId="77777777" w:rsidR="009773C8" w:rsidRDefault="00C64280" w:rsidP="00086C29">
      <w:pPr>
        <w:pStyle w:val="ListParagraph"/>
        <w:numPr>
          <w:ilvl w:val="0"/>
          <w:numId w:val="2"/>
        </w:numPr>
        <w:spacing w:after="120" w:line="480" w:lineRule="auto"/>
        <w:ind w:left="360"/>
        <w:jc w:val="both"/>
      </w:pPr>
      <w:r w:rsidRPr="004E0533">
        <w:rPr>
          <w:sz w:val="20"/>
          <w:szCs w:val="20"/>
        </w:rPr>
        <w:t>Braun, V. and Clarke, V. (2021) Thematic analysis: a practical guide. London: SAGE.</w:t>
      </w:r>
    </w:p>
    <w:p w14:paraId="4722537A" w14:textId="77777777" w:rsidR="009773C8" w:rsidRDefault="00C64280" w:rsidP="00086C29">
      <w:pPr>
        <w:pStyle w:val="ListParagraph"/>
        <w:numPr>
          <w:ilvl w:val="0"/>
          <w:numId w:val="2"/>
        </w:numPr>
        <w:spacing w:after="120" w:line="480" w:lineRule="auto"/>
        <w:ind w:left="360"/>
        <w:jc w:val="both"/>
      </w:pPr>
      <w:r w:rsidRPr="004E0533">
        <w:rPr>
          <w:sz w:val="20"/>
          <w:szCs w:val="20"/>
        </w:rPr>
        <w:t>Braun, V. and Clarke, V. (2022) Toward good practice in thematic analysis: avoiding common problems and be(com)ing a knowing researcher. International Journal of Transgender Health, 24(1), pp.1–6. doi:10.1080/26895269.2022.2129597.</w:t>
      </w:r>
    </w:p>
    <w:p w14:paraId="4722537B" w14:textId="77777777" w:rsidR="009773C8" w:rsidRDefault="00C64280" w:rsidP="00086C29">
      <w:pPr>
        <w:pStyle w:val="ListParagraph"/>
        <w:numPr>
          <w:ilvl w:val="0"/>
          <w:numId w:val="2"/>
        </w:numPr>
        <w:spacing w:after="120" w:line="480" w:lineRule="auto"/>
        <w:ind w:left="360"/>
        <w:jc w:val="both"/>
      </w:pPr>
      <w:r w:rsidRPr="004E0533">
        <w:rPr>
          <w:sz w:val="20"/>
          <w:szCs w:val="20"/>
        </w:rPr>
        <w:t>Braun, V. and Clarke, V. (2024) A critical review of the reporting of reflexive thematic analysis in Health Promotion International. Health Promotion International, 39(3). doi:10.1093/heapro/daae049.</w:t>
      </w:r>
    </w:p>
    <w:p w14:paraId="4722537C" w14:textId="77777777" w:rsidR="009773C8" w:rsidRDefault="00C64280" w:rsidP="00086C29">
      <w:pPr>
        <w:pStyle w:val="ListParagraph"/>
        <w:numPr>
          <w:ilvl w:val="0"/>
          <w:numId w:val="2"/>
        </w:numPr>
        <w:spacing w:after="120" w:line="480" w:lineRule="auto"/>
        <w:ind w:left="360"/>
        <w:jc w:val="both"/>
      </w:pPr>
      <w:r w:rsidRPr="004E0533">
        <w:rPr>
          <w:sz w:val="20"/>
          <w:szCs w:val="20"/>
        </w:rPr>
        <w:t>Bryman, A. (2016) Social research methods. 5th edn. Oxford: Oxford University Press.</w:t>
      </w:r>
    </w:p>
    <w:p w14:paraId="4722537D" w14:textId="77777777" w:rsidR="009773C8" w:rsidRDefault="00C64280" w:rsidP="00086C29">
      <w:pPr>
        <w:pStyle w:val="ListParagraph"/>
        <w:numPr>
          <w:ilvl w:val="0"/>
          <w:numId w:val="2"/>
        </w:numPr>
        <w:spacing w:after="120" w:line="480" w:lineRule="auto"/>
        <w:ind w:left="360"/>
        <w:jc w:val="both"/>
      </w:pPr>
      <w:r w:rsidRPr="004E0533">
        <w:rPr>
          <w:sz w:val="20"/>
          <w:szCs w:val="20"/>
        </w:rPr>
        <w:t>Chiniara, M. and Bentein, K. (2018) The servant leadership advantage: when perceiving low differentiation in leader-member relationship quality influences team cohesion, team task performance and service OCB. The Leadership Quarterly, 29(2), pp.333–345. doi:10.1016/j.leaqua.2017.05.002.</w:t>
      </w:r>
    </w:p>
    <w:p w14:paraId="4722537E" w14:textId="77777777" w:rsidR="009773C8" w:rsidRDefault="00C64280" w:rsidP="00086C29">
      <w:pPr>
        <w:pStyle w:val="ListParagraph"/>
        <w:numPr>
          <w:ilvl w:val="0"/>
          <w:numId w:val="2"/>
        </w:numPr>
        <w:spacing w:after="120" w:line="480" w:lineRule="auto"/>
        <w:ind w:left="360"/>
        <w:jc w:val="both"/>
      </w:pPr>
      <w:r w:rsidRPr="004E0533">
        <w:rPr>
          <w:sz w:val="20"/>
          <w:szCs w:val="20"/>
        </w:rPr>
        <w:t>Clark, S.C. (2000) Work/family border theory: a new theory of work/family balance. Human Relations, 53(6), pp.747–770. doi:10.1177/0018726700536001.</w:t>
      </w:r>
    </w:p>
    <w:p w14:paraId="4722537F" w14:textId="77777777" w:rsidR="009773C8" w:rsidRDefault="00C64280" w:rsidP="00086C29">
      <w:pPr>
        <w:pStyle w:val="ListParagraph"/>
        <w:numPr>
          <w:ilvl w:val="0"/>
          <w:numId w:val="2"/>
        </w:numPr>
        <w:spacing w:after="120" w:line="480" w:lineRule="auto"/>
        <w:ind w:left="360"/>
        <w:jc w:val="both"/>
      </w:pPr>
      <w:r w:rsidRPr="004E0533">
        <w:rPr>
          <w:sz w:val="20"/>
          <w:szCs w:val="20"/>
        </w:rPr>
        <w:t xml:space="preserve">Clarkson, C., Scott, H.R., Hegarty, S., Souliou, E., Bhundia, R., Gnanapragasam, S., Docherty, M.J., Raine, R., Stevelink, S.A., Greenberg, N., Hotopf, M., Wessely, S., Madan, I., Rafferty, A.M. and Lamb, D. (2023) ‘You get looked at like you’re failing’: a reflexive thematic analysis of experiences of </w:t>
      </w:r>
      <w:r w:rsidRPr="004E0533">
        <w:rPr>
          <w:sz w:val="20"/>
          <w:szCs w:val="20"/>
        </w:rPr>
        <w:lastRenderedPageBreak/>
        <w:t>mental health and wellbeing support for NHS staff. Journal of Health Psychology, 28(9). doi:10.1177/13591053221140255.</w:t>
      </w:r>
    </w:p>
    <w:p w14:paraId="47225380" w14:textId="77777777" w:rsidR="009773C8" w:rsidRDefault="00C64280" w:rsidP="00086C29">
      <w:pPr>
        <w:pStyle w:val="ListParagraph"/>
        <w:numPr>
          <w:ilvl w:val="0"/>
          <w:numId w:val="2"/>
        </w:numPr>
        <w:spacing w:after="120" w:line="480" w:lineRule="auto"/>
        <w:ind w:left="360"/>
        <w:jc w:val="both"/>
      </w:pPr>
      <w:r w:rsidRPr="004E0533">
        <w:rPr>
          <w:sz w:val="20"/>
          <w:szCs w:val="20"/>
        </w:rPr>
        <w:t>Collins, B.K. (2008) What’s the problem in public sector workforce recruitment? A multi-sector comparative analysis of managerial perceptions. International Journal of Public Administration, 31(14), pp.1592–1608. doi:10.1080/01900690802434214.</w:t>
      </w:r>
    </w:p>
    <w:p w14:paraId="47225381" w14:textId="77777777" w:rsidR="009773C8" w:rsidRDefault="00C64280" w:rsidP="00086C29">
      <w:pPr>
        <w:pStyle w:val="ListParagraph"/>
        <w:numPr>
          <w:ilvl w:val="0"/>
          <w:numId w:val="2"/>
        </w:numPr>
        <w:spacing w:after="120" w:line="480" w:lineRule="auto"/>
        <w:ind w:left="360"/>
        <w:jc w:val="both"/>
      </w:pPr>
      <w:r w:rsidRPr="004E0533">
        <w:rPr>
          <w:sz w:val="20"/>
          <w:szCs w:val="20"/>
        </w:rPr>
        <w:t>Creswell, J.W. and Poth, C.N. (2023) Qualitative inquiry and research design. 5th edn. London: SAGE Publications.</w:t>
      </w:r>
    </w:p>
    <w:p w14:paraId="47225382" w14:textId="77777777" w:rsidR="009773C8" w:rsidRDefault="00C64280" w:rsidP="00086C29">
      <w:pPr>
        <w:pStyle w:val="ListParagraph"/>
        <w:numPr>
          <w:ilvl w:val="0"/>
          <w:numId w:val="2"/>
        </w:numPr>
        <w:spacing w:after="120" w:line="480" w:lineRule="auto"/>
        <w:ind w:left="360"/>
        <w:jc w:val="both"/>
      </w:pPr>
      <w:r w:rsidRPr="004E0533">
        <w:rPr>
          <w:sz w:val="20"/>
          <w:szCs w:val="20"/>
        </w:rPr>
        <w:t>Crossingham, G., Ord, H.W., Hannon, F., Viira, D. and Plunkett, A. (2023) Learning from excellence: a thematic analysis of staff-reported excellence in healthcare from two acute NHS trusts. British Journal of Healthcare Management, 29(11), pp.1–18. doi:10.12968/bjhc.2023.0024.</w:t>
      </w:r>
    </w:p>
    <w:p w14:paraId="47225383" w14:textId="77777777" w:rsidR="009773C8" w:rsidRDefault="00C64280" w:rsidP="00086C29">
      <w:pPr>
        <w:pStyle w:val="ListParagraph"/>
        <w:numPr>
          <w:ilvl w:val="0"/>
          <w:numId w:val="2"/>
        </w:numPr>
        <w:spacing w:after="120" w:line="480" w:lineRule="auto"/>
        <w:ind w:left="360"/>
        <w:jc w:val="both"/>
      </w:pPr>
      <w:r w:rsidRPr="004E0533">
        <w:rPr>
          <w:sz w:val="20"/>
          <w:szCs w:val="20"/>
        </w:rPr>
        <w:t>Denzin, N.K. and Lincoln, Y.S. (2011) The SAGE handbook of qualitative research. 4th edn. Thousand Oaks: Sage Publications.</w:t>
      </w:r>
    </w:p>
    <w:p w14:paraId="47225384" w14:textId="77777777" w:rsidR="009773C8" w:rsidRDefault="00C64280" w:rsidP="00086C29">
      <w:pPr>
        <w:pStyle w:val="ListParagraph"/>
        <w:numPr>
          <w:ilvl w:val="0"/>
          <w:numId w:val="2"/>
        </w:numPr>
        <w:spacing w:after="120" w:line="480" w:lineRule="auto"/>
        <w:ind w:left="360"/>
        <w:jc w:val="both"/>
      </w:pPr>
      <w:r w:rsidRPr="004E0533">
        <w:rPr>
          <w:sz w:val="20"/>
          <w:szCs w:val="20"/>
        </w:rPr>
        <w:t>Dick, P. (2009) Bending over backwards? Using a pluralistic framework to explore the management of flexible working in the UK police service. British Journal of Management, 20(1), pp.S182–S193. doi:10.1111/j.1467-8551.2008.00636.x.</w:t>
      </w:r>
    </w:p>
    <w:p w14:paraId="47225385" w14:textId="77777777" w:rsidR="009773C8" w:rsidRDefault="00C64280" w:rsidP="00086C29">
      <w:pPr>
        <w:pStyle w:val="ListParagraph"/>
        <w:numPr>
          <w:ilvl w:val="0"/>
          <w:numId w:val="2"/>
        </w:numPr>
        <w:spacing w:after="120" w:line="480" w:lineRule="auto"/>
        <w:ind w:left="360"/>
        <w:jc w:val="both"/>
      </w:pPr>
      <w:r w:rsidRPr="004E0533">
        <w:rPr>
          <w:sz w:val="20"/>
          <w:szCs w:val="20"/>
        </w:rPr>
        <w:t>Fantahun, B., Dellie, E., Worku, N. and Debie, A. (2023) Organizational commitment and associated factors among health professionals working in public hospitals of southwestern Oromia, Ethiopia. BMC Health Services Research, 23(1). doi:10.1186/s12913-023-09167-3.</w:t>
      </w:r>
    </w:p>
    <w:p w14:paraId="47225386" w14:textId="77777777" w:rsidR="009773C8" w:rsidRDefault="00C64280" w:rsidP="00086C29">
      <w:pPr>
        <w:pStyle w:val="ListParagraph"/>
        <w:numPr>
          <w:ilvl w:val="0"/>
          <w:numId w:val="2"/>
        </w:numPr>
        <w:spacing w:after="120" w:line="480" w:lineRule="auto"/>
        <w:ind w:left="360"/>
        <w:jc w:val="both"/>
      </w:pPr>
      <w:r w:rsidRPr="004E0533">
        <w:rPr>
          <w:sz w:val="20"/>
          <w:szCs w:val="20"/>
        </w:rPr>
        <w:t>Gautam, S., Nazir, M.A. and Zhu, X. (2026) Leadership, organisational culture and workforce engagement in the NHS: a qualitative study of healthcare management dynamics. Journal of Health Organization and Management, pp.1–23. doi:10.1108/jhom-09-2025-0577.</w:t>
      </w:r>
    </w:p>
    <w:p w14:paraId="47225387" w14:textId="77777777" w:rsidR="009773C8" w:rsidRDefault="00C64280" w:rsidP="00086C29">
      <w:pPr>
        <w:pStyle w:val="ListParagraph"/>
        <w:numPr>
          <w:ilvl w:val="0"/>
          <w:numId w:val="2"/>
        </w:numPr>
        <w:spacing w:after="120" w:line="480" w:lineRule="auto"/>
        <w:ind w:left="360"/>
        <w:jc w:val="both"/>
      </w:pPr>
      <w:r w:rsidRPr="004E0533">
        <w:rPr>
          <w:sz w:val="20"/>
          <w:szCs w:val="20"/>
        </w:rPr>
        <w:t>Greenberg, N., Docherty, M., Gnanapragasam, S. and Wessely, S. (2020) Managing mental health challenges faced by healthcare workers during covid-19 pandemic. BMJ, 368, p.m1211. doi:10.1136/bmj.m1211.</w:t>
      </w:r>
    </w:p>
    <w:p w14:paraId="47225388" w14:textId="77777777" w:rsidR="009773C8" w:rsidRDefault="00C64280" w:rsidP="00086C29">
      <w:pPr>
        <w:pStyle w:val="ListParagraph"/>
        <w:numPr>
          <w:ilvl w:val="0"/>
          <w:numId w:val="2"/>
        </w:numPr>
        <w:spacing w:after="120" w:line="480" w:lineRule="auto"/>
        <w:ind w:left="360"/>
        <w:jc w:val="both"/>
      </w:pPr>
      <w:r w:rsidRPr="004E0533">
        <w:rPr>
          <w:sz w:val="20"/>
          <w:szCs w:val="20"/>
        </w:rPr>
        <w:t>Gubrium, J.F. (2012) The SAGE handbook of interview research: the complexity of the craft. Thousand Oaks: Sage Publications.</w:t>
      </w:r>
    </w:p>
    <w:p w14:paraId="47225389" w14:textId="77777777" w:rsidR="009773C8" w:rsidRDefault="00C64280" w:rsidP="00086C29">
      <w:pPr>
        <w:pStyle w:val="ListParagraph"/>
        <w:numPr>
          <w:ilvl w:val="0"/>
          <w:numId w:val="2"/>
        </w:numPr>
        <w:spacing w:after="120" w:line="480" w:lineRule="auto"/>
        <w:ind w:left="360"/>
        <w:jc w:val="both"/>
      </w:pPr>
      <w:r w:rsidRPr="004E0533">
        <w:rPr>
          <w:sz w:val="20"/>
          <w:szCs w:val="20"/>
        </w:rPr>
        <w:lastRenderedPageBreak/>
        <w:t>Haar, J.M., Russo, M., Suñe, A. and Ollier-Malaterre, A. (2014) Outcomes of work-life balance on job satisfaction, life satisfaction and mental health: a study across seven cultures. Journal of Vocational Behavior, 85(3), pp.361–373. doi:10.1016/j.jvb.2014.08.010.</w:t>
      </w:r>
    </w:p>
    <w:p w14:paraId="4722538A" w14:textId="77777777" w:rsidR="009773C8" w:rsidRDefault="00C64280" w:rsidP="00086C29">
      <w:pPr>
        <w:pStyle w:val="ListParagraph"/>
        <w:numPr>
          <w:ilvl w:val="0"/>
          <w:numId w:val="2"/>
        </w:numPr>
        <w:spacing w:after="120" w:line="480" w:lineRule="auto"/>
        <w:ind w:left="360"/>
        <w:jc w:val="both"/>
      </w:pPr>
      <w:r w:rsidRPr="004E0533">
        <w:rPr>
          <w:sz w:val="20"/>
          <w:szCs w:val="20"/>
        </w:rPr>
        <w:t>Harding, A., Ooi, J., Stinton, M., Russell, R. and Parke, S. (2025) Levels of stress and burnout in trainee and qualified NHS psychological professionals: a systematic review and narrative synthesis. Mental Health &amp; Prevention, pp.200453–200453. doi:10.1016/j.mhp.2025.200453.</w:t>
      </w:r>
    </w:p>
    <w:p w14:paraId="4722538B" w14:textId="77777777" w:rsidR="009773C8" w:rsidRDefault="00C64280" w:rsidP="00086C29">
      <w:pPr>
        <w:pStyle w:val="ListParagraph"/>
        <w:numPr>
          <w:ilvl w:val="0"/>
          <w:numId w:val="2"/>
        </w:numPr>
        <w:spacing w:after="120" w:line="480" w:lineRule="auto"/>
        <w:ind w:left="360"/>
        <w:jc w:val="both"/>
      </w:pPr>
      <w:r w:rsidRPr="004E0533">
        <w:rPr>
          <w:sz w:val="20"/>
          <w:szCs w:val="20"/>
        </w:rPr>
        <w:t>Healy, M. and Perry, C. (2000) Comprehensive criteria to judge validity and reliability of qualitative research within the realism paradigm. Qualitative Market Research: An International Journal, 3(3), pp.118–126. doi:10.1108/13522750010333861.</w:t>
      </w:r>
    </w:p>
    <w:p w14:paraId="4722538C" w14:textId="77777777" w:rsidR="009773C8" w:rsidRDefault="00C64280" w:rsidP="00086C29">
      <w:pPr>
        <w:pStyle w:val="ListParagraph"/>
        <w:numPr>
          <w:ilvl w:val="0"/>
          <w:numId w:val="2"/>
        </w:numPr>
        <w:spacing w:after="120" w:line="480" w:lineRule="auto"/>
        <w:ind w:left="360"/>
        <w:jc w:val="both"/>
      </w:pPr>
      <w:r w:rsidRPr="004E0533">
        <w:rPr>
          <w:sz w:val="20"/>
          <w:szCs w:val="20"/>
        </w:rPr>
        <w:t>Hennink, M. and Kaiser, B.N. (2022) Sample sizes for saturation in qualitative research: a systematic review of empirical tests. Social Science &amp; Medicine, 292, pp.1–10. doi:10.1016/j.socscimed.2021.114523.</w:t>
      </w:r>
    </w:p>
    <w:p w14:paraId="4722538D" w14:textId="77777777" w:rsidR="009773C8" w:rsidRDefault="00C64280" w:rsidP="00086C29">
      <w:pPr>
        <w:pStyle w:val="ListParagraph"/>
        <w:numPr>
          <w:ilvl w:val="0"/>
          <w:numId w:val="2"/>
        </w:numPr>
        <w:spacing w:after="120" w:line="480" w:lineRule="auto"/>
        <w:ind w:left="360"/>
        <w:jc w:val="both"/>
      </w:pPr>
      <w:r w:rsidRPr="004E0533">
        <w:rPr>
          <w:sz w:val="20"/>
          <w:szCs w:val="20"/>
        </w:rPr>
        <w:t>Hobbs, C. and Wood, E. (2025) What factors influence the retention of workers in NHS mental health crisis services in England? A reflexive thematic analysis. BMJ Open, 15(10), pp.e104551–e104551. doi:10.1136/bmjopen-2025-104551.</w:t>
      </w:r>
    </w:p>
    <w:p w14:paraId="4722538E" w14:textId="77777777" w:rsidR="009773C8" w:rsidRDefault="00C64280" w:rsidP="00086C29">
      <w:pPr>
        <w:pStyle w:val="ListParagraph"/>
        <w:numPr>
          <w:ilvl w:val="0"/>
          <w:numId w:val="2"/>
        </w:numPr>
        <w:spacing w:after="120" w:line="480" w:lineRule="auto"/>
        <w:ind w:left="360"/>
        <w:jc w:val="both"/>
      </w:pPr>
      <w:r w:rsidRPr="004E0533">
        <w:rPr>
          <w:sz w:val="20"/>
          <w:szCs w:val="20"/>
        </w:rPr>
        <w:t>Hobfoll, S.E. (1989) Conservation of resources: a new attempt at conceptualizing stress. American Psychologist, 44(3), pp.513–524. doi:10.1037/0003-066X.44.3.513.</w:t>
      </w:r>
    </w:p>
    <w:p w14:paraId="4722538F" w14:textId="77777777" w:rsidR="009773C8" w:rsidRDefault="00C64280" w:rsidP="00086C29">
      <w:pPr>
        <w:pStyle w:val="ListParagraph"/>
        <w:numPr>
          <w:ilvl w:val="0"/>
          <w:numId w:val="2"/>
        </w:numPr>
        <w:spacing w:after="120" w:line="480" w:lineRule="auto"/>
        <w:ind w:left="360"/>
        <w:jc w:val="both"/>
      </w:pPr>
      <w:r w:rsidRPr="004E0533">
        <w:rPr>
          <w:sz w:val="20"/>
          <w:szCs w:val="20"/>
        </w:rPr>
        <w:t>Israel, M. and Hay, I. (2006) Research ethics for social scientists. London: Sage Publications.</w:t>
      </w:r>
    </w:p>
    <w:p w14:paraId="47225390" w14:textId="77777777" w:rsidR="009773C8" w:rsidRDefault="00C64280" w:rsidP="00086C29">
      <w:pPr>
        <w:pStyle w:val="ListParagraph"/>
        <w:numPr>
          <w:ilvl w:val="0"/>
          <w:numId w:val="2"/>
        </w:numPr>
        <w:spacing w:after="120" w:line="480" w:lineRule="auto"/>
        <w:ind w:left="360"/>
        <w:jc w:val="both"/>
      </w:pPr>
      <w:r w:rsidRPr="004E0533">
        <w:rPr>
          <w:sz w:val="20"/>
          <w:szCs w:val="20"/>
        </w:rPr>
        <w:t>Kelliher, C. and Anderson, D. (2010) Doing more with less? Flexible working practices and the intensification of work. Human Relations, 63(1), pp.83–106. doi:10.1177/0018726709349199.</w:t>
      </w:r>
    </w:p>
    <w:p w14:paraId="47225391" w14:textId="77777777" w:rsidR="009773C8" w:rsidRDefault="00C64280" w:rsidP="00086C29">
      <w:pPr>
        <w:pStyle w:val="ListParagraph"/>
        <w:numPr>
          <w:ilvl w:val="0"/>
          <w:numId w:val="2"/>
        </w:numPr>
        <w:spacing w:after="120" w:line="480" w:lineRule="auto"/>
        <w:ind w:left="360"/>
        <w:jc w:val="both"/>
      </w:pPr>
      <w:r w:rsidRPr="004E0533">
        <w:rPr>
          <w:sz w:val="20"/>
          <w:szCs w:val="20"/>
        </w:rPr>
        <w:t>Kossek, E.E. and Lautsch, B.A. (2018) Work-life flexibility for whom? Occupational status and work-life inequality in upper, middle, and lower level jobs. Academy of Management Annals, 12(1), pp.5–36. doi:10.5465/annals.2016.0059.</w:t>
      </w:r>
    </w:p>
    <w:p w14:paraId="47225392" w14:textId="77777777" w:rsidR="009773C8" w:rsidRDefault="00C64280" w:rsidP="00086C29">
      <w:pPr>
        <w:pStyle w:val="ListParagraph"/>
        <w:numPr>
          <w:ilvl w:val="0"/>
          <w:numId w:val="2"/>
        </w:numPr>
        <w:spacing w:after="120" w:line="480" w:lineRule="auto"/>
        <w:ind w:left="360"/>
        <w:jc w:val="both"/>
      </w:pPr>
      <w:r w:rsidRPr="004E0533">
        <w:rPr>
          <w:sz w:val="20"/>
          <w:szCs w:val="20"/>
        </w:rPr>
        <w:t>Lyonette, C. and Crompton, R. (2014) Sharing the load? Partners’ relative earnings and the division of domestic labour. Work, Employment and Society, 29(1), pp.23–40. doi:10.1177/0950017014523661.</w:t>
      </w:r>
    </w:p>
    <w:p w14:paraId="47225393" w14:textId="77777777" w:rsidR="009773C8" w:rsidRDefault="00C64280" w:rsidP="00086C29">
      <w:pPr>
        <w:pStyle w:val="ListParagraph"/>
        <w:numPr>
          <w:ilvl w:val="0"/>
          <w:numId w:val="2"/>
        </w:numPr>
        <w:spacing w:after="120" w:line="480" w:lineRule="auto"/>
        <w:ind w:left="360"/>
        <w:jc w:val="both"/>
      </w:pPr>
      <w:r w:rsidRPr="004E0533">
        <w:rPr>
          <w:sz w:val="20"/>
          <w:szCs w:val="20"/>
        </w:rPr>
        <w:lastRenderedPageBreak/>
        <w:t>Maslach, C. and Leiter, M.P. (2016) Understanding the burnout experience: recent research and its implications for psychiatry. World Psychiatry, 15(2), pp.103–111. doi:10.1002/wps.20311.</w:t>
      </w:r>
    </w:p>
    <w:p w14:paraId="47225394" w14:textId="77777777" w:rsidR="009773C8" w:rsidRDefault="00C64280" w:rsidP="00086C29">
      <w:pPr>
        <w:pStyle w:val="ListParagraph"/>
        <w:numPr>
          <w:ilvl w:val="0"/>
          <w:numId w:val="2"/>
        </w:numPr>
        <w:spacing w:after="120" w:line="480" w:lineRule="auto"/>
        <w:ind w:left="360"/>
        <w:jc w:val="both"/>
      </w:pPr>
      <w:r w:rsidRPr="004E0533">
        <w:rPr>
          <w:sz w:val="20"/>
          <w:szCs w:val="20"/>
        </w:rPr>
        <w:t>McDonald, P., Brown, K. and Bradley, L. (2005) Explanations for the provision-utilisation gap in work-life policy. Women in Management Review, 20(1), pp.37–55. doi:10.1108/09649420510579568.</w:t>
      </w:r>
    </w:p>
    <w:p w14:paraId="47225395" w14:textId="77777777" w:rsidR="009773C8" w:rsidRDefault="00C64280" w:rsidP="00086C29">
      <w:pPr>
        <w:pStyle w:val="ListParagraph"/>
        <w:numPr>
          <w:ilvl w:val="0"/>
          <w:numId w:val="2"/>
        </w:numPr>
        <w:spacing w:after="120" w:line="480" w:lineRule="auto"/>
        <w:ind w:left="360"/>
        <w:jc w:val="both"/>
      </w:pPr>
      <w:r w:rsidRPr="004E0533">
        <w:rPr>
          <w:sz w:val="20"/>
          <w:szCs w:val="20"/>
        </w:rPr>
        <w:t>Meyer, J.P. and Allen, N.J. (1991) A three-component conceptualisation of organizational commitment. Human Resource Management Review, 1(1), pp.61–89. doi:10.1016/1053-4822(91)90011-Z.</w:t>
      </w:r>
    </w:p>
    <w:p w14:paraId="47225396" w14:textId="77777777" w:rsidR="009773C8" w:rsidRDefault="00C64280" w:rsidP="00086C29">
      <w:pPr>
        <w:pStyle w:val="ListParagraph"/>
        <w:numPr>
          <w:ilvl w:val="0"/>
          <w:numId w:val="2"/>
        </w:numPr>
        <w:spacing w:after="120" w:line="480" w:lineRule="auto"/>
        <w:ind w:left="360"/>
        <w:jc w:val="both"/>
      </w:pPr>
      <w:r w:rsidRPr="004E0533">
        <w:rPr>
          <w:sz w:val="20"/>
          <w:szCs w:val="20"/>
        </w:rPr>
        <w:t>Meyer, J.P., Stanley, D.J., Herscovitch, L. and Topolnytsky, L. (2002) Affective, continuance, and normative commitment to the organization: a meta-analysis of antecedents, correlates, and consequences. Journal of Vocational Behavior, 61(1), pp.20–52.</w:t>
      </w:r>
    </w:p>
    <w:p w14:paraId="47225397" w14:textId="77777777" w:rsidR="009773C8" w:rsidRDefault="00C64280" w:rsidP="00086C29">
      <w:pPr>
        <w:pStyle w:val="ListParagraph"/>
        <w:numPr>
          <w:ilvl w:val="0"/>
          <w:numId w:val="2"/>
        </w:numPr>
        <w:spacing w:after="120" w:line="480" w:lineRule="auto"/>
        <w:ind w:left="360"/>
        <w:jc w:val="both"/>
      </w:pPr>
      <w:r w:rsidRPr="004E0533">
        <w:rPr>
          <w:sz w:val="20"/>
          <w:szCs w:val="20"/>
        </w:rPr>
        <w:t>NHS (2025) NHS Staff Survey 2024 National results briefing. Available at: https://www.nhsstaffsurveys.com/static/c1a573e95b1a49428676ef4b24f5efe7/National-Results-Briefing-2024.pdf [Accessed 29 March 2026].</w:t>
      </w:r>
    </w:p>
    <w:p w14:paraId="47225398" w14:textId="77777777" w:rsidR="009773C8" w:rsidRDefault="00C64280" w:rsidP="00086C29">
      <w:pPr>
        <w:pStyle w:val="ListParagraph"/>
        <w:numPr>
          <w:ilvl w:val="0"/>
          <w:numId w:val="2"/>
        </w:numPr>
        <w:spacing w:after="120" w:line="480" w:lineRule="auto"/>
        <w:ind w:left="360"/>
        <w:jc w:val="both"/>
      </w:pPr>
      <w:r w:rsidRPr="004E0533">
        <w:rPr>
          <w:sz w:val="20"/>
          <w:szCs w:val="20"/>
        </w:rPr>
        <w:t>NHS Employers (2021) Flexible working briefing for board members. Available at: https://www.nhsemployers.org/system/files/2021-07/Flexible%20-working-briefing-for-board-members-PDF.pdf [Accessed 29 March 2026].</w:t>
      </w:r>
    </w:p>
    <w:p w14:paraId="47225399" w14:textId="77777777" w:rsidR="009773C8" w:rsidRDefault="00C64280" w:rsidP="00086C29">
      <w:pPr>
        <w:pStyle w:val="ListParagraph"/>
        <w:numPr>
          <w:ilvl w:val="0"/>
          <w:numId w:val="2"/>
        </w:numPr>
        <w:spacing w:after="120" w:line="480" w:lineRule="auto"/>
        <w:ind w:left="360"/>
        <w:jc w:val="both"/>
      </w:pPr>
      <w:r w:rsidRPr="004E0533">
        <w:rPr>
          <w:sz w:val="20"/>
          <w:szCs w:val="20"/>
        </w:rPr>
        <w:t>NHS England (2020) We are the NHS: People Plan for 2020/21 – action for us all. Available at: https://www.england.nhs.uk/publication/we-are-the-nhs-people-plan-for-2020-21-action-for-us-all/ [Accessed 29 March 2026].</w:t>
      </w:r>
    </w:p>
    <w:p w14:paraId="4722539A" w14:textId="77777777" w:rsidR="009773C8" w:rsidRDefault="00C64280" w:rsidP="00086C29">
      <w:pPr>
        <w:pStyle w:val="ListParagraph"/>
        <w:numPr>
          <w:ilvl w:val="0"/>
          <w:numId w:val="2"/>
        </w:numPr>
        <w:spacing w:after="120" w:line="480" w:lineRule="auto"/>
        <w:ind w:left="360"/>
        <w:jc w:val="both"/>
      </w:pPr>
      <w:r w:rsidRPr="004E0533">
        <w:rPr>
          <w:sz w:val="20"/>
          <w:szCs w:val="20"/>
        </w:rPr>
        <w:t>NHS England (2024) NHS Long Term Workforce Plan. Available at: https://www.england.nhs.uk/long-read/nhs-long-term-workforce-plan-2/ [Accessed 29 March 2026].</w:t>
      </w:r>
    </w:p>
    <w:p w14:paraId="4722539B" w14:textId="77777777" w:rsidR="009773C8" w:rsidRDefault="00C64280" w:rsidP="00086C29">
      <w:pPr>
        <w:pStyle w:val="ListParagraph"/>
        <w:numPr>
          <w:ilvl w:val="0"/>
          <w:numId w:val="2"/>
        </w:numPr>
        <w:spacing w:after="120" w:line="480" w:lineRule="auto"/>
        <w:ind w:left="360"/>
        <w:jc w:val="both"/>
      </w:pPr>
      <w:r w:rsidRPr="004E0533">
        <w:rPr>
          <w:sz w:val="20"/>
          <w:szCs w:val="20"/>
        </w:rPr>
        <w:t>NHS England (2025) Staff leaving the NHS among lowest in over a decade. Available at: https://www.england.nhs.uk/2025/03/staff-leaving-the-nhs-among-lowest-in-over-a-decade/ [Accessed 29 March 2026].</w:t>
      </w:r>
    </w:p>
    <w:p w14:paraId="4722539C" w14:textId="77777777" w:rsidR="009773C8" w:rsidRDefault="00C64280" w:rsidP="00086C29">
      <w:pPr>
        <w:pStyle w:val="ListParagraph"/>
        <w:numPr>
          <w:ilvl w:val="0"/>
          <w:numId w:val="2"/>
        </w:numPr>
        <w:spacing w:after="120" w:line="480" w:lineRule="auto"/>
        <w:ind w:left="360"/>
        <w:jc w:val="both"/>
      </w:pPr>
      <w:r w:rsidRPr="004E0533">
        <w:rPr>
          <w:sz w:val="20"/>
          <w:szCs w:val="20"/>
        </w:rPr>
        <w:t>NIHR (2024) System-level changes are essential to improve the psychological wellbeing of NHS staff. doi:10.3310/nihrevidence_65088.</w:t>
      </w:r>
    </w:p>
    <w:p w14:paraId="4722539D" w14:textId="77777777" w:rsidR="009773C8" w:rsidRDefault="00C64280" w:rsidP="00086C29">
      <w:pPr>
        <w:pStyle w:val="ListParagraph"/>
        <w:numPr>
          <w:ilvl w:val="0"/>
          <w:numId w:val="2"/>
        </w:numPr>
        <w:spacing w:after="120" w:line="480" w:lineRule="auto"/>
        <w:ind w:left="360"/>
        <w:jc w:val="both"/>
      </w:pPr>
      <w:r w:rsidRPr="004E0533">
        <w:rPr>
          <w:sz w:val="20"/>
          <w:szCs w:val="20"/>
        </w:rPr>
        <w:lastRenderedPageBreak/>
        <w:t>Ochieng, P.A. (2009) An analysis of the strengths and limitation of qualitative and quantitative research paradigms. Available at: http://www.scientiasocialis.lt/pec/node/files/pdf/Atieno_Vol.13.pdf [Accessed 29 March 2026].</w:t>
      </w:r>
    </w:p>
    <w:p w14:paraId="4722539E" w14:textId="77777777" w:rsidR="009773C8" w:rsidRDefault="00C64280" w:rsidP="00086C29">
      <w:pPr>
        <w:pStyle w:val="ListParagraph"/>
        <w:numPr>
          <w:ilvl w:val="0"/>
          <w:numId w:val="2"/>
        </w:numPr>
        <w:spacing w:after="120" w:line="480" w:lineRule="auto"/>
        <w:ind w:left="360"/>
        <w:jc w:val="both"/>
      </w:pPr>
      <w:r w:rsidRPr="004E0533">
        <w:rPr>
          <w:sz w:val="20"/>
          <w:szCs w:val="20"/>
        </w:rPr>
        <w:t>ONS (2024) Time use in the public sector, Great Britain. Office for National Statistics. Available at: https://www.ons.gov.uk/economy/economicoutputandproductivity/publicservicesproductivity/bulletins/timeuseinthepublicsectorgreatbritain/february2024 [Accessed 29 March 2026].</w:t>
      </w:r>
    </w:p>
    <w:p w14:paraId="4722539F" w14:textId="6D82D8F3" w:rsidR="009773C8" w:rsidRDefault="00C64280" w:rsidP="00086C29">
      <w:pPr>
        <w:pStyle w:val="ListParagraph"/>
        <w:numPr>
          <w:ilvl w:val="0"/>
          <w:numId w:val="2"/>
        </w:numPr>
        <w:spacing w:after="120" w:line="480" w:lineRule="auto"/>
        <w:ind w:left="360"/>
        <w:jc w:val="both"/>
      </w:pPr>
      <w:r w:rsidRPr="004E0533">
        <w:rPr>
          <w:sz w:val="20"/>
          <w:szCs w:val="20"/>
        </w:rPr>
        <w:t>Remnant, J., Kelly, M., Cowley, L. and Booth, S. (2025) Supporting and retaining NHS England staff with long-term health conditions</w:t>
      </w:r>
      <w:r w:rsidR="001961F5" w:rsidRPr="004E0533">
        <w:rPr>
          <w:sz w:val="20"/>
          <w:szCs w:val="20"/>
        </w:rPr>
        <w:t xml:space="preserve"> - </w:t>
      </w:r>
      <w:r w:rsidRPr="004E0533">
        <w:rPr>
          <w:sz w:val="20"/>
          <w:szCs w:val="20"/>
        </w:rPr>
        <w:t>a qualitative study. Healthcare, 13(20), p.2573. doi:10.3390/healthcare13202573.</w:t>
      </w:r>
    </w:p>
    <w:p w14:paraId="472253A0" w14:textId="77777777" w:rsidR="009773C8" w:rsidRDefault="00C64280" w:rsidP="00086C29">
      <w:pPr>
        <w:pStyle w:val="ListParagraph"/>
        <w:numPr>
          <w:ilvl w:val="0"/>
          <w:numId w:val="2"/>
        </w:numPr>
        <w:spacing w:after="120" w:line="480" w:lineRule="auto"/>
        <w:ind w:left="360"/>
        <w:jc w:val="both"/>
      </w:pPr>
      <w:r w:rsidRPr="004E0533">
        <w:rPr>
          <w:sz w:val="20"/>
          <w:szCs w:val="20"/>
        </w:rPr>
        <w:t>Sambrook, L., McIntyre, J.C., Nathan, R., Tait, J., Ashley-Mudie, P., Humphreys, M., Wilson, P. and Saini, P. (2025) ‘A community in crisis’: staff qualitative experiences of NHS and third sector mental healthcare in England. BJPsych Open, 11(5). doi:10.1192/bjo.2025.10826.</w:t>
      </w:r>
    </w:p>
    <w:p w14:paraId="472253A1" w14:textId="77777777" w:rsidR="009773C8" w:rsidRDefault="00C64280" w:rsidP="00086C29">
      <w:pPr>
        <w:pStyle w:val="ListParagraph"/>
        <w:numPr>
          <w:ilvl w:val="0"/>
          <w:numId w:val="2"/>
        </w:numPr>
        <w:spacing w:after="120" w:line="480" w:lineRule="auto"/>
        <w:ind w:left="360"/>
        <w:jc w:val="both"/>
      </w:pPr>
      <w:r w:rsidRPr="004E0533">
        <w:rPr>
          <w:sz w:val="20"/>
          <w:szCs w:val="20"/>
        </w:rPr>
        <w:t>Saunders, M., Lewis, P. and Thornhill, A. (2023) Research methods for business students. 9th edn. Harlow: Pearson Higher Education.</w:t>
      </w:r>
    </w:p>
    <w:p w14:paraId="472253A2" w14:textId="77777777" w:rsidR="009773C8" w:rsidRDefault="00C64280" w:rsidP="00086C29">
      <w:pPr>
        <w:pStyle w:val="ListParagraph"/>
        <w:numPr>
          <w:ilvl w:val="0"/>
          <w:numId w:val="2"/>
        </w:numPr>
        <w:spacing w:after="120" w:line="480" w:lineRule="auto"/>
        <w:ind w:left="360"/>
        <w:jc w:val="both"/>
      </w:pPr>
      <w:r w:rsidRPr="004E0533">
        <w:rPr>
          <w:sz w:val="20"/>
          <w:szCs w:val="20"/>
        </w:rPr>
        <w:t>Smith, J.A., Flowers, P. and Larkin, M. (2022) Interpretative phenomenological analysis. London: SAGE.</w:t>
      </w:r>
    </w:p>
    <w:p w14:paraId="472253A3" w14:textId="77777777" w:rsidR="009773C8" w:rsidRDefault="00C64280" w:rsidP="00086C29">
      <w:pPr>
        <w:pStyle w:val="ListParagraph"/>
        <w:numPr>
          <w:ilvl w:val="0"/>
          <w:numId w:val="2"/>
        </w:numPr>
        <w:spacing w:after="120" w:line="480" w:lineRule="auto"/>
        <w:ind w:left="360"/>
        <w:jc w:val="both"/>
      </w:pPr>
      <w:r w:rsidRPr="004E0533">
        <w:rPr>
          <w:sz w:val="20"/>
          <w:szCs w:val="20"/>
        </w:rPr>
        <w:t>Thompson, C.A., Beauvais, L.L. and Lyness, K.S. (1999) When work-family benefits are not enough: the influence of work-family culture on benefit utilization, organizational attachment, and work-family conflict. Journal of Vocational Behavior, 54(3), pp.392–415. doi:10.1006/jvbe.1998.1681.</w:t>
      </w:r>
    </w:p>
    <w:p w14:paraId="472253A4" w14:textId="77777777" w:rsidR="009773C8" w:rsidRDefault="00C64280" w:rsidP="00086C29">
      <w:pPr>
        <w:pStyle w:val="ListParagraph"/>
        <w:numPr>
          <w:ilvl w:val="0"/>
          <w:numId w:val="2"/>
        </w:numPr>
        <w:spacing w:after="120" w:line="480" w:lineRule="auto"/>
        <w:ind w:left="360"/>
        <w:jc w:val="both"/>
      </w:pPr>
      <w:r w:rsidRPr="004E0533">
        <w:rPr>
          <w:sz w:val="20"/>
          <w:szCs w:val="20"/>
        </w:rPr>
        <w:t>Williams, J.C., Blair-Loy, M. and Berdahl, J.L. (2013) Cultural schemas, social class, and the flexibility stigma. Journal of Social Issues, 69(2), pp.209–234.</w:t>
      </w:r>
    </w:p>
    <w:p w14:paraId="472253A5" w14:textId="77777777" w:rsidR="009773C8" w:rsidRDefault="00C64280" w:rsidP="00086C29">
      <w:pPr>
        <w:pStyle w:val="ListParagraph"/>
        <w:numPr>
          <w:ilvl w:val="0"/>
          <w:numId w:val="2"/>
        </w:numPr>
        <w:spacing w:after="120" w:line="480" w:lineRule="auto"/>
        <w:ind w:left="360"/>
        <w:jc w:val="both"/>
      </w:pPr>
      <w:r w:rsidRPr="004E0533">
        <w:rPr>
          <w:sz w:val="20"/>
          <w:szCs w:val="20"/>
        </w:rPr>
        <w:t>Yamoah, E.E. (2025) Work-life balance, organisational commitment, and healthcare worker productivity. Management and Economics Review, 10(1), pp.133–146. doi:10.24818/mer/2025.01-09.</w:t>
      </w:r>
    </w:p>
    <w:p w14:paraId="472253A6" w14:textId="77777777" w:rsidR="009773C8" w:rsidRDefault="00C64280" w:rsidP="00086C29">
      <w:pPr>
        <w:spacing w:after="120" w:line="480" w:lineRule="auto"/>
      </w:pPr>
      <w:r>
        <w:br w:type="page"/>
      </w:r>
    </w:p>
    <w:p w14:paraId="472253A7" w14:textId="77777777" w:rsidR="009773C8" w:rsidRDefault="00C64280" w:rsidP="00086C29">
      <w:pPr>
        <w:pStyle w:val="Heading1"/>
        <w:spacing w:before="0" w:after="120" w:line="480" w:lineRule="auto"/>
      </w:pPr>
      <w:bookmarkStart w:id="36" w:name="_Toc225816423"/>
      <w:r>
        <w:lastRenderedPageBreak/>
        <w:t>Appendices</w:t>
      </w:r>
      <w:bookmarkEnd w:id="36"/>
    </w:p>
    <w:p w14:paraId="472253A8" w14:textId="77777777" w:rsidR="009773C8" w:rsidRDefault="00C64280" w:rsidP="00086C29">
      <w:pPr>
        <w:pStyle w:val="Heading2"/>
        <w:spacing w:before="0" w:line="480" w:lineRule="auto"/>
      </w:pPr>
      <w:bookmarkStart w:id="37" w:name="_Toc225816424"/>
      <w:r>
        <w:t>Appendix A: Draft Semi-Structured Interview Guide</w:t>
      </w:r>
      <w:bookmarkEnd w:id="37"/>
    </w:p>
    <w:p w14:paraId="472253A9" w14:textId="6B2C4F32" w:rsidR="009773C8" w:rsidRDefault="00736911" w:rsidP="00086C29">
      <w:pPr>
        <w:spacing w:after="120" w:line="480" w:lineRule="auto"/>
        <w:jc w:val="both"/>
      </w:pPr>
      <w:r w:rsidRPr="00736911">
        <w:t>They have provided the draft interview guide below</w:t>
      </w:r>
      <w:r w:rsidR="001915D3">
        <w:t>, including the</w:t>
      </w:r>
      <w:r w:rsidRPr="00736911">
        <w:t xml:space="preserve"> thematic domain, questions, and related research objectives. During all interviews, flexible probe questions will be used.</w:t>
      </w:r>
    </w:p>
    <w:p w14:paraId="47DD9296" w14:textId="2743D9F0" w:rsidR="001D29A1" w:rsidRDefault="001D29A1" w:rsidP="00086C29">
      <w:pPr>
        <w:spacing w:after="120" w:line="480" w:lineRule="auto"/>
        <w:jc w:val="center"/>
        <w:rPr>
          <w:i/>
          <w:iCs/>
          <w:color w:val="595959"/>
        </w:rPr>
      </w:pPr>
      <w:r w:rsidRPr="001D29A1">
        <w:rPr>
          <w:i/>
          <w:iCs/>
          <w:noProof/>
          <w:color w:val="595959"/>
          <w:lang w:eastAsia="zh-CN"/>
        </w:rPr>
        <w:drawing>
          <wp:inline distT="0" distB="0" distL="0" distR="0" wp14:anchorId="710C9B02" wp14:editId="0BA39F3B">
            <wp:extent cx="5744377" cy="5106113"/>
            <wp:effectExtent l="0" t="0" r="8890" b="0"/>
            <wp:docPr id="63186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65250" name=""/>
                    <pic:cNvPicPr/>
                  </pic:nvPicPr>
                  <pic:blipFill>
                    <a:blip r:embed="rId16"/>
                    <a:stretch>
                      <a:fillRect/>
                    </a:stretch>
                  </pic:blipFill>
                  <pic:spPr>
                    <a:xfrm>
                      <a:off x="0" y="0"/>
                      <a:ext cx="5744377" cy="5106113"/>
                    </a:xfrm>
                    <a:prstGeom prst="rect">
                      <a:avLst/>
                    </a:prstGeom>
                  </pic:spPr>
                </pic:pic>
              </a:graphicData>
            </a:graphic>
          </wp:inline>
        </w:drawing>
      </w:r>
    </w:p>
    <w:p w14:paraId="472253DF" w14:textId="1827BF2B" w:rsidR="009773C8" w:rsidRDefault="00C64280" w:rsidP="00086C29">
      <w:pPr>
        <w:spacing w:after="120" w:line="480" w:lineRule="auto"/>
        <w:jc w:val="center"/>
      </w:pPr>
      <w:r>
        <w:rPr>
          <w:i/>
          <w:iCs/>
          <w:color w:val="595959"/>
        </w:rPr>
        <w:t>Appendix A: Draft interview guide aligned to research objectives and questions</w:t>
      </w:r>
    </w:p>
    <w:p w14:paraId="472253E0" w14:textId="42C37EF7" w:rsidR="009773C8" w:rsidRDefault="00C64280" w:rsidP="00086C29">
      <w:pPr>
        <w:pStyle w:val="Heading2"/>
        <w:spacing w:before="0" w:line="480" w:lineRule="auto"/>
      </w:pPr>
      <w:bookmarkStart w:id="38" w:name="_Toc225816425"/>
      <w:r>
        <w:t xml:space="preserve">Appendix B: Illustrative Coding Example </w:t>
      </w:r>
      <w:r w:rsidR="00ED7633">
        <w:t>-</w:t>
      </w:r>
      <w:r>
        <w:t xml:space="preserve"> Reflexive Thematic Analysis</w:t>
      </w:r>
      <w:bookmarkEnd w:id="38"/>
    </w:p>
    <w:p w14:paraId="472253E1" w14:textId="13F1C5FE" w:rsidR="009773C8" w:rsidRDefault="00936FF5" w:rsidP="00086C29">
      <w:pPr>
        <w:spacing w:after="120" w:line="480" w:lineRule="auto"/>
        <w:jc w:val="both"/>
      </w:pPr>
      <w:r w:rsidRPr="00936FF5">
        <w:t xml:space="preserve">A sample representation of how data extracts could be coded and sorted into themes during analysis. The data will </w:t>
      </w:r>
      <w:r w:rsidR="00FB0B39">
        <w:t xml:space="preserve">yield </w:t>
      </w:r>
      <w:r w:rsidR="001915D3">
        <w:t>inductive themes</w:t>
      </w:r>
      <w:r w:rsidRPr="00936FF5">
        <w:t>.</w:t>
      </w:r>
    </w:p>
    <w:p w14:paraId="6338C206" w14:textId="77777777" w:rsidR="00D835A7" w:rsidRDefault="00D835A7" w:rsidP="00086C29">
      <w:pPr>
        <w:spacing w:after="120" w:line="480" w:lineRule="auto"/>
        <w:jc w:val="both"/>
      </w:pPr>
    </w:p>
    <w:p w14:paraId="0A9DD238" w14:textId="77777777" w:rsidR="00D835A7" w:rsidRDefault="00D835A7" w:rsidP="00086C29">
      <w:pPr>
        <w:spacing w:after="120" w:line="480" w:lineRule="auto"/>
        <w:jc w:val="both"/>
      </w:pPr>
    </w:p>
    <w:p w14:paraId="76876BAD" w14:textId="5D8AEB9F" w:rsidR="00B84F66" w:rsidRDefault="00B84F66" w:rsidP="00086C29">
      <w:pPr>
        <w:spacing w:after="120" w:line="480" w:lineRule="auto"/>
        <w:jc w:val="center"/>
        <w:rPr>
          <w:i/>
          <w:iCs/>
          <w:color w:val="595959"/>
        </w:rPr>
      </w:pPr>
      <w:r w:rsidRPr="00B84F66">
        <w:rPr>
          <w:i/>
          <w:iCs/>
          <w:noProof/>
          <w:color w:val="595959"/>
          <w:lang w:eastAsia="zh-CN"/>
        </w:rPr>
        <w:drawing>
          <wp:inline distT="0" distB="0" distL="0" distR="0" wp14:anchorId="357E1C86" wp14:editId="42191619">
            <wp:extent cx="5792008" cy="4105848"/>
            <wp:effectExtent l="0" t="0" r="0" b="9525"/>
            <wp:docPr id="915194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94827" name=""/>
                    <pic:cNvPicPr/>
                  </pic:nvPicPr>
                  <pic:blipFill>
                    <a:blip r:embed="rId17"/>
                    <a:stretch>
                      <a:fillRect/>
                    </a:stretch>
                  </pic:blipFill>
                  <pic:spPr>
                    <a:xfrm>
                      <a:off x="0" y="0"/>
                      <a:ext cx="5792008" cy="4105848"/>
                    </a:xfrm>
                    <a:prstGeom prst="rect">
                      <a:avLst/>
                    </a:prstGeom>
                  </pic:spPr>
                </pic:pic>
              </a:graphicData>
            </a:graphic>
          </wp:inline>
        </w:drawing>
      </w:r>
    </w:p>
    <w:p w14:paraId="47225400" w14:textId="029A5A50" w:rsidR="009773C8" w:rsidRDefault="00C64280" w:rsidP="00086C29">
      <w:pPr>
        <w:spacing w:after="120" w:line="480" w:lineRule="auto"/>
        <w:jc w:val="center"/>
      </w:pPr>
      <w:r>
        <w:rPr>
          <w:i/>
          <w:iCs/>
          <w:color w:val="595959"/>
        </w:rPr>
        <w:t>Appendix B: Illustrative coding example (indicative only)</w:t>
      </w:r>
    </w:p>
    <w:sectPr w:rsidR="009773C8">
      <w:footerReference w:type="default" r:id="rId18"/>
      <w:pgSz w:w="11906" w:h="16838"/>
      <w:pgMar w:top="1440" w:right="126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BC842" w14:textId="77777777" w:rsidR="009D4A3A" w:rsidRDefault="009D4A3A">
      <w:r>
        <w:separator/>
      </w:r>
    </w:p>
  </w:endnote>
  <w:endnote w:type="continuationSeparator" w:id="0">
    <w:p w14:paraId="2962C3E0" w14:textId="77777777" w:rsidR="009D4A3A" w:rsidRDefault="009D4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122321"/>
      <w:docPartObj>
        <w:docPartGallery w:val="Page Numbers (Bottom of Page)"/>
        <w:docPartUnique/>
      </w:docPartObj>
    </w:sdtPr>
    <w:sdtContent>
      <w:sdt>
        <w:sdtPr>
          <w:id w:val="-1769616900"/>
          <w:docPartObj>
            <w:docPartGallery w:val="Page Numbers (Top of Page)"/>
            <w:docPartUnique/>
          </w:docPartObj>
        </w:sdtPr>
        <w:sdtContent>
          <w:p w14:paraId="23E26C66" w14:textId="273D2B3A" w:rsidR="00CE7454" w:rsidRDefault="00CE745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E0533">
              <w:rPr>
                <w:b/>
                <w:bCs/>
                <w:noProof/>
              </w:rPr>
              <w:t>33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E0533">
              <w:rPr>
                <w:b/>
                <w:bCs/>
                <w:noProof/>
              </w:rPr>
              <w:t>35</w:t>
            </w:r>
            <w:r>
              <w:rPr>
                <w:b/>
                <w:bCs/>
                <w:sz w:val="24"/>
                <w:szCs w:val="24"/>
              </w:rPr>
              <w:fldChar w:fldCharType="end"/>
            </w:r>
          </w:p>
        </w:sdtContent>
      </w:sdt>
    </w:sdtContent>
  </w:sdt>
  <w:p w14:paraId="001702C8" w14:textId="77777777" w:rsidR="00CE7454" w:rsidRDefault="00CE7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70F27" w14:textId="77777777" w:rsidR="009D4A3A" w:rsidRDefault="009D4A3A">
      <w:r>
        <w:separator/>
      </w:r>
    </w:p>
  </w:footnote>
  <w:footnote w:type="continuationSeparator" w:id="0">
    <w:p w14:paraId="736862DA" w14:textId="77777777" w:rsidR="009D4A3A" w:rsidRDefault="009D4A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27C56"/>
    <w:multiLevelType w:val="hybridMultilevel"/>
    <w:tmpl w:val="FE4C456E"/>
    <w:lvl w:ilvl="0" w:tplc="DBFCDC86">
      <w:start w:val="1"/>
      <w:numFmt w:val="bullet"/>
      <w:lvlText w:val="●"/>
      <w:lvlJc w:val="left"/>
      <w:pPr>
        <w:ind w:left="720" w:hanging="360"/>
      </w:pPr>
    </w:lvl>
    <w:lvl w:ilvl="1" w:tplc="C0F02E18">
      <w:start w:val="1"/>
      <w:numFmt w:val="bullet"/>
      <w:lvlText w:val="○"/>
      <w:lvlJc w:val="left"/>
      <w:pPr>
        <w:ind w:left="1440" w:hanging="360"/>
      </w:pPr>
    </w:lvl>
    <w:lvl w:ilvl="2" w:tplc="DD5A6E1C">
      <w:start w:val="1"/>
      <w:numFmt w:val="bullet"/>
      <w:lvlText w:val="■"/>
      <w:lvlJc w:val="left"/>
      <w:pPr>
        <w:ind w:left="2160" w:hanging="360"/>
      </w:pPr>
    </w:lvl>
    <w:lvl w:ilvl="3" w:tplc="9300098A">
      <w:start w:val="1"/>
      <w:numFmt w:val="bullet"/>
      <w:lvlText w:val="●"/>
      <w:lvlJc w:val="left"/>
      <w:pPr>
        <w:ind w:left="2880" w:hanging="360"/>
      </w:pPr>
    </w:lvl>
    <w:lvl w:ilvl="4" w:tplc="5D7CBA4E">
      <w:start w:val="1"/>
      <w:numFmt w:val="bullet"/>
      <w:lvlText w:val="○"/>
      <w:lvlJc w:val="left"/>
      <w:pPr>
        <w:ind w:left="3600" w:hanging="360"/>
      </w:pPr>
    </w:lvl>
    <w:lvl w:ilvl="5" w:tplc="DBFE3448">
      <w:start w:val="1"/>
      <w:numFmt w:val="bullet"/>
      <w:lvlText w:val="■"/>
      <w:lvlJc w:val="left"/>
      <w:pPr>
        <w:ind w:left="4320" w:hanging="360"/>
      </w:pPr>
    </w:lvl>
    <w:lvl w:ilvl="6" w:tplc="26F63590">
      <w:start w:val="1"/>
      <w:numFmt w:val="bullet"/>
      <w:lvlText w:val="●"/>
      <w:lvlJc w:val="left"/>
      <w:pPr>
        <w:ind w:left="5040" w:hanging="360"/>
      </w:pPr>
    </w:lvl>
    <w:lvl w:ilvl="7" w:tplc="3F0C2F50">
      <w:start w:val="1"/>
      <w:numFmt w:val="bullet"/>
      <w:lvlText w:val="●"/>
      <w:lvlJc w:val="left"/>
      <w:pPr>
        <w:ind w:left="5760" w:hanging="360"/>
      </w:pPr>
    </w:lvl>
    <w:lvl w:ilvl="8" w:tplc="9A6EDE3E">
      <w:start w:val="1"/>
      <w:numFmt w:val="bullet"/>
      <w:lvlText w:val="●"/>
      <w:lvlJc w:val="left"/>
      <w:pPr>
        <w:ind w:left="6480" w:hanging="360"/>
      </w:pPr>
    </w:lvl>
  </w:abstractNum>
  <w:abstractNum w:abstractNumId="1" w15:restartNumberingAfterBreak="0">
    <w:nsid w:val="0F6541D5"/>
    <w:multiLevelType w:val="hybridMultilevel"/>
    <w:tmpl w:val="9DCE8B70"/>
    <w:lvl w:ilvl="0" w:tplc="D7BE535C">
      <w:start w:val="1"/>
      <w:numFmt w:val="bullet"/>
      <w:lvlText w:val="•"/>
      <w:lvlJc w:val="left"/>
      <w:pPr>
        <w:ind w:left="720" w:hanging="360"/>
      </w:pPr>
    </w:lvl>
    <w:lvl w:ilvl="1" w:tplc="632C0B4A">
      <w:numFmt w:val="decimal"/>
      <w:lvlText w:val=""/>
      <w:lvlJc w:val="left"/>
    </w:lvl>
    <w:lvl w:ilvl="2" w:tplc="561AB6DA">
      <w:numFmt w:val="decimal"/>
      <w:lvlText w:val=""/>
      <w:lvlJc w:val="left"/>
    </w:lvl>
    <w:lvl w:ilvl="3" w:tplc="53AE98C8">
      <w:numFmt w:val="decimal"/>
      <w:lvlText w:val=""/>
      <w:lvlJc w:val="left"/>
    </w:lvl>
    <w:lvl w:ilvl="4" w:tplc="9E883CFC">
      <w:numFmt w:val="decimal"/>
      <w:lvlText w:val=""/>
      <w:lvlJc w:val="left"/>
    </w:lvl>
    <w:lvl w:ilvl="5" w:tplc="F02A3CF0">
      <w:numFmt w:val="decimal"/>
      <w:lvlText w:val=""/>
      <w:lvlJc w:val="left"/>
    </w:lvl>
    <w:lvl w:ilvl="6" w:tplc="27D0B796">
      <w:numFmt w:val="decimal"/>
      <w:lvlText w:val=""/>
      <w:lvlJc w:val="left"/>
    </w:lvl>
    <w:lvl w:ilvl="7" w:tplc="6C6E20C6">
      <w:numFmt w:val="decimal"/>
      <w:lvlText w:val=""/>
      <w:lvlJc w:val="left"/>
    </w:lvl>
    <w:lvl w:ilvl="8" w:tplc="B6BA762A">
      <w:numFmt w:val="decimal"/>
      <w:lvlText w:val=""/>
      <w:lvlJc w:val="left"/>
    </w:lvl>
  </w:abstractNum>
  <w:abstractNum w:abstractNumId="2" w15:restartNumberingAfterBreak="0">
    <w:nsid w:val="287B2EA9"/>
    <w:multiLevelType w:val="hybridMultilevel"/>
    <w:tmpl w:val="A0AC4D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7001488">
    <w:abstractNumId w:val="0"/>
    <w:lvlOverride w:ilvl="0">
      <w:startOverride w:val="1"/>
    </w:lvlOverride>
  </w:num>
  <w:num w:numId="2" w16cid:durableId="21095442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73C8"/>
    <w:rsid w:val="00016FE0"/>
    <w:rsid w:val="00086C29"/>
    <w:rsid w:val="000B353D"/>
    <w:rsid w:val="000C5E05"/>
    <w:rsid w:val="000E1BE0"/>
    <w:rsid w:val="000F653C"/>
    <w:rsid w:val="00101F5D"/>
    <w:rsid w:val="00134E2C"/>
    <w:rsid w:val="0015391E"/>
    <w:rsid w:val="001849BA"/>
    <w:rsid w:val="001915D3"/>
    <w:rsid w:val="00191FA4"/>
    <w:rsid w:val="001961F5"/>
    <w:rsid w:val="001D1769"/>
    <w:rsid w:val="001D29A1"/>
    <w:rsid w:val="00224C70"/>
    <w:rsid w:val="00241B8F"/>
    <w:rsid w:val="002543CA"/>
    <w:rsid w:val="00264931"/>
    <w:rsid w:val="002C1CE5"/>
    <w:rsid w:val="002F54B0"/>
    <w:rsid w:val="00301790"/>
    <w:rsid w:val="00323266"/>
    <w:rsid w:val="003244E0"/>
    <w:rsid w:val="00345CEB"/>
    <w:rsid w:val="003A3728"/>
    <w:rsid w:val="003D01CD"/>
    <w:rsid w:val="004C1782"/>
    <w:rsid w:val="004D25F8"/>
    <w:rsid w:val="004E0533"/>
    <w:rsid w:val="004F7F10"/>
    <w:rsid w:val="00523F2D"/>
    <w:rsid w:val="0057095D"/>
    <w:rsid w:val="00597D8F"/>
    <w:rsid w:val="005A3DA4"/>
    <w:rsid w:val="005C31D0"/>
    <w:rsid w:val="005E2F8A"/>
    <w:rsid w:val="0069723A"/>
    <w:rsid w:val="006C45A7"/>
    <w:rsid w:val="006D03A1"/>
    <w:rsid w:val="00711FE3"/>
    <w:rsid w:val="00731322"/>
    <w:rsid w:val="00736911"/>
    <w:rsid w:val="00743684"/>
    <w:rsid w:val="00767188"/>
    <w:rsid w:val="00774483"/>
    <w:rsid w:val="0080362C"/>
    <w:rsid w:val="0085126C"/>
    <w:rsid w:val="00894CD2"/>
    <w:rsid w:val="008E0157"/>
    <w:rsid w:val="008E4563"/>
    <w:rsid w:val="0090675B"/>
    <w:rsid w:val="009333C0"/>
    <w:rsid w:val="00936FF5"/>
    <w:rsid w:val="009773C8"/>
    <w:rsid w:val="00987415"/>
    <w:rsid w:val="009D07BC"/>
    <w:rsid w:val="009D4A3A"/>
    <w:rsid w:val="009E6368"/>
    <w:rsid w:val="009F3607"/>
    <w:rsid w:val="009F424E"/>
    <w:rsid w:val="00A35AA8"/>
    <w:rsid w:val="00A71E5E"/>
    <w:rsid w:val="00A8546C"/>
    <w:rsid w:val="00AC1DCA"/>
    <w:rsid w:val="00AF0B90"/>
    <w:rsid w:val="00AF6C28"/>
    <w:rsid w:val="00B70EEC"/>
    <w:rsid w:val="00B8430E"/>
    <w:rsid w:val="00B84F66"/>
    <w:rsid w:val="00BA4F42"/>
    <w:rsid w:val="00BB7D29"/>
    <w:rsid w:val="00BD3EA2"/>
    <w:rsid w:val="00C5376E"/>
    <w:rsid w:val="00C64280"/>
    <w:rsid w:val="00CA308A"/>
    <w:rsid w:val="00CC2FCC"/>
    <w:rsid w:val="00CE7454"/>
    <w:rsid w:val="00D31F17"/>
    <w:rsid w:val="00D5362A"/>
    <w:rsid w:val="00D835A7"/>
    <w:rsid w:val="00DE585A"/>
    <w:rsid w:val="00DF5BD1"/>
    <w:rsid w:val="00E72200"/>
    <w:rsid w:val="00E81F5D"/>
    <w:rsid w:val="00ED7633"/>
    <w:rsid w:val="00EE7578"/>
    <w:rsid w:val="00F857F1"/>
    <w:rsid w:val="00FA17B6"/>
    <w:rsid w:val="00FB0B39"/>
    <w:rsid w:val="00FB74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25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26262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color w:val="1F3864"/>
      <w:sz w:val="30"/>
      <w:szCs w:val="30"/>
    </w:rPr>
  </w:style>
  <w:style w:type="paragraph" w:styleId="Heading2">
    <w:name w:val="heading 2"/>
    <w:uiPriority w:val="9"/>
    <w:unhideWhenUsed/>
    <w:qFormat/>
    <w:pPr>
      <w:spacing w:before="260" w:after="120"/>
      <w:outlineLvl w:val="1"/>
    </w:pPr>
    <w:rPr>
      <w:b/>
      <w:bCs/>
      <w:color w:val="2E75B6"/>
      <w:sz w:val="25"/>
      <w:szCs w:val="25"/>
    </w:rPr>
  </w:style>
  <w:style w:type="paragraph" w:styleId="Heading3">
    <w:name w:val="heading 3"/>
    <w:uiPriority w:val="9"/>
    <w:unhideWhenUsed/>
    <w:qFormat/>
    <w:pPr>
      <w:spacing w:before="200" w:after="80"/>
      <w:outlineLvl w:val="2"/>
    </w:pPr>
    <w:rPr>
      <w:b/>
      <w:bCs/>
      <w:color w:val="595959"/>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2543CA"/>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543CA"/>
    <w:pPr>
      <w:spacing w:after="100"/>
    </w:pPr>
  </w:style>
  <w:style w:type="paragraph" w:styleId="TOC2">
    <w:name w:val="toc 2"/>
    <w:basedOn w:val="Normal"/>
    <w:next w:val="Normal"/>
    <w:autoRedefine/>
    <w:uiPriority w:val="39"/>
    <w:unhideWhenUsed/>
    <w:rsid w:val="002543CA"/>
    <w:pPr>
      <w:spacing w:after="100"/>
      <w:ind w:left="220"/>
    </w:pPr>
  </w:style>
  <w:style w:type="paragraph" w:styleId="TOC3">
    <w:name w:val="toc 3"/>
    <w:basedOn w:val="Normal"/>
    <w:next w:val="Normal"/>
    <w:autoRedefine/>
    <w:uiPriority w:val="39"/>
    <w:unhideWhenUsed/>
    <w:rsid w:val="002543CA"/>
    <w:pPr>
      <w:spacing w:after="100"/>
      <w:ind w:left="440"/>
    </w:pPr>
  </w:style>
  <w:style w:type="paragraph" w:styleId="Header">
    <w:name w:val="header"/>
    <w:basedOn w:val="Normal"/>
    <w:link w:val="HeaderChar"/>
    <w:uiPriority w:val="99"/>
    <w:unhideWhenUsed/>
    <w:rsid w:val="006D03A1"/>
    <w:pPr>
      <w:tabs>
        <w:tab w:val="center" w:pos="4513"/>
        <w:tab w:val="right" w:pos="9026"/>
      </w:tabs>
    </w:pPr>
  </w:style>
  <w:style w:type="character" w:customStyle="1" w:styleId="HeaderChar">
    <w:name w:val="Header Char"/>
    <w:basedOn w:val="DefaultParagraphFont"/>
    <w:link w:val="Header"/>
    <w:uiPriority w:val="99"/>
    <w:rsid w:val="006D03A1"/>
  </w:style>
  <w:style w:type="paragraph" w:styleId="Footer">
    <w:name w:val="footer"/>
    <w:basedOn w:val="Normal"/>
    <w:link w:val="FooterChar"/>
    <w:uiPriority w:val="99"/>
    <w:unhideWhenUsed/>
    <w:rsid w:val="006D03A1"/>
    <w:pPr>
      <w:tabs>
        <w:tab w:val="center" w:pos="4513"/>
        <w:tab w:val="right" w:pos="9026"/>
      </w:tabs>
    </w:pPr>
  </w:style>
  <w:style w:type="character" w:customStyle="1" w:styleId="FooterChar">
    <w:name w:val="Footer Char"/>
    <w:basedOn w:val="DefaultParagraphFont"/>
    <w:link w:val="Footer"/>
    <w:uiPriority w:val="99"/>
    <w:rsid w:val="006D0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2C7B7-0D27-47E8-A4E7-E859ABB6D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7406</Words>
  <Characters>46960</Characters>
  <Application>Microsoft Office Word</Application>
  <DocSecurity>0</DocSecurity>
  <Lines>1174</Lines>
  <Paragraphs>503</Paragraphs>
  <ScaleCrop>false</ScaleCrop>
  <Company/>
  <LinksUpToDate>false</LinksUpToDate>
  <CharactersWithSpaces>53863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2026-03-30T21:17:00Z</dcterms:created>
  <dcterms:modified xsi:type="dcterms:W3CDTF">2026-03-30T21:18:00Z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06361367-503b-4904-a11c-7821fc82d398</vt:lpwstr>
  </property>
</Properties>
</file>